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版本号：SNJZ-2025-15320250929001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2025年陕西省防止返贫监测预警平台功能保障项目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SNJZ-2025-153</w:t>
      </w:r>
      <w:r>
        <w:br/>
      </w:r>
      <w:r>
        <w:br/>
      </w:r>
      <w:r>
        <w:br/>
      </w:r>
    </w:p>
    <w:p>
      <w:pPr>
        <w:pStyle w:val="null3"/>
        <w:jc w:val="center"/>
        <w:outlineLvl w:val="2"/>
      </w:pPr>
      <w:r>
        <w:rPr>
          <w:rFonts w:ascii="仿宋_GB2312" w:hAnsi="仿宋_GB2312" w:cs="仿宋_GB2312" w:eastAsia="仿宋_GB2312"/>
          <w:sz w:val="28"/>
          <w:b/>
        </w:rPr>
        <w:t>陕西省农业厅机关</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陕西省农业厅机关</w:t>
      </w:r>
      <w:r>
        <w:rPr>
          <w:rFonts w:ascii="仿宋_GB2312" w:hAnsi="仿宋_GB2312" w:cs="仿宋_GB2312" w:eastAsia="仿宋_GB2312"/>
        </w:rPr>
        <w:t>委托，拟对</w:t>
      </w:r>
      <w:r>
        <w:rPr>
          <w:rFonts w:ascii="仿宋_GB2312" w:hAnsi="仿宋_GB2312" w:cs="仿宋_GB2312" w:eastAsia="仿宋_GB2312"/>
        </w:rPr>
        <w:t>2025年陕西省防止返贫监测预警平台功能保障项目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SNJZ-2025-153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2025年陕西省防止返贫监测预警平台功能保障项目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保障陕西省防止返贫监测预警平台和涉及的各子系统正常运行，保障全省视频会议云平台和省级平台硬件设备正常运行。在保障平台正常运行的基础上，能对现有功能进行优化完善，并配合采购方提供系统平台内相关数据的后台提取和分析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2、授权书：法定代表人参加磋商时，提供法定代表人证明书；授权代表参加磋商时，提供法定代表人授权书；非法人单位参照执行。</w:t>
      </w:r>
    </w:p>
    <w:p>
      <w:pPr>
        <w:pStyle w:val="null3"/>
      </w:pPr>
      <w:r>
        <w:rPr>
          <w:rFonts w:ascii="仿宋_GB2312" w:hAnsi="仿宋_GB2312" w:cs="仿宋_GB2312" w:eastAsia="仿宋_GB2312"/>
        </w:rPr>
        <w:t>3、财务状况报告：法人提供经审计的2024年度的财务报告或提交磋商响应文件截止时间前一年内银行资信证明；或政府采购信用担保机构出具的投标担保函。</w:t>
      </w:r>
    </w:p>
    <w:p>
      <w:pPr>
        <w:pStyle w:val="null3"/>
      </w:pPr>
      <w:r>
        <w:rPr>
          <w:rFonts w:ascii="仿宋_GB2312" w:hAnsi="仿宋_GB2312" w:cs="仿宋_GB2312" w:eastAsia="仿宋_GB2312"/>
        </w:rPr>
        <w:t>4、税收缴纳证明：提供响应文件递交截止时间前近一年内至少一个月已缴纳的纳税凭据或完税证明；依法免税的供应商应提供相关文件证明。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响应文件截止时间前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6、提供具有履行本合同所必需的设备和专业技术能力的承诺：提供具有履行本合同所必需的设备和专业技术能力的承诺。</w:t>
      </w:r>
    </w:p>
    <w:p>
      <w:pPr>
        <w:pStyle w:val="null3"/>
      </w:pPr>
      <w:r>
        <w:rPr>
          <w:rFonts w:ascii="仿宋_GB2312" w:hAnsi="仿宋_GB2312" w:cs="仿宋_GB2312" w:eastAsia="仿宋_GB2312"/>
        </w:rPr>
        <w:t>7、无重大违法记录的书面声明：提供参加政府采购活动前三年内在经营活动中没有重大违法记录的书面声明。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陕西省农业厅机关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陕西省西安市莲湖区习武园27号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陕西省农业农村厅机关经办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029-87228663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崔斌、程钰、马子啸、鲁方方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029-88224929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开户名称：陕西教育招标有限责任公司</w:t>
            </w:r>
          </w:p>
          <w:p>
            <w:pPr>
              <w:pStyle w:val="null3"/>
            </w:pPr>
            <w:r>
              <w:rPr>
                <w:rFonts w:ascii="仿宋_GB2312" w:hAnsi="仿宋_GB2312" w:cs="仿宋_GB2312" w:eastAsia="仿宋_GB2312"/>
              </w:rPr>
              <w:t>开户银行：浙商银行西安长安路支行</w:t>
            </w:r>
          </w:p>
          <w:p>
            <w:pPr>
              <w:pStyle w:val="null3"/>
            </w:pPr>
            <w:r>
              <w:rPr>
                <w:rFonts w:ascii="仿宋_GB2312" w:hAnsi="仿宋_GB2312" w:cs="仿宋_GB2312" w:eastAsia="仿宋_GB2312"/>
              </w:rPr>
              <w:t>银行账号：7910000410120100071552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收到成交通知书后十(10)个日历日内，按照原国家计委《招标代理服务收费管理暂行办法》(计价格[2002]1980号)及发改办价格[2003]857号文件规定的收费标准，向陕西教育招标有限责任公司交纳招标代理服务费，招标代理服务费采用现金、电汇或银行转账方式交纳。 服务费交纳账户： 开户行：中国光大银行陕西自贸试验区西安唐延路支行； 开户名称：陕西教育招标有限责任公司； 银行行号：303791000136 开户账号：78580188000058925 财务电话：029-88224928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陕西省农业厅机关</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陕西省农业厅机关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陕西省农业厅机关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陕西教育招标有限责任公司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项目完成，供应商按约定完成所有服务，且服务质量无争议，视为验收合格。验收依据：合同文本，磋商文件，磋商响应文件，国内相应标准、规范。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联系人：崔斌</w:t>
      </w:r>
    </w:p>
    <w:p>
      <w:pPr>
        <w:pStyle w:val="null3"/>
      </w:pPr>
      <w:r>
        <w:rPr>
          <w:rFonts w:ascii="仿宋_GB2312" w:hAnsi="仿宋_GB2312" w:cs="仿宋_GB2312" w:eastAsia="仿宋_GB2312"/>
        </w:rPr>
        <w:t>联系电话：029-88224929</w:t>
      </w:r>
    </w:p>
    <w:p>
      <w:pPr>
        <w:pStyle w:val="null3"/>
      </w:pPr>
      <w:r>
        <w:rPr>
          <w:rFonts w:ascii="仿宋_GB2312" w:hAnsi="仿宋_GB2312" w:cs="仿宋_GB2312" w:eastAsia="仿宋_GB2312"/>
        </w:rPr>
        <w:t>地址：西安市太白南路181号西部电子社区A座B区401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18"/>
        </w:rPr>
        <w:t>保障陕西省防止返贫监测预警平台和涉及的各子系统正常运行，保障全省视频会议云平台和省级平台硬件设备正常运行。在保障平台正常运行的基础上，能对现有功能进行调整优化，并配合采购方提供系统平台内相关数据的后台提取和分析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1,510,000.00</w:t>
      </w:r>
    </w:p>
    <w:p>
      <w:pPr>
        <w:pStyle w:val="null3"/>
      </w:pPr>
      <w:r>
        <w:rPr>
          <w:rFonts w:ascii="仿宋_GB2312" w:hAnsi="仿宋_GB2312" w:cs="仿宋_GB2312" w:eastAsia="仿宋_GB2312"/>
        </w:rPr>
        <w:t>采购包最高限价（元）: 1,510,000.00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2025年陕西省防止返贫监测预警平台功能保障项目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标的名称：2025年陕西省防止返贫监测预警平台功能保障项目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b/>
              </w:rPr>
              <w:t>一、项目概况</w:t>
            </w:r>
          </w:p>
          <w:p>
            <w:pPr>
              <w:pStyle w:val="null3"/>
              <w:ind w:firstLine="480"/>
              <w:jc w:val="both"/>
            </w:pPr>
            <w:r>
              <w:rPr>
                <w:rFonts w:ascii="仿宋_GB2312" w:hAnsi="仿宋_GB2312" w:cs="仿宋_GB2312" w:eastAsia="仿宋_GB2312"/>
                <w:sz w:val="18"/>
              </w:rPr>
              <w:t>陕西省防</w:t>
            </w:r>
            <w:r>
              <w:rPr>
                <w:rFonts w:ascii="仿宋_GB2312" w:hAnsi="仿宋_GB2312" w:cs="仿宋_GB2312" w:eastAsia="仿宋_GB2312"/>
                <w:sz w:val="18"/>
              </w:rPr>
              <w:t>止</w:t>
            </w:r>
            <w:r>
              <w:rPr>
                <w:rFonts w:ascii="仿宋_GB2312" w:hAnsi="仿宋_GB2312" w:cs="仿宋_GB2312" w:eastAsia="仿宋_GB2312"/>
                <w:sz w:val="18"/>
              </w:rPr>
              <w:t>返贫监测预警平台按照</w:t>
            </w:r>
            <w:r>
              <w:rPr>
                <w:rFonts w:ascii="仿宋_GB2312" w:hAnsi="仿宋_GB2312" w:cs="仿宋_GB2312" w:eastAsia="仿宋_GB2312"/>
                <w:sz w:val="18"/>
              </w:rPr>
              <w:t>“一户一码、一键申报”的建设思路，以“一中心、两应用”为顶层设计，开发了基础数据中心管理、防返贫预警、统计分析、问题整改、移动端、决策分析、</w:t>
            </w:r>
            <w:r>
              <w:rPr>
                <w:rFonts w:ascii="仿宋_GB2312" w:hAnsi="仿宋_GB2312" w:cs="仿宋_GB2312" w:eastAsia="仿宋_GB2312"/>
                <w:sz w:val="18"/>
              </w:rPr>
              <w:t>项目管理</w:t>
            </w:r>
            <w:r>
              <w:rPr>
                <w:rFonts w:ascii="仿宋_GB2312" w:hAnsi="仿宋_GB2312" w:cs="仿宋_GB2312" w:eastAsia="仿宋_GB2312"/>
                <w:sz w:val="18"/>
              </w:rPr>
              <w:t>、户厕改革、系统管理等信息系统，在</w:t>
            </w:r>
            <w:r>
              <w:rPr>
                <w:rFonts w:ascii="仿宋_GB2312" w:hAnsi="仿宋_GB2312" w:cs="仿宋_GB2312" w:eastAsia="仿宋_GB2312"/>
                <w:sz w:val="18"/>
              </w:rPr>
              <w:t>防止返贫致贫监测帮扶工作中</w:t>
            </w:r>
            <w:r>
              <w:rPr>
                <w:rFonts w:ascii="仿宋_GB2312" w:hAnsi="仿宋_GB2312" w:cs="仿宋_GB2312" w:eastAsia="仿宋_GB2312"/>
                <w:sz w:val="18"/>
              </w:rPr>
              <w:t>发挥了重要作用。平台通过手机端和电脑端均可访问</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b/>
              </w:rPr>
              <w:t>二、服务内容</w:t>
            </w:r>
          </w:p>
          <w:p>
            <w:pPr>
              <w:pStyle w:val="null3"/>
              <w:ind w:firstLine="480"/>
              <w:jc w:val="both"/>
            </w:pPr>
            <w:r>
              <w:rPr>
                <w:rFonts w:ascii="仿宋_GB2312" w:hAnsi="仿宋_GB2312" w:cs="仿宋_GB2312" w:eastAsia="仿宋_GB2312"/>
                <w:sz w:val="18"/>
              </w:rPr>
              <w:t>服务内容主要包括陕西省防</w:t>
            </w:r>
            <w:r>
              <w:rPr>
                <w:rFonts w:ascii="仿宋_GB2312" w:hAnsi="仿宋_GB2312" w:cs="仿宋_GB2312" w:eastAsia="仿宋_GB2312"/>
                <w:sz w:val="18"/>
              </w:rPr>
              <w:t>止</w:t>
            </w:r>
            <w:r>
              <w:rPr>
                <w:rFonts w:ascii="仿宋_GB2312" w:hAnsi="仿宋_GB2312" w:cs="仿宋_GB2312" w:eastAsia="仿宋_GB2312"/>
                <w:sz w:val="18"/>
              </w:rPr>
              <w:t>返贫监测预警平台</w:t>
            </w:r>
            <w:r>
              <w:rPr>
                <w:rFonts w:ascii="仿宋_GB2312" w:hAnsi="仿宋_GB2312" w:cs="仿宋_GB2312" w:eastAsia="仿宋_GB2312"/>
                <w:sz w:val="18"/>
              </w:rPr>
              <w:t>基础</w:t>
            </w:r>
            <w:r>
              <w:rPr>
                <w:rFonts w:ascii="仿宋_GB2312" w:hAnsi="仿宋_GB2312" w:cs="仿宋_GB2312" w:eastAsia="仿宋_GB2312"/>
                <w:sz w:val="18"/>
              </w:rPr>
              <w:t>功能</w:t>
            </w:r>
            <w:r>
              <w:rPr>
                <w:rFonts w:ascii="仿宋_GB2312" w:hAnsi="仿宋_GB2312" w:cs="仿宋_GB2312" w:eastAsia="仿宋_GB2312"/>
                <w:sz w:val="18"/>
              </w:rPr>
              <w:t>运维</w:t>
            </w:r>
            <w:r>
              <w:rPr>
                <w:rFonts w:ascii="仿宋_GB2312" w:hAnsi="仿宋_GB2312" w:cs="仿宋_GB2312" w:eastAsia="仿宋_GB2312"/>
                <w:sz w:val="18"/>
              </w:rPr>
              <w:t>保障</w:t>
            </w:r>
            <w:r>
              <w:rPr>
                <w:rFonts w:ascii="仿宋_GB2312" w:hAnsi="仿宋_GB2312" w:cs="仿宋_GB2312" w:eastAsia="仿宋_GB2312"/>
                <w:sz w:val="18"/>
              </w:rPr>
              <w:t>服务</w:t>
            </w:r>
            <w:r>
              <w:rPr>
                <w:rFonts w:ascii="仿宋_GB2312" w:hAnsi="仿宋_GB2312" w:cs="仿宋_GB2312" w:eastAsia="仿宋_GB2312"/>
                <w:sz w:val="18"/>
              </w:rPr>
              <w:t>、</w:t>
            </w:r>
            <w:r>
              <w:rPr>
                <w:rFonts w:ascii="仿宋_GB2312" w:hAnsi="仿宋_GB2312" w:cs="仿宋_GB2312" w:eastAsia="仿宋_GB2312"/>
                <w:sz w:val="18"/>
              </w:rPr>
              <w:t>功能开发优化及数据提取分析服务</w:t>
            </w:r>
            <w:r>
              <w:rPr>
                <w:rFonts w:ascii="仿宋_GB2312" w:hAnsi="仿宋_GB2312" w:cs="仿宋_GB2312" w:eastAsia="仿宋_GB2312"/>
                <w:sz w:val="18"/>
              </w:rPr>
              <w:t>、系统对接</w:t>
            </w:r>
            <w:r>
              <w:rPr>
                <w:rFonts w:ascii="仿宋_GB2312" w:hAnsi="仿宋_GB2312" w:cs="仿宋_GB2312" w:eastAsia="仿宋_GB2312"/>
                <w:sz w:val="18"/>
              </w:rPr>
              <w:t>服务</w:t>
            </w:r>
            <w:r>
              <w:rPr>
                <w:rFonts w:ascii="仿宋_GB2312" w:hAnsi="仿宋_GB2312" w:cs="仿宋_GB2312" w:eastAsia="仿宋_GB2312"/>
                <w:sz w:val="18"/>
              </w:rPr>
              <w:t>、视频会议保障</w:t>
            </w:r>
            <w:r>
              <w:rPr>
                <w:rFonts w:ascii="仿宋_GB2312" w:hAnsi="仿宋_GB2312" w:cs="仿宋_GB2312" w:eastAsia="仿宋_GB2312"/>
                <w:sz w:val="18"/>
              </w:rPr>
              <w:t>服务</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b/>
              </w:rPr>
              <w:t>（一）</w:t>
            </w:r>
            <w:r>
              <w:rPr>
                <w:rFonts w:ascii="仿宋_GB2312" w:hAnsi="仿宋_GB2312" w:cs="仿宋_GB2312" w:eastAsia="仿宋_GB2312"/>
                <w:sz w:val="18"/>
                <w:b/>
              </w:rPr>
              <w:t>陕西省防止返贫监测预警平台基础功能运维保障服务</w:t>
            </w:r>
          </w:p>
          <w:p>
            <w:pPr>
              <w:pStyle w:val="null3"/>
              <w:ind w:firstLine="482"/>
              <w:jc w:val="both"/>
            </w:pPr>
            <w:r>
              <w:rPr>
                <w:rFonts w:ascii="仿宋_GB2312" w:hAnsi="仿宋_GB2312" w:cs="仿宋_GB2312" w:eastAsia="仿宋_GB2312"/>
                <w:sz w:val="18"/>
                <w:b/>
              </w:rPr>
              <w:t>1、基础数据中心管理子系统：</w:t>
            </w:r>
            <w:r>
              <w:rPr>
                <w:rFonts w:ascii="仿宋_GB2312" w:hAnsi="仿宋_GB2312" w:cs="仿宋_GB2312" w:eastAsia="仿宋_GB2312"/>
                <w:sz w:val="18"/>
              </w:rPr>
              <w:t>通过户情、村情、县情建立全量化数据中心</w:t>
            </w:r>
            <w:r>
              <w:rPr>
                <w:rFonts w:ascii="仿宋_GB2312" w:hAnsi="仿宋_GB2312" w:cs="仿宋_GB2312" w:eastAsia="仿宋_GB2312"/>
                <w:sz w:val="18"/>
              </w:rPr>
              <w:t>,实现所有农户</w:t>
            </w:r>
            <w:r>
              <w:rPr>
                <w:rFonts w:ascii="仿宋_GB2312" w:hAnsi="仿宋_GB2312" w:cs="仿宋_GB2312" w:eastAsia="仿宋_GB2312"/>
                <w:sz w:val="18"/>
              </w:rPr>
              <w:t>信息</w:t>
            </w:r>
            <w:r>
              <w:rPr>
                <w:rFonts w:ascii="仿宋_GB2312" w:hAnsi="仿宋_GB2312" w:cs="仿宋_GB2312" w:eastAsia="仿宋_GB2312"/>
                <w:sz w:val="18"/>
              </w:rPr>
              <w:t>全覆盖</w:t>
            </w:r>
            <w:r>
              <w:rPr>
                <w:rFonts w:ascii="仿宋_GB2312" w:hAnsi="仿宋_GB2312" w:cs="仿宋_GB2312" w:eastAsia="仿宋_GB2312"/>
                <w:sz w:val="18"/>
              </w:rPr>
              <w:t>,全方位监测不留死角,为易返贫致贫对象的快速发现、快速预警提供了数据支撑</w:t>
            </w:r>
            <w:r>
              <w:rPr>
                <w:rFonts w:ascii="仿宋_GB2312" w:hAnsi="仿宋_GB2312" w:cs="仿宋_GB2312" w:eastAsia="仿宋_GB2312"/>
                <w:sz w:val="18"/>
              </w:rPr>
              <w:t>。</w:t>
            </w:r>
            <w:r>
              <w:rPr>
                <w:rFonts w:ascii="仿宋_GB2312" w:hAnsi="仿宋_GB2312" w:cs="仿宋_GB2312" w:eastAsia="仿宋_GB2312"/>
                <w:sz w:val="18"/>
              </w:rPr>
              <w:t>建立</w:t>
            </w:r>
            <w:r>
              <w:rPr>
                <w:rFonts w:ascii="仿宋_GB2312" w:hAnsi="仿宋_GB2312" w:cs="仿宋_GB2312" w:eastAsia="仿宋_GB2312"/>
                <w:sz w:val="18"/>
              </w:rPr>
              <w:t>“一户一码”，不同用户扫描农户电子码实现不同业务应用</w:t>
            </w:r>
            <w:r>
              <w:rPr>
                <w:rFonts w:ascii="仿宋_GB2312" w:hAnsi="仿宋_GB2312" w:cs="仿宋_GB2312" w:eastAsia="仿宋_GB2312"/>
                <w:sz w:val="18"/>
              </w:rPr>
              <w:t>。</w:t>
            </w:r>
            <w:r>
              <w:rPr>
                <w:rFonts w:ascii="仿宋_GB2312" w:hAnsi="仿宋_GB2312" w:cs="仿宋_GB2312" w:eastAsia="仿宋_GB2312"/>
                <w:sz w:val="18"/>
              </w:rPr>
              <w:t xml:space="preserve"> </w:t>
            </w:r>
          </w:p>
          <w:p>
            <w:pPr>
              <w:pStyle w:val="null3"/>
              <w:ind w:firstLine="420"/>
              <w:jc w:val="both"/>
            </w:pPr>
            <w:r>
              <w:rPr>
                <w:rFonts w:ascii="仿宋_GB2312" w:hAnsi="仿宋_GB2312" w:cs="仿宋_GB2312" w:eastAsia="仿宋_GB2312"/>
                <w:sz w:val="18"/>
                <w:b/>
              </w:rPr>
              <w:t>2、防返贫预警子系统：</w:t>
            </w:r>
            <w:r>
              <w:rPr>
                <w:rFonts w:ascii="仿宋_GB2312" w:hAnsi="仿宋_GB2312" w:cs="仿宋_GB2312" w:eastAsia="仿宋_GB2312"/>
                <w:sz w:val="18"/>
              </w:rPr>
              <w:t>通过农户自主申报、行业部门反馈、基层摸排、大数据预警等多渠道获取风险，进行跟踪研判，针对不同的返贫致贫风险，对脱贫不稳定户、边缘易致贫户、突发严重困难户进行动态监测，主要包括监测对象、监测内容、信息比对、风险研判、工单管理、随机抽查、驻村帮扶、易地搬迁后扶、政策工具箱等功能模块。</w:t>
            </w:r>
          </w:p>
          <w:p>
            <w:pPr>
              <w:pStyle w:val="null3"/>
              <w:ind w:firstLine="482"/>
              <w:jc w:val="both"/>
            </w:pPr>
            <w:r>
              <w:rPr>
                <w:rFonts w:ascii="仿宋_GB2312" w:hAnsi="仿宋_GB2312" w:cs="仿宋_GB2312" w:eastAsia="仿宋_GB2312"/>
                <w:sz w:val="18"/>
                <w:b/>
              </w:rPr>
              <w:t>3、统计分析子系统：</w:t>
            </w:r>
            <w:r>
              <w:rPr>
                <w:rFonts w:ascii="仿宋_GB2312" w:hAnsi="仿宋_GB2312" w:cs="仿宋_GB2312" w:eastAsia="仿宋_GB2312"/>
                <w:sz w:val="18"/>
              </w:rPr>
              <w:t>平台自动生成相关统计报表，主要包括动态调整、风险消除、患病、劳动力、务工情况、风险工单、易返贫致贫人口基本情况、在校生情况、收支分类、人口规模等相关统计分析，为及时了解本地三类人群及其他困难人群提供数据支撑。</w:t>
            </w:r>
          </w:p>
          <w:p>
            <w:pPr>
              <w:pStyle w:val="null3"/>
              <w:ind w:firstLine="482"/>
              <w:jc w:val="both"/>
            </w:pPr>
            <w:r>
              <w:rPr>
                <w:rFonts w:ascii="仿宋_GB2312" w:hAnsi="仿宋_GB2312" w:cs="仿宋_GB2312" w:eastAsia="仿宋_GB2312"/>
                <w:sz w:val="18"/>
                <w:b/>
              </w:rPr>
              <w:t>4、问题整改子系统：</w:t>
            </w:r>
            <w:r>
              <w:rPr>
                <w:rFonts w:ascii="仿宋_GB2312" w:hAnsi="仿宋_GB2312" w:cs="仿宋_GB2312" w:eastAsia="仿宋_GB2312"/>
                <w:sz w:val="18"/>
              </w:rPr>
              <w:t>将各级各类反馈问题纳入问题整改数据库，实行清单式管理，及时督查督办。以问题的发现、处理为主线，便于各级农业农村部门全流程跟踪问题整改过程，确保各类问题及时完成整改。</w:t>
            </w:r>
          </w:p>
          <w:p>
            <w:pPr>
              <w:pStyle w:val="null3"/>
              <w:ind w:firstLine="482"/>
              <w:jc w:val="both"/>
            </w:pPr>
            <w:r>
              <w:rPr>
                <w:rFonts w:ascii="仿宋_GB2312" w:hAnsi="仿宋_GB2312" w:cs="仿宋_GB2312" w:eastAsia="仿宋_GB2312"/>
                <w:sz w:val="18"/>
                <w:b/>
              </w:rPr>
              <w:t>5、移动端应用子系统：</w:t>
            </w:r>
            <w:r>
              <w:rPr>
                <w:rFonts w:ascii="仿宋_GB2312" w:hAnsi="仿宋_GB2312" w:cs="仿宋_GB2312" w:eastAsia="仿宋_GB2312"/>
                <w:sz w:val="18"/>
              </w:rPr>
              <w:t>使用对象包括基层网格员和各级管理人员，通过</w:t>
            </w:r>
            <w:r>
              <w:rPr>
                <w:rFonts w:ascii="仿宋_GB2312" w:hAnsi="仿宋_GB2312" w:cs="仿宋_GB2312" w:eastAsia="仿宋_GB2312"/>
                <w:sz w:val="18"/>
              </w:rPr>
              <w:t>APP和小程序均可访问。主要包括定期入户排查功能</w:t>
            </w:r>
            <w:r>
              <w:rPr>
                <w:rFonts w:ascii="仿宋_GB2312" w:hAnsi="仿宋_GB2312" w:cs="仿宋_GB2312" w:eastAsia="仿宋_GB2312"/>
                <w:sz w:val="18"/>
              </w:rPr>
              <w:t>、</w:t>
            </w:r>
            <w:r>
              <w:rPr>
                <w:rFonts w:ascii="仿宋_GB2312" w:hAnsi="仿宋_GB2312" w:cs="仿宋_GB2312" w:eastAsia="仿宋_GB2312"/>
                <w:sz w:val="18"/>
              </w:rPr>
              <w:t>农户</w:t>
            </w:r>
            <w:r>
              <w:rPr>
                <w:rFonts w:ascii="仿宋_GB2312" w:hAnsi="仿宋_GB2312" w:cs="仿宋_GB2312" w:eastAsia="仿宋_GB2312"/>
                <w:sz w:val="18"/>
              </w:rPr>
              <w:t>信息</w:t>
            </w:r>
            <w:r>
              <w:rPr>
                <w:rFonts w:ascii="仿宋_GB2312" w:hAnsi="仿宋_GB2312" w:cs="仿宋_GB2312" w:eastAsia="仿宋_GB2312"/>
                <w:sz w:val="18"/>
              </w:rPr>
              <w:t>管理功能</w:t>
            </w:r>
            <w:r>
              <w:rPr>
                <w:rFonts w:ascii="仿宋_GB2312" w:hAnsi="仿宋_GB2312" w:cs="仿宋_GB2312" w:eastAsia="仿宋_GB2312"/>
                <w:sz w:val="18"/>
              </w:rPr>
              <w:t>、</w:t>
            </w:r>
            <w:r>
              <w:rPr>
                <w:rFonts w:ascii="仿宋_GB2312" w:hAnsi="仿宋_GB2312" w:cs="仿宋_GB2312" w:eastAsia="仿宋_GB2312"/>
                <w:sz w:val="18"/>
              </w:rPr>
              <w:t>农户困难申报功能</w:t>
            </w:r>
            <w:r>
              <w:rPr>
                <w:rFonts w:ascii="仿宋_GB2312" w:hAnsi="仿宋_GB2312" w:cs="仿宋_GB2312" w:eastAsia="仿宋_GB2312"/>
                <w:sz w:val="18"/>
              </w:rPr>
              <w:t>、</w:t>
            </w:r>
            <w:r>
              <w:rPr>
                <w:rFonts w:ascii="仿宋_GB2312" w:hAnsi="仿宋_GB2312" w:cs="仿宋_GB2312" w:eastAsia="仿宋_GB2312"/>
                <w:sz w:val="18"/>
              </w:rPr>
              <w:t>行业反馈</w:t>
            </w:r>
            <w:r>
              <w:rPr>
                <w:rFonts w:ascii="仿宋_GB2312" w:hAnsi="仿宋_GB2312" w:cs="仿宋_GB2312" w:eastAsia="仿宋_GB2312"/>
                <w:sz w:val="18"/>
              </w:rPr>
              <w:t>等</w:t>
            </w:r>
            <w:r>
              <w:rPr>
                <w:rFonts w:ascii="仿宋_GB2312" w:hAnsi="仿宋_GB2312" w:cs="仿宋_GB2312" w:eastAsia="仿宋_GB2312"/>
                <w:sz w:val="18"/>
              </w:rPr>
              <w:t>功能。</w:t>
            </w:r>
          </w:p>
          <w:p>
            <w:pPr>
              <w:pStyle w:val="null3"/>
              <w:ind w:firstLine="482"/>
              <w:jc w:val="both"/>
            </w:pPr>
            <w:r>
              <w:rPr>
                <w:rFonts w:ascii="仿宋_GB2312" w:hAnsi="仿宋_GB2312" w:cs="仿宋_GB2312" w:eastAsia="仿宋_GB2312"/>
                <w:sz w:val="18"/>
                <w:b/>
              </w:rPr>
              <w:t>6、网格员微信管理：</w:t>
            </w:r>
            <w:r>
              <w:rPr>
                <w:rFonts w:ascii="仿宋_GB2312" w:hAnsi="仿宋_GB2312" w:cs="仿宋_GB2312" w:eastAsia="仿宋_GB2312"/>
                <w:sz w:val="18"/>
              </w:rPr>
              <w:t>依托企业微信建立网格员</w:t>
            </w:r>
            <w:r>
              <w:rPr>
                <w:rFonts w:ascii="仿宋_GB2312" w:hAnsi="仿宋_GB2312" w:cs="仿宋_GB2312" w:eastAsia="仿宋_GB2312"/>
                <w:sz w:val="18"/>
              </w:rPr>
              <w:t>5级树状管理结构，建立各级网格员通讯录，上级网格员可以通过语音、视频等方式随时与一线网格员联系</w:t>
            </w:r>
            <w:r>
              <w:rPr>
                <w:rFonts w:ascii="仿宋_GB2312" w:hAnsi="仿宋_GB2312" w:cs="仿宋_GB2312" w:eastAsia="仿宋_GB2312"/>
                <w:sz w:val="18"/>
              </w:rPr>
              <w:t>，</w:t>
            </w:r>
            <w:r>
              <w:rPr>
                <w:rFonts w:ascii="仿宋_GB2312" w:hAnsi="仿宋_GB2312" w:cs="仿宋_GB2312" w:eastAsia="仿宋_GB2312"/>
                <w:sz w:val="18"/>
              </w:rPr>
              <w:t>更好地促进基层网格员和农户有效沟通</w:t>
            </w:r>
            <w:r>
              <w:rPr>
                <w:rFonts w:ascii="仿宋_GB2312" w:hAnsi="仿宋_GB2312" w:cs="仿宋_GB2312" w:eastAsia="仿宋_GB2312"/>
                <w:sz w:val="18"/>
              </w:rPr>
              <w:t>，</w:t>
            </w:r>
            <w:r>
              <w:rPr>
                <w:rFonts w:ascii="仿宋_GB2312" w:hAnsi="仿宋_GB2312" w:cs="仿宋_GB2312" w:eastAsia="仿宋_GB2312"/>
                <w:sz w:val="18"/>
              </w:rPr>
              <w:t>方便基层网格员日常</w:t>
            </w:r>
            <w:r>
              <w:rPr>
                <w:rFonts w:ascii="仿宋_GB2312" w:hAnsi="仿宋_GB2312" w:cs="仿宋_GB2312" w:eastAsia="仿宋_GB2312"/>
                <w:sz w:val="18"/>
              </w:rPr>
              <w:t>开展</w:t>
            </w:r>
            <w:r>
              <w:rPr>
                <w:rFonts w:ascii="仿宋_GB2312" w:hAnsi="仿宋_GB2312" w:cs="仿宋_GB2312" w:eastAsia="仿宋_GB2312"/>
                <w:sz w:val="18"/>
              </w:rPr>
              <w:t>工作</w:t>
            </w:r>
            <w:r>
              <w:rPr>
                <w:rFonts w:ascii="仿宋_GB2312" w:hAnsi="仿宋_GB2312" w:cs="仿宋_GB2312" w:eastAsia="仿宋_GB2312"/>
                <w:sz w:val="18"/>
              </w:rPr>
              <w:t>。</w:t>
            </w:r>
          </w:p>
          <w:p>
            <w:pPr>
              <w:pStyle w:val="null3"/>
              <w:ind w:firstLine="643"/>
              <w:jc w:val="both"/>
            </w:pPr>
            <w:r>
              <w:rPr>
                <w:rFonts w:ascii="仿宋_GB2312" w:hAnsi="仿宋_GB2312" w:cs="仿宋_GB2312" w:eastAsia="仿宋_GB2312"/>
                <w:sz w:val="18"/>
                <w:b/>
              </w:rPr>
              <w:t>7、决策分析子系统：</w:t>
            </w:r>
            <w:r>
              <w:rPr>
                <w:rFonts w:ascii="仿宋_GB2312" w:hAnsi="仿宋_GB2312" w:cs="仿宋_GB2312" w:eastAsia="仿宋_GB2312"/>
                <w:sz w:val="18"/>
              </w:rPr>
              <w:t>对积累的业务数据通过大数据、</w:t>
            </w:r>
            <w:r>
              <w:rPr>
                <w:rFonts w:ascii="仿宋_GB2312" w:hAnsi="仿宋_GB2312" w:cs="仿宋_GB2312" w:eastAsia="仿宋_GB2312"/>
                <w:sz w:val="18"/>
              </w:rPr>
              <w:t>GIS及相关可视化技术，从基础数据、监测风险、收入监测、帮扶措施、外出务工、工作推进等维度提供可视化服务，</w:t>
            </w:r>
            <w:r>
              <w:rPr>
                <w:rFonts w:ascii="仿宋_GB2312" w:hAnsi="仿宋_GB2312" w:cs="仿宋_GB2312" w:eastAsia="仿宋_GB2312"/>
                <w:sz w:val="18"/>
              </w:rPr>
              <w:t>以</w:t>
            </w:r>
            <w:r>
              <w:rPr>
                <w:rFonts w:ascii="仿宋_GB2312" w:hAnsi="仿宋_GB2312" w:cs="仿宋_GB2312" w:eastAsia="仿宋_GB2312"/>
                <w:sz w:val="18"/>
              </w:rPr>
              <w:t>多种图表</w:t>
            </w:r>
            <w:r>
              <w:rPr>
                <w:rFonts w:ascii="仿宋_GB2312" w:hAnsi="仿宋_GB2312" w:cs="仿宋_GB2312" w:eastAsia="仿宋_GB2312"/>
                <w:sz w:val="18"/>
              </w:rPr>
              <w:t>多种</w:t>
            </w:r>
            <w:r>
              <w:rPr>
                <w:rFonts w:ascii="仿宋_GB2312" w:hAnsi="仿宋_GB2312" w:cs="仿宋_GB2312" w:eastAsia="仿宋_GB2312"/>
                <w:sz w:val="18"/>
              </w:rPr>
              <w:t>展现形式进行直观展示，为</w:t>
            </w:r>
            <w:r>
              <w:rPr>
                <w:rFonts w:ascii="仿宋_GB2312" w:hAnsi="仿宋_GB2312" w:cs="仿宋_GB2312" w:eastAsia="仿宋_GB2312"/>
                <w:sz w:val="18"/>
              </w:rPr>
              <w:t>开展</w:t>
            </w:r>
            <w:r>
              <w:rPr>
                <w:rFonts w:ascii="仿宋_GB2312" w:hAnsi="仿宋_GB2312" w:cs="仿宋_GB2312" w:eastAsia="仿宋_GB2312"/>
                <w:sz w:val="18"/>
              </w:rPr>
              <w:t>决策提供服务。</w:t>
            </w:r>
          </w:p>
          <w:p>
            <w:pPr>
              <w:pStyle w:val="null3"/>
              <w:ind w:firstLine="643"/>
              <w:jc w:val="both"/>
            </w:pPr>
            <w:r>
              <w:rPr>
                <w:rFonts w:ascii="仿宋_GB2312" w:hAnsi="仿宋_GB2312" w:cs="仿宋_GB2312" w:eastAsia="仿宋_GB2312"/>
                <w:sz w:val="18"/>
                <w:b/>
              </w:rPr>
              <w:t>8、项目资产：</w:t>
            </w:r>
            <w:r>
              <w:rPr>
                <w:rFonts w:ascii="仿宋_GB2312" w:hAnsi="仿宋_GB2312" w:cs="仿宋_GB2312" w:eastAsia="仿宋_GB2312"/>
                <w:sz w:val="18"/>
              </w:rPr>
              <w:t>统计、管理</w:t>
            </w:r>
            <w:r>
              <w:rPr>
                <w:rFonts w:ascii="仿宋_GB2312" w:hAnsi="仿宋_GB2312" w:cs="仿宋_GB2312" w:eastAsia="仿宋_GB2312"/>
                <w:sz w:val="18"/>
              </w:rPr>
              <w:t>帮扶项目资产</w:t>
            </w:r>
            <w:r>
              <w:rPr>
                <w:rFonts w:ascii="仿宋_GB2312" w:hAnsi="仿宋_GB2312" w:cs="仿宋_GB2312" w:eastAsia="仿宋_GB2312"/>
                <w:sz w:val="18"/>
              </w:rPr>
              <w:t>信息，建立</w:t>
            </w:r>
            <w:r>
              <w:rPr>
                <w:rFonts w:ascii="仿宋_GB2312" w:hAnsi="仿宋_GB2312" w:cs="仿宋_GB2312" w:eastAsia="仿宋_GB2312"/>
                <w:sz w:val="18"/>
              </w:rPr>
              <w:t>有关</w:t>
            </w:r>
            <w:r>
              <w:rPr>
                <w:rFonts w:ascii="仿宋_GB2312" w:hAnsi="仿宋_GB2312" w:cs="仿宋_GB2312" w:eastAsia="仿宋_GB2312"/>
                <w:sz w:val="18"/>
              </w:rPr>
              <w:t>台账</w:t>
            </w:r>
            <w:r>
              <w:rPr>
                <w:rFonts w:ascii="仿宋_GB2312" w:hAnsi="仿宋_GB2312" w:cs="仿宋_GB2312" w:eastAsia="仿宋_GB2312"/>
                <w:sz w:val="18"/>
              </w:rPr>
              <w:t>，通过信息化手段对项目资产情况进行监管</w:t>
            </w:r>
            <w:r>
              <w:rPr>
                <w:rFonts w:ascii="仿宋_GB2312" w:hAnsi="仿宋_GB2312" w:cs="仿宋_GB2312" w:eastAsia="仿宋_GB2312"/>
                <w:sz w:val="18"/>
              </w:rPr>
              <w:t>，</w:t>
            </w:r>
            <w:r>
              <w:rPr>
                <w:rFonts w:ascii="仿宋_GB2312" w:hAnsi="仿宋_GB2312" w:cs="仿宋_GB2312" w:eastAsia="仿宋_GB2312"/>
                <w:sz w:val="18"/>
              </w:rPr>
              <w:t>为</w:t>
            </w:r>
            <w:r>
              <w:rPr>
                <w:rFonts w:ascii="仿宋_GB2312" w:hAnsi="仿宋_GB2312" w:cs="仿宋_GB2312" w:eastAsia="仿宋_GB2312"/>
                <w:sz w:val="18"/>
              </w:rPr>
              <w:t>实现</w:t>
            </w:r>
            <w:r>
              <w:rPr>
                <w:rFonts w:ascii="仿宋_GB2312" w:hAnsi="仿宋_GB2312" w:cs="仿宋_GB2312" w:eastAsia="仿宋_GB2312"/>
                <w:sz w:val="18"/>
              </w:rPr>
              <w:t>扶贫项目资产长效管护提供信息化支撑。</w:t>
            </w:r>
          </w:p>
          <w:p>
            <w:pPr>
              <w:pStyle w:val="null3"/>
              <w:ind w:firstLine="643"/>
              <w:jc w:val="both"/>
            </w:pPr>
            <w:r>
              <w:rPr>
                <w:rFonts w:ascii="仿宋_GB2312" w:hAnsi="仿宋_GB2312" w:cs="仿宋_GB2312" w:eastAsia="仿宋_GB2312"/>
                <w:sz w:val="18"/>
                <w:b/>
              </w:rPr>
              <w:t>9、户厕改革子系统：</w:t>
            </w:r>
            <w:r>
              <w:rPr>
                <w:rFonts w:ascii="仿宋_GB2312" w:hAnsi="仿宋_GB2312" w:cs="仿宋_GB2312" w:eastAsia="仿宋_GB2312"/>
                <w:sz w:val="18"/>
              </w:rPr>
              <w:t>建立户厕、公厕信息管理体系。通过户厕摸排了解农村地区户厕建设情况</w:t>
            </w:r>
            <w:r>
              <w:rPr>
                <w:rFonts w:ascii="仿宋_GB2312" w:hAnsi="仿宋_GB2312" w:cs="仿宋_GB2312" w:eastAsia="仿宋_GB2312"/>
                <w:sz w:val="18"/>
              </w:rPr>
              <w:t>，</w:t>
            </w:r>
            <w:r>
              <w:rPr>
                <w:rFonts w:ascii="仿宋_GB2312" w:hAnsi="仿宋_GB2312" w:cs="仿宋_GB2312" w:eastAsia="仿宋_GB2312"/>
                <w:sz w:val="18"/>
              </w:rPr>
              <w:t>对卫生厕所进行统一管理，建立省、市、县、乡、村</w:t>
            </w:r>
            <w:r>
              <w:rPr>
                <w:rFonts w:ascii="仿宋_GB2312" w:hAnsi="仿宋_GB2312" w:cs="仿宋_GB2312" w:eastAsia="仿宋_GB2312"/>
                <w:sz w:val="18"/>
              </w:rPr>
              <w:t>各级</w:t>
            </w:r>
            <w:r>
              <w:rPr>
                <w:rFonts w:ascii="仿宋_GB2312" w:hAnsi="仿宋_GB2312" w:cs="仿宋_GB2312" w:eastAsia="仿宋_GB2312"/>
                <w:sz w:val="18"/>
              </w:rPr>
              <w:t>厕所管理台账。</w:t>
            </w:r>
          </w:p>
          <w:p>
            <w:pPr>
              <w:pStyle w:val="null3"/>
              <w:ind w:firstLine="643"/>
              <w:jc w:val="both"/>
            </w:pPr>
            <w:r>
              <w:rPr>
                <w:rFonts w:ascii="仿宋_GB2312" w:hAnsi="仿宋_GB2312" w:cs="仿宋_GB2312" w:eastAsia="仿宋_GB2312"/>
                <w:sz w:val="18"/>
                <w:b/>
              </w:rPr>
              <w:t>10、系统管理子系统：</w:t>
            </w:r>
            <w:r>
              <w:rPr>
                <w:rFonts w:ascii="仿宋_GB2312" w:hAnsi="仿宋_GB2312" w:cs="仿宋_GB2312" w:eastAsia="仿宋_GB2312"/>
                <w:sz w:val="18"/>
              </w:rPr>
              <w:t>对系统管理员提供平台的配置维护管理功能，</w:t>
            </w:r>
            <w:r>
              <w:rPr>
                <w:rFonts w:ascii="仿宋_GB2312" w:hAnsi="仿宋_GB2312" w:cs="仿宋_GB2312" w:eastAsia="仿宋_GB2312"/>
                <w:sz w:val="18"/>
              </w:rPr>
              <w:t>包括</w:t>
            </w:r>
            <w:r>
              <w:rPr>
                <w:rFonts w:ascii="仿宋_GB2312" w:hAnsi="仿宋_GB2312" w:cs="仿宋_GB2312" w:eastAsia="仿宋_GB2312"/>
                <w:sz w:val="18"/>
              </w:rPr>
              <w:t>系统用户管理、行政区划管理、系统权限管理、系统资源管理、基础配置管理、系统操作指南、移动客户端管理等内容。</w:t>
            </w:r>
          </w:p>
          <w:p>
            <w:pPr>
              <w:pStyle w:val="null3"/>
              <w:jc w:val="both"/>
            </w:pPr>
            <w:r>
              <w:rPr>
                <w:rFonts w:ascii="仿宋_GB2312" w:hAnsi="仿宋_GB2312" w:cs="仿宋_GB2312" w:eastAsia="仿宋_GB2312"/>
                <w:sz w:val="18"/>
                <w:b/>
              </w:rPr>
              <w:t>（二）</w:t>
            </w:r>
            <w:r>
              <w:rPr>
                <w:rFonts w:ascii="仿宋_GB2312" w:hAnsi="仿宋_GB2312" w:cs="仿宋_GB2312" w:eastAsia="仿宋_GB2312"/>
                <w:sz w:val="18"/>
                <w:b/>
              </w:rPr>
              <w:t>功能开发优化及数据提取分析服务</w:t>
            </w:r>
          </w:p>
          <w:p>
            <w:pPr>
              <w:pStyle w:val="null3"/>
              <w:ind w:firstLine="480"/>
              <w:jc w:val="both"/>
            </w:pPr>
            <w:r>
              <w:rPr>
                <w:rFonts w:ascii="仿宋_GB2312" w:hAnsi="仿宋_GB2312" w:cs="仿宋_GB2312" w:eastAsia="仿宋_GB2312"/>
                <w:sz w:val="18"/>
              </w:rPr>
              <w:t>服务单位根据工作需求，需要对原有功能不断进行调整优化，确保功能符合最新工作要求。根据开展防止返贫致贫监测帮扶工作需求，及时提供系统内有关数据提取服务，配合完成数据分析工作。</w:t>
            </w:r>
          </w:p>
          <w:p>
            <w:pPr>
              <w:pStyle w:val="null3"/>
              <w:jc w:val="both"/>
            </w:pPr>
            <w:r>
              <w:rPr>
                <w:rFonts w:ascii="仿宋_GB2312" w:hAnsi="仿宋_GB2312" w:cs="仿宋_GB2312" w:eastAsia="仿宋_GB2312"/>
                <w:sz w:val="18"/>
                <w:b/>
              </w:rPr>
              <w:t>（三）系统对接服务</w:t>
            </w:r>
          </w:p>
          <w:p>
            <w:pPr>
              <w:pStyle w:val="null3"/>
              <w:ind w:firstLine="482"/>
              <w:jc w:val="both"/>
            </w:pPr>
            <w:r>
              <w:rPr>
                <w:rFonts w:ascii="仿宋_GB2312" w:hAnsi="仿宋_GB2312" w:cs="仿宋_GB2312" w:eastAsia="仿宋_GB2312"/>
                <w:sz w:val="18"/>
                <w:b/>
              </w:rPr>
              <w:t>（</w:t>
            </w:r>
            <w:r>
              <w:rPr>
                <w:rFonts w:ascii="仿宋_GB2312" w:hAnsi="仿宋_GB2312" w:cs="仿宋_GB2312" w:eastAsia="仿宋_GB2312"/>
                <w:sz w:val="18"/>
                <w:b/>
              </w:rPr>
              <w:t>1）与全国信息系统对接服务。</w:t>
            </w:r>
            <w:r>
              <w:rPr>
                <w:rFonts w:ascii="仿宋_GB2312" w:hAnsi="仿宋_GB2312" w:cs="仿宋_GB2312" w:eastAsia="仿宋_GB2312"/>
                <w:sz w:val="18"/>
              </w:rPr>
              <w:t>与全国防止返贫监测和衔接推进乡村振兴信息系统进行对接，根据全国防止返贫监测和衔接推进乡村振兴信息系统指标体系要求，服务单位负责每周与该系统开展基础数据对接工作。</w:t>
            </w:r>
          </w:p>
          <w:p>
            <w:pPr>
              <w:pStyle w:val="null3"/>
              <w:ind w:firstLine="482"/>
              <w:jc w:val="both"/>
            </w:pPr>
            <w:r>
              <w:rPr>
                <w:rFonts w:ascii="仿宋_GB2312" w:hAnsi="仿宋_GB2312" w:cs="仿宋_GB2312" w:eastAsia="仿宋_GB2312"/>
                <w:sz w:val="18"/>
                <w:b/>
              </w:rPr>
              <w:t>（</w:t>
            </w:r>
            <w:r>
              <w:rPr>
                <w:rFonts w:ascii="仿宋_GB2312" w:hAnsi="仿宋_GB2312" w:cs="仿宋_GB2312" w:eastAsia="仿宋_GB2312"/>
                <w:sz w:val="18"/>
                <w:b/>
              </w:rPr>
              <w:t>2</w:t>
            </w:r>
            <w:r>
              <w:rPr>
                <w:rFonts w:ascii="仿宋_GB2312" w:hAnsi="仿宋_GB2312" w:cs="仿宋_GB2312" w:eastAsia="仿宋_GB2312"/>
                <w:sz w:val="18"/>
                <w:b/>
              </w:rPr>
              <w:t>）</w:t>
            </w:r>
            <w:r>
              <w:rPr>
                <w:rFonts w:ascii="仿宋_GB2312" w:hAnsi="仿宋_GB2312" w:cs="仿宋_GB2312" w:eastAsia="仿宋_GB2312"/>
                <w:sz w:val="18"/>
                <w:b/>
              </w:rPr>
              <w:t>与相关行业部门业务数据进行对接。</w:t>
            </w:r>
            <w:r>
              <w:rPr>
                <w:rFonts w:ascii="仿宋_GB2312" w:hAnsi="仿宋_GB2312" w:cs="仿宋_GB2312" w:eastAsia="仿宋_GB2312"/>
                <w:sz w:val="18"/>
              </w:rPr>
              <w:t>为持续开展好监测预警工作，做好与相关行业部门的</w:t>
            </w:r>
            <w:r>
              <w:rPr>
                <w:rFonts w:ascii="仿宋_GB2312" w:hAnsi="仿宋_GB2312" w:cs="仿宋_GB2312" w:eastAsia="仿宋_GB2312"/>
                <w:sz w:val="18"/>
              </w:rPr>
              <w:t>数据对接和共享工作，通过数据交换分析，提高监测帮扶质效。</w:t>
            </w:r>
          </w:p>
          <w:p>
            <w:pPr>
              <w:pStyle w:val="null3"/>
              <w:jc w:val="both"/>
            </w:pPr>
            <w:r>
              <w:rPr>
                <w:rFonts w:ascii="仿宋_GB2312" w:hAnsi="仿宋_GB2312" w:cs="仿宋_GB2312" w:eastAsia="仿宋_GB2312"/>
                <w:sz w:val="18"/>
                <w:b/>
              </w:rPr>
              <w:t>（四）视频会议保障服务</w:t>
            </w:r>
          </w:p>
          <w:p>
            <w:pPr>
              <w:pStyle w:val="null3"/>
              <w:ind w:firstLine="480"/>
              <w:jc w:val="both"/>
            </w:pPr>
            <w:r>
              <w:rPr>
                <w:rFonts w:ascii="仿宋_GB2312" w:hAnsi="仿宋_GB2312" w:cs="仿宋_GB2312" w:eastAsia="仿宋_GB2312"/>
                <w:sz w:val="18"/>
              </w:rPr>
              <w:t>确保视频会议系统稳定运行，提供现场人员服务支撑，对重要会议提供重要通信保障，并提供视频会议系统稳定运行和维护所需的工具和硬件设备。</w:t>
            </w:r>
          </w:p>
          <w:p>
            <w:pPr>
              <w:pStyle w:val="null3"/>
              <w:jc w:val="both"/>
            </w:pPr>
            <w:r>
              <w:rPr>
                <w:rFonts w:ascii="仿宋_GB2312" w:hAnsi="仿宋_GB2312" w:cs="仿宋_GB2312" w:eastAsia="仿宋_GB2312"/>
                <w:sz w:val="18"/>
                <w:b/>
              </w:rPr>
              <w:t>三、运维要求</w:t>
            </w:r>
          </w:p>
          <w:p>
            <w:pPr>
              <w:pStyle w:val="null3"/>
              <w:jc w:val="both"/>
            </w:pPr>
            <w:r>
              <w:rPr>
                <w:rFonts w:ascii="仿宋_GB2312" w:hAnsi="仿宋_GB2312" w:cs="仿宋_GB2312" w:eastAsia="仿宋_GB2312"/>
                <w:sz w:val="18"/>
                <w:b/>
              </w:rPr>
              <w:t>1、维护范围</w:t>
            </w:r>
          </w:p>
          <w:p>
            <w:pPr>
              <w:pStyle w:val="null3"/>
              <w:ind w:firstLine="480"/>
              <w:jc w:val="both"/>
            </w:pPr>
            <w:r>
              <w:rPr>
                <w:rFonts w:ascii="仿宋_GB2312" w:hAnsi="仿宋_GB2312" w:cs="仿宋_GB2312" w:eastAsia="仿宋_GB2312"/>
                <w:sz w:val="18"/>
              </w:rPr>
              <w:t>（</w:t>
            </w:r>
            <w:r>
              <w:rPr>
                <w:rFonts w:ascii="仿宋_GB2312" w:hAnsi="仿宋_GB2312" w:cs="仿宋_GB2312" w:eastAsia="仿宋_GB2312"/>
                <w:sz w:val="18"/>
              </w:rPr>
              <w:t>1）负</w:t>
            </w:r>
            <w:r>
              <w:rPr>
                <w:rFonts w:ascii="仿宋_GB2312" w:hAnsi="仿宋_GB2312" w:cs="仿宋_GB2312" w:eastAsia="仿宋_GB2312"/>
                <w:sz w:val="18"/>
              </w:rPr>
              <w:t>责对系统进行维护，负责系统优化、新增、变更等业务的开发，并负责相关内容的培训。</w:t>
            </w:r>
            <w:r>
              <w:rPr>
                <w:rFonts w:ascii="仿宋_GB2312" w:hAnsi="仿宋_GB2312" w:cs="仿宋_GB2312" w:eastAsia="仿宋_GB2312"/>
                <w:sz w:val="18"/>
              </w:rPr>
              <w:t>包括：</w:t>
            </w:r>
            <w:r>
              <w:rPr>
                <w:rFonts w:ascii="仿宋_GB2312" w:hAnsi="仿宋_GB2312" w:cs="仿宋_GB2312" w:eastAsia="仿宋_GB2312"/>
                <w:sz w:val="18"/>
              </w:rPr>
              <w:t>①根据业务需求，设计提供软件系统解决方案，并配合甲方共同制定开发计划。②对于软件开发性项目，必须按照软件开发的一般方法（计划、需求分析、设计、编码、验收、上线）来进行严格组织和实施。保证开发的质量，性能和效率。③按照软件开发规范提供开发项目范围内涉及的所有文档资料，如需求分析、开发计划、数据库设计说明书、测试报告、操作手册、用户培训手册、系统部署方案等。文档编写应符合规范，具有准确性、清晰性、完整性和可追溯性。④对软件发布进行管理，提供发布清单，做好软件备份、版本管理，保证所运维系统稳定运行。⑤根据甲方要求对系统内有关数据进行提取分析。</w:t>
            </w:r>
          </w:p>
          <w:p>
            <w:pPr>
              <w:pStyle w:val="null3"/>
              <w:ind w:firstLine="480"/>
              <w:jc w:val="both"/>
            </w:pPr>
            <w:r>
              <w:rPr>
                <w:rFonts w:ascii="仿宋_GB2312" w:hAnsi="仿宋_GB2312" w:cs="仿宋_GB2312" w:eastAsia="仿宋_GB2312"/>
                <w:sz w:val="18"/>
              </w:rPr>
              <w:t>（</w:t>
            </w:r>
            <w:r>
              <w:rPr>
                <w:rFonts w:ascii="仿宋_GB2312" w:hAnsi="仿宋_GB2312" w:cs="仿宋_GB2312" w:eastAsia="仿宋_GB2312"/>
                <w:sz w:val="18"/>
              </w:rPr>
              <w:t>2）对系统的运行效率、性能进行分析，并根据分析结果进行程序优化、调整等，保证系统高效、稳定运行。</w:t>
            </w:r>
          </w:p>
          <w:p>
            <w:pPr>
              <w:pStyle w:val="null3"/>
              <w:ind w:firstLine="480"/>
              <w:jc w:val="both"/>
            </w:pPr>
            <w:r>
              <w:rPr>
                <w:rFonts w:ascii="仿宋_GB2312" w:hAnsi="仿宋_GB2312" w:cs="仿宋_GB2312" w:eastAsia="仿宋_GB2312"/>
                <w:sz w:val="18"/>
              </w:rPr>
              <w:t>（</w:t>
            </w:r>
            <w:r>
              <w:rPr>
                <w:rFonts w:ascii="仿宋_GB2312" w:hAnsi="仿宋_GB2312" w:cs="仿宋_GB2312" w:eastAsia="仿宋_GB2312"/>
                <w:sz w:val="18"/>
              </w:rPr>
              <w:t>3）负责对系统运维过程中所涉及的基础软件平台和系统进行集成，确保架构科学合理，系统安全、稳定、高效运行。</w:t>
            </w:r>
          </w:p>
          <w:p>
            <w:pPr>
              <w:pStyle w:val="null3"/>
              <w:ind w:firstLine="480"/>
              <w:jc w:val="both"/>
            </w:pPr>
            <w:r>
              <w:rPr>
                <w:rFonts w:ascii="仿宋_GB2312" w:hAnsi="仿宋_GB2312" w:cs="仿宋_GB2312" w:eastAsia="仿宋_GB2312"/>
                <w:sz w:val="18"/>
              </w:rPr>
              <w:t>（</w:t>
            </w:r>
            <w:r>
              <w:rPr>
                <w:rFonts w:ascii="仿宋_GB2312" w:hAnsi="仿宋_GB2312" w:cs="仿宋_GB2312" w:eastAsia="仿宋_GB2312"/>
                <w:sz w:val="18"/>
              </w:rPr>
              <w:t>4）对系统发生的故障及时响应，快速解决。</w:t>
            </w:r>
          </w:p>
          <w:p>
            <w:pPr>
              <w:pStyle w:val="null3"/>
              <w:ind w:firstLine="480"/>
              <w:jc w:val="both"/>
            </w:pPr>
            <w:r>
              <w:rPr>
                <w:rFonts w:ascii="仿宋_GB2312" w:hAnsi="仿宋_GB2312" w:cs="仿宋_GB2312" w:eastAsia="仿宋_GB2312"/>
                <w:sz w:val="18"/>
              </w:rPr>
              <w:t>（</w:t>
            </w:r>
            <w:r>
              <w:rPr>
                <w:rFonts w:ascii="仿宋_GB2312" w:hAnsi="仿宋_GB2312" w:cs="仿宋_GB2312" w:eastAsia="仿宋_GB2312"/>
                <w:sz w:val="18"/>
              </w:rPr>
              <w:t>5）配合安全检查、安全评测、安全漏洞扫描等发现的系统中存在的安全问题，进行整改和落实。</w:t>
            </w:r>
          </w:p>
          <w:p>
            <w:pPr>
              <w:pStyle w:val="null3"/>
              <w:jc w:val="both"/>
            </w:pPr>
            <w:r>
              <w:rPr>
                <w:rFonts w:ascii="仿宋_GB2312" w:hAnsi="仿宋_GB2312" w:cs="仿宋_GB2312" w:eastAsia="仿宋_GB2312"/>
                <w:sz w:val="18"/>
                <w:b/>
              </w:rPr>
              <w:t>2、运维技术要求</w:t>
            </w:r>
          </w:p>
          <w:p>
            <w:pPr>
              <w:pStyle w:val="null3"/>
              <w:ind w:firstLine="480"/>
              <w:jc w:val="both"/>
            </w:pPr>
            <w:r>
              <w:rPr>
                <w:rFonts w:ascii="仿宋_GB2312" w:hAnsi="仿宋_GB2312" w:cs="仿宋_GB2312" w:eastAsia="仿宋_GB2312"/>
                <w:sz w:val="18"/>
              </w:rPr>
              <w:t>系统运行：要满足系统提供</w:t>
            </w:r>
            <w:r>
              <w:rPr>
                <w:rFonts w:ascii="仿宋_GB2312" w:hAnsi="仿宋_GB2312" w:cs="仿宋_GB2312" w:eastAsia="仿宋_GB2312"/>
                <w:sz w:val="18"/>
              </w:rPr>
              <w:t>7</w:t>
            </w:r>
            <w:r>
              <w:rPr>
                <w:rFonts w:ascii="仿宋_GB2312" w:hAnsi="仿宋_GB2312" w:cs="仿宋_GB2312" w:eastAsia="仿宋_GB2312"/>
                <w:sz w:val="18"/>
              </w:rPr>
              <w:t>天</w:t>
            </w:r>
            <w:r>
              <w:rPr>
                <w:rFonts w:ascii="仿宋_GB2312" w:hAnsi="仿宋_GB2312" w:cs="仿宋_GB2312" w:eastAsia="仿宋_GB2312"/>
                <w:sz w:val="18"/>
              </w:rPr>
              <w:t>*</w:t>
            </w:r>
            <w:r>
              <w:rPr>
                <w:rFonts w:ascii="仿宋_GB2312" w:hAnsi="仿宋_GB2312" w:cs="仿宋_GB2312" w:eastAsia="仿宋_GB2312"/>
                <w:sz w:val="18"/>
              </w:rPr>
              <w:t>24小时的连续运行需求，系统年中断时间不超过 24 小时。</w:t>
            </w:r>
          </w:p>
          <w:p>
            <w:pPr>
              <w:pStyle w:val="null3"/>
              <w:ind w:firstLine="480"/>
              <w:jc w:val="both"/>
            </w:pPr>
            <w:r>
              <w:rPr>
                <w:rFonts w:ascii="仿宋_GB2312" w:hAnsi="仿宋_GB2312" w:cs="仿宋_GB2312" w:eastAsia="仿宋_GB2312"/>
                <w:sz w:val="18"/>
              </w:rPr>
              <w:t>事件响应：一般问题要求</w:t>
            </w:r>
            <w:r>
              <w:rPr>
                <w:rFonts w:ascii="仿宋_GB2312" w:hAnsi="仿宋_GB2312" w:cs="仿宋_GB2312" w:eastAsia="仿宋_GB2312"/>
                <w:sz w:val="18"/>
              </w:rPr>
              <w:t>2 小时内响应；重大问题半小时内响应。</w:t>
            </w:r>
          </w:p>
          <w:p>
            <w:pPr>
              <w:pStyle w:val="null3"/>
              <w:ind w:firstLine="480"/>
              <w:jc w:val="both"/>
            </w:pPr>
            <w:r>
              <w:rPr>
                <w:rFonts w:ascii="仿宋_GB2312" w:hAnsi="仿宋_GB2312" w:cs="仿宋_GB2312" w:eastAsia="仿宋_GB2312"/>
                <w:sz w:val="18"/>
              </w:rPr>
              <w:t>故障处理：</w:t>
            </w:r>
            <w:r>
              <w:rPr>
                <w:rFonts w:ascii="仿宋_GB2312" w:hAnsi="仿宋_GB2312" w:cs="仿宋_GB2312" w:eastAsia="仿宋_GB2312"/>
                <w:sz w:val="18"/>
              </w:rPr>
              <w:t>24小时内解决一般故障；4 小时内解决重大故障。经评估在 4 小时内无法解决的重大故障，应执行应急预案并提供故障解决方案。</w:t>
            </w:r>
          </w:p>
          <w:p>
            <w:pPr>
              <w:pStyle w:val="null3"/>
              <w:ind w:firstLine="480"/>
              <w:jc w:val="both"/>
            </w:pPr>
            <w:r>
              <w:rPr>
                <w:rFonts w:ascii="仿宋_GB2312" w:hAnsi="仿宋_GB2312" w:cs="仿宋_GB2312" w:eastAsia="仿宋_GB2312"/>
                <w:sz w:val="18"/>
              </w:rPr>
              <w:t>（</w:t>
            </w:r>
            <w:r>
              <w:rPr>
                <w:rFonts w:ascii="仿宋_GB2312" w:hAnsi="仿宋_GB2312" w:cs="仿宋_GB2312" w:eastAsia="仿宋_GB2312"/>
                <w:sz w:val="18"/>
              </w:rPr>
              <w:t>1）运维方式要求</w:t>
            </w:r>
          </w:p>
          <w:p>
            <w:pPr>
              <w:pStyle w:val="null3"/>
              <w:ind w:firstLine="480"/>
              <w:jc w:val="both"/>
            </w:pPr>
            <w:r>
              <w:rPr>
                <w:rFonts w:ascii="仿宋_GB2312" w:hAnsi="仿宋_GB2312" w:cs="仿宋_GB2312" w:eastAsia="仿宋_GB2312"/>
                <w:sz w:val="18"/>
              </w:rPr>
              <w:t>远程方式：提供全年</w:t>
            </w:r>
            <w:r>
              <w:rPr>
                <w:rFonts w:ascii="仿宋_GB2312" w:hAnsi="仿宋_GB2312" w:cs="仿宋_GB2312" w:eastAsia="仿宋_GB2312"/>
                <w:sz w:val="18"/>
              </w:rPr>
              <w:t>7</w:t>
            </w:r>
            <w:r>
              <w:rPr>
                <w:rFonts w:ascii="仿宋_GB2312" w:hAnsi="仿宋_GB2312" w:cs="仿宋_GB2312" w:eastAsia="仿宋_GB2312"/>
                <w:sz w:val="18"/>
              </w:rPr>
              <w:t>天</w:t>
            </w:r>
            <w:r>
              <w:rPr>
                <w:rFonts w:ascii="仿宋_GB2312" w:hAnsi="仿宋_GB2312" w:cs="仿宋_GB2312" w:eastAsia="仿宋_GB2312"/>
                <w:sz w:val="18"/>
              </w:rPr>
              <w:t>*24小时远程咨询支持。其中包括热线支持、邮件支持以及通过远程软件支持；</w:t>
            </w:r>
          </w:p>
          <w:p>
            <w:pPr>
              <w:pStyle w:val="null3"/>
              <w:ind w:firstLine="480"/>
              <w:jc w:val="both"/>
            </w:pPr>
            <w:r>
              <w:rPr>
                <w:rFonts w:ascii="仿宋_GB2312" w:hAnsi="仿宋_GB2312" w:cs="仿宋_GB2312" w:eastAsia="仿宋_GB2312"/>
                <w:sz w:val="18"/>
              </w:rPr>
              <w:t>现场方式：现场派驻两名驻场服务人员，提供现场技术支持。针对远程技术无法排除的故障，需派运维工程师现场处理故障问题。</w:t>
            </w:r>
          </w:p>
          <w:p>
            <w:pPr>
              <w:pStyle w:val="null3"/>
              <w:ind w:firstLine="480"/>
              <w:jc w:val="both"/>
            </w:pPr>
            <w:r>
              <w:rPr>
                <w:rFonts w:ascii="仿宋_GB2312" w:hAnsi="仿宋_GB2312" w:cs="仿宋_GB2312" w:eastAsia="仿宋_GB2312"/>
                <w:sz w:val="18"/>
              </w:rPr>
              <w:t>（</w:t>
            </w:r>
            <w:r>
              <w:rPr>
                <w:rFonts w:ascii="仿宋_GB2312" w:hAnsi="仿宋_GB2312" w:cs="仿宋_GB2312" w:eastAsia="仿宋_GB2312"/>
                <w:sz w:val="18"/>
              </w:rPr>
              <w:t>2）运维团队要求：明确运维项目团队及其固定成员，不得随意更换项目组成员，若需更换则须以书面形式申请。</w:t>
            </w:r>
          </w:p>
          <w:p>
            <w:pPr>
              <w:pStyle w:val="null3"/>
              <w:ind w:firstLine="480"/>
              <w:jc w:val="both"/>
            </w:pPr>
            <w:r>
              <w:rPr>
                <w:rFonts w:ascii="仿宋_GB2312" w:hAnsi="仿宋_GB2312" w:cs="仿宋_GB2312" w:eastAsia="仿宋_GB2312"/>
                <w:sz w:val="18"/>
              </w:rPr>
              <w:t>（</w:t>
            </w:r>
            <w:r>
              <w:rPr>
                <w:rFonts w:ascii="仿宋_GB2312" w:hAnsi="仿宋_GB2312" w:cs="仿宋_GB2312" w:eastAsia="仿宋_GB2312"/>
                <w:sz w:val="18"/>
              </w:rPr>
              <w:t>3）运维保密要求：系统中的数据、资料等相关信息，参与运维的全体人员非经授权不得在任何时候向任何人透露。</w:t>
            </w:r>
          </w:p>
          <w:p>
            <w:pPr>
              <w:pStyle w:val="null3"/>
              <w:ind w:firstLine="480"/>
              <w:jc w:val="both"/>
            </w:pPr>
            <w:r>
              <w:rPr>
                <w:rFonts w:ascii="仿宋_GB2312" w:hAnsi="仿宋_GB2312" w:cs="仿宋_GB2312" w:eastAsia="仿宋_GB2312"/>
                <w:sz w:val="18"/>
              </w:rPr>
              <w:t>（</w:t>
            </w:r>
            <w:r>
              <w:rPr>
                <w:rFonts w:ascii="仿宋_GB2312" w:hAnsi="仿宋_GB2312" w:cs="仿宋_GB2312" w:eastAsia="仿宋_GB2312"/>
                <w:sz w:val="18"/>
              </w:rPr>
              <w:t>4）应急预案要求系统故障立即响应：从接到使用方系统故障的口头通知、报修电话、E-Mail 或传真后，运维公司服务人员需立即将系统故障报修事件登记在案，并通知现场维护工程师或专业工程师上门服务，并同时联系报修用户同步处理进度。</w:t>
            </w:r>
          </w:p>
          <w:p>
            <w:pPr>
              <w:pStyle w:val="null3"/>
              <w:ind w:firstLine="480"/>
              <w:jc w:val="both"/>
            </w:pPr>
            <w:r>
              <w:rPr>
                <w:rFonts w:ascii="仿宋_GB2312" w:hAnsi="仿宋_GB2312" w:cs="仿宋_GB2312" w:eastAsia="仿宋_GB2312"/>
                <w:sz w:val="18"/>
              </w:rPr>
              <w:t>（</w:t>
            </w:r>
            <w:r>
              <w:rPr>
                <w:rFonts w:ascii="仿宋_GB2312" w:hAnsi="仿宋_GB2312" w:cs="仿宋_GB2312" w:eastAsia="仿宋_GB2312"/>
                <w:sz w:val="18"/>
              </w:rPr>
              <w:t>5）故障响应要求：系统有故障或用户方有技术支援方面的需求时，响应时间根据以下情况：</w:t>
            </w:r>
          </w:p>
          <w:tbl>
            <w:tblPr>
              <w:tblInd w:type="dxa" w:w="225"/>
              <w:tblBorders>
                <w:top w:val="none" w:color="000000" w:sz="4"/>
                <w:left w:val="none" w:color="000000" w:sz="4"/>
                <w:bottom w:val="none" w:color="000000" w:sz="4"/>
                <w:right w:val="none" w:color="000000" w:sz="4"/>
                <w:insideH w:val="none"/>
                <w:insideV w:val="none"/>
              </w:tblBorders>
            </w:tblPr>
            <w:tblGrid>
              <w:gridCol w:w="188"/>
              <w:gridCol w:w="1698"/>
              <w:gridCol w:w="234"/>
              <w:gridCol w:w="433"/>
            </w:tblGrid>
            <w:tr>
              <w:tc>
                <w:tcPr>
                  <w:tcW w:type="dxa" w:w="188"/>
                  <w:tcBorders>
                    <w:top w:val="single" w:color="000000" w:sz="4"/>
                    <w:left w:val="single" w:color="000000" w:sz="4"/>
                    <w:bottom w:val="single" w:color="000000" w:sz="4"/>
                    <w:right w:val="single" w:color="000000" w:sz="4"/>
                  </w:tcBorders>
                  <w:shd w:fill="D9D9D9"/>
                  <w:tcMar>
                    <w:top w:type="dxa" w:w="0"/>
                    <w:left w:type="dxa" w:w="0"/>
                    <w:bottom w:type="dxa" w:w="0"/>
                    <w:right w:type="dxa" w:w="0"/>
                  </w:tcMar>
                  <w:vAlign w:val="top"/>
                </w:tcPr>
                <w:p>
                  <w:pPr>
                    <w:pStyle w:val="null3"/>
                    <w:jc w:val="center"/>
                  </w:pPr>
                  <w:r>
                    <w:rPr>
                      <w:rFonts w:ascii="仿宋_GB2312" w:hAnsi="仿宋_GB2312" w:cs="仿宋_GB2312" w:eastAsia="仿宋_GB2312"/>
                      <w:sz w:val="18"/>
                    </w:rPr>
                    <w:t>故障级别</w:t>
                  </w:r>
                </w:p>
              </w:tc>
              <w:tc>
                <w:tcPr>
                  <w:tcW w:type="dxa" w:w="1698"/>
                  <w:tcBorders>
                    <w:top w:val="single" w:color="000000" w:sz="4"/>
                    <w:left w:val="none" w:color="000000" w:sz="4"/>
                    <w:bottom w:val="single" w:color="000000" w:sz="4"/>
                    <w:right w:val="single" w:color="000000" w:sz="4"/>
                  </w:tcBorders>
                  <w:shd w:fill="D9D9D9"/>
                  <w:tcMar>
                    <w:top w:type="dxa" w:w="0"/>
                    <w:left w:type="dxa" w:w="0"/>
                    <w:bottom w:type="dxa" w:w="0"/>
                    <w:right w:type="dxa" w:w="0"/>
                  </w:tcMar>
                  <w:vAlign w:val="top"/>
                </w:tcPr>
                <w:p>
                  <w:pPr>
                    <w:pStyle w:val="null3"/>
                    <w:ind w:firstLine="200"/>
                    <w:jc w:val="center"/>
                  </w:pPr>
                  <w:r>
                    <w:rPr>
                      <w:rFonts w:ascii="仿宋_GB2312" w:hAnsi="仿宋_GB2312" w:cs="仿宋_GB2312" w:eastAsia="仿宋_GB2312"/>
                      <w:sz w:val="18"/>
                    </w:rPr>
                    <w:t>定义</w:t>
                  </w:r>
                </w:p>
              </w:tc>
              <w:tc>
                <w:tcPr>
                  <w:tcW w:type="dxa" w:w="234"/>
                  <w:tcBorders>
                    <w:top w:val="single" w:color="000000" w:sz="4"/>
                    <w:left w:val="none" w:color="000000" w:sz="4"/>
                    <w:bottom w:val="single" w:color="000000" w:sz="4"/>
                    <w:right w:val="single" w:color="000000" w:sz="4"/>
                  </w:tcBorders>
                  <w:shd w:fill="D9D9D9"/>
                  <w:tcMar>
                    <w:top w:type="dxa" w:w="0"/>
                    <w:left w:type="dxa" w:w="0"/>
                    <w:bottom w:type="dxa" w:w="0"/>
                    <w:right w:type="dxa" w:w="0"/>
                  </w:tcMar>
                  <w:vAlign w:val="top"/>
                </w:tcPr>
                <w:p>
                  <w:pPr>
                    <w:pStyle w:val="null3"/>
                    <w:jc w:val="center"/>
                  </w:pPr>
                  <w:r>
                    <w:rPr>
                      <w:rFonts w:ascii="仿宋_GB2312" w:hAnsi="仿宋_GB2312" w:cs="仿宋_GB2312" w:eastAsia="仿宋_GB2312"/>
                      <w:sz w:val="18"/>
                    </w:rPr>
                    <w:t>电话响应</w:t>
                  </w:r>
                </w:p>
              </w:tc>
              <w:tc>
                <w:tcPr>
                  <w:tcW w:type="dxa" w:w="433"/>
                  <w:tcBorders>
                    <w:top w:val="single" w:color="000000" w:sz="4"/>
                    <w:left w:val="none" w:color="000000" w:sz="4"/>
                    <w:bottom w:val="single" w:color="000000" w:sz="4"/>
                    <w:right w:val="single" w:color="000000" w:sz="4"/>
                  </w:tcBorders>
                  <w:shd w:fill="D9D9D9"/>
                  <w:tcMar>
                    <w:top w:type="dxa" w:w="0"/>
                    <w:left w:type="dxa" w:w="0"/>
                    <w:bottom w:type="dxa" w:w="0"/>
                    <w:right w:type="dxa" w:w="0"/>
                  </w:tcMar>
                  <w:vAlign w:val="top"/>
                </w:tcPr>
                <w:p>
                  <w:pPr>
                    <w:pStyle w:val="null3"/>
                    <w:jc w:val="center"/>
                  </w:pPr>
                  <w:r>
                    <w:rPr>
                      <w:rFonts w:ascii="仿宋_GB2312" w:hAnsi="仿宋_GB2312" w:cs="仿宋_GB2312" w:eastAsia="仿宋_GB2312"/>
                      <w:sz w:val="18"/>
                    </w:rPr>
                    <w:t>现场响应</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一级故障</w:t>
                  </w:r>
                </w:p>
              </w:tc>
              <w:tc>
                <w:tcPr>
                  <w:tcW w:type="dxa" w:w="16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200"/>
                    <w:jc w:val="both"/>
                  </w:pPr>
                  <w:r>
                    <w:rPr>
                      <w:rFonts w:ascii="仿宋_GB2312" w:hAnsi="仿宋_GB2312" w:cs="仿宋_GB2312" w:eastAsia="仿宋_GB2312"/>
                      <w:sz w:val="18"/>
                    </w:rPr>
                    <w:t>主要指系统在运行中出现的故障直接导致系统瘫痪或服务中断</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立即响应</w:t>
                  </w:r>
                </w:p>
              </w:tc>
              <w:tc>
                <w:tcPr>
                  <w:tcW w:type="dxa" w:w="4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 小时</w:t>
                  </w:r>
                </w:p>
                <w:p>
                  <w:pPr>
                    <w:pStyle w:val="null3"/>
                    <w:jc w:val="center"/>
                  </w:pPr>
                  <w:r>
                    <w:rPr>
                      <w:rFonts w:ascii="仿宋_GB2312" w:hAnsi="仿宋_GB2312" w:cs="仿宋_GB2312" w:eastAsia="仿宋_GB2312"/>
                      <w:sz w:val="18"/>
                    </w:rPr>
                    <w:t>（市内）</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二级故障</w:t>
                  </w:r>
                </w:p>
              </w:tc>
              <w:tc>
                <w:tcPr>
                  <w:tcW w:type="dxa" w:w="16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200"/>
                    <w:jc w:val="both"/>
                  </w:pPr>
                  <w:r>
                    <w:rPr>
                      <w:rFonts w:ascii="仿宋_GB2312" w:hAnsi="仿宋_GB2312" w:cs="仿宋_GB2312" w:eastAsia="仿宋_GB2312"/>
                      <w:sz w:val="18"/>
                    </w:rPr>
                    <w:t>主要指系统在运行中出现的故障具有潜在导致系统瘫痪或服务中断的风险</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立即响应</w:t>
                  </w:r>
                </w:p>
              </w:tc>
              <w:tc>
                <w:tcPr>
                  <w:tcW w:type="dxa" w:w="4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 小时</w:t>
                  </w:r>
                </w:p>
                <w:p>
                  <w:pPr>
                    <w:pStyle w:val="null3"/>
                    <w:jc w:val="center"/>
                  </w:pPr>
                  <w:r>
                    <w:rPr>
                      <w:rFonts w:ascii="仿宋_GB2312" w:hAnsi="仿宋_GB2312" w:cs="仿宋_GB2312" w:eastAsia="仿宋_GB2312"/>
                      <w:sz w:val="18"/>
                    </w:rPr>
                    <w:t>（市郊）</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三级故障</w:t>
                  </w:r>
                </w:p>
              </w:tc>
              <w:tc>
                <w:tcPr>
                  <w:tcW w:type="dxa" w:w="16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80"/>
                    <w:jc w:val="both"/>
                  </w:pPr>
                  <w:r>
                    <w:rPr>
                      <w:rFonts w:ascii="仿宋_GB2312" w:hAnsi="仿宋_GB2312" w:cs="仿宋_GB2312" w:eastAsia="仿宋_GB2312"/>
                      <w:sz w:val="18"/>
                    </w:rPr>
                    <w:t>主要指系统在运行中出现的故障具有导致断续或间接影响系统或服务中断的风险</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立即响应</w:t>
                  </w:r>
                </w:p>
              </w:tc>
              <w:tc>
                <w:tcPr>
                  <w:tcW w:type="dxa" w:w="4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 小时</w:t>
                  </w:r>
                </w:p>
                <w:p>
                  <w:pPr>
                    <w:pStyle w:val="null3"/>
                    <w:jc w:val="center"/>
                  </w:pPr>
                  <w:r>
                    <w:rPr>
                      <w:rFonts w:ascii="仿宋_GB2312" w:hAnsi="仿宋_GB2312" w:cs="仿宋_GB2312" w:eastAsia="仿宋_GB2312"/>
                      <w:sz w:val="18"/>
                    </w:rPr>
                    <w:t>（郊外）</w:t>
                  </w:r>
                </w:p>
              </w:tc>
            </w:tr>
          </w:tbl>
          <w:p>
            <w:pPr>
              <w:pStyle w:val="null3"/>
              <w:ind w:firstLine="482"/>
              <w:jc w:val="both"/>
            </w:pPr>
            <w:r>
              <w:rPr>
                <w:rFonts w:ascii="仿宋_GB2312" w:hAnsi="仿宋_GB2312" w:cs="仿宋_GB2312" w:eastAsia="仿宋_GB2312"/>
                <w:sz w:val="18"/>
                <w:b/>
              </w:rPr>
              <w:t>附件</w:t>
            </w:r>
            <w:r>
              <w:rPr>
                <w:rFonts w:ascii="仿宋_GB2312" w:hAnsi="仿宋_GB2312" w:cs="仿宋_GB2312" w:eastAsia="仿宋_GB2312"/>
                <w:sz w:val="18"/>
                <w:b/>
              </w:rPr>
              <w:t>1：服务清单</w:t>
            </w:r>
          </w:p>
          <w:tbl>
            <w:tblPr>
              <w:tblInd w:type="dxa" w:w="240"/>
              <w:tblBorders>
                <w:top w:val="none" w:color="000000" w:sz="4"/>
                <w:left w:val="none" w:color="000000" w:sz="4"/>
                <w:bottom w:val="none" w:color="000000" w:sz="4"/>
                <w:right w:val="none" w:color="000000" w:sz="4"/>
                <w:insideH w:val="none"/>
                <w:insideV w:val="none"/>
              </w:tblBorders>
            </w:tblPr>
            <w:tblGrid>
              <w:gridCol w:w="186"/>
              <w:gridCol w:w="298"/>
              <w:gridCol w:w="286"/>
              <w:gridCol w:w="523"/>
              <w:gridCol w:w="790"/>
              <w:gridCol w:w="454"/>
            </w:tblGrid>
            <w:tr>
              <w:tc>
                <w:tcPr>
                  <w:tcW w:type="dxa" w:w="186"/>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298"/>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项目</w:t>
                  </w:r>
                </w:p>
              </w:tc>
              <w:tc>
                <w:tcPr>
                  <w:tcW w:type="dxa" w:w="286"/>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服务内容</w:t>
                  </w:r>
                </w:p>
              </w:tc>
              <w:tc>
                <w:tcPr>
                  <w:tcW w:type="dxa" w:w="523"/>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一级</w:t>
                  </w:r>
                </w:p>
              </w:tc>
              <w:tc>
                <w:tcPr>
                  <w:tcW w:type="dxa" w:w="790"/>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二级</w:t>
                  </w:r>
                </w:p>
              </w:tc>
              <w:tc>
                <w:tcPr>
                  <w:tcW w:type="dxa" w:w="454"/>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说明</w:t>
                  </w:r>
                </w:p>
              </w:tc>
            </w:tr>
            <w:tr>
              <w:tc>
                <w:tcPr>
                  <w:tcW w:type="dxa" w:w="1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陕西省防止返贫监测预警平台基础功能运维保障服务</w:t>
                  </w:r>
                </w:p>
              </w:tc>
              <w:tc>
                <w:tcPr>
                  <w:tcW w:type="dxa" w:w="2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基础数据管理</w:t>
                  </w:r>
                </w:p>
                <w:p>
                  <w:pPr>
                    <w:pStyle w:val="null3"/>
                    <w:jc w:val="center"/>
                  </w:pPr>
                  <w:r>
                    <w:rPr>
                      <w:rFonts w:ascii="仿宋_GB2312" w:hAnsi="仿宋_GB2312" w:cs="仿宋_GB2312" w:eastAsia="仿宋_GB2312"/>
                      <w:sz w:val="18"/>
                    </w:rPr>
                    <w:t>子系统</w:t>
                  </w:r>
                </w:p>
              </w:tc>
              <w:tc>
                <w:tcPr>
                  <w:tcW w:type="dxa" w:w="5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户情</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户情分类</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农户档案</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清单导出</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农户二维码</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村情</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村情</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县情</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县情</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防返贫预警</w:t>
                  </w:r>
                  <w:r>
                    <w:br/>
                  </w:r>
                  <w:r>
                    <w:rPr>
                      <w:rFonts w:ascii="仿宋_GB2312" w:hAnsi="仿宋_GB2312" w:cs="仿宋_GB2312" w:eastAsia="仿宋_GB2312"/>
                      <w:sz w:val="18"/>
                    </w:rPr>
                    <w:t>子系统</w:t>
                  </w:r>
                </w:p>
              </w:tc>
              <w:tc>
                <w:tcPr>
                  <w:tcW w:type="dxa" w:w="5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监测对象</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脱贫不稳定户</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边缘易致贫户</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突发严重困难户</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脱贫户</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监测内容</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三保障风险监测</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收入监测</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二次开发</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行业数据</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数据导入</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行业预警</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帮扶名单</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行业进度</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风险研判</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农户申报</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non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干部排查</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non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行业筛查</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non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灾情上报</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non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平台监测预警</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non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其他方式反馈</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二次开发</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工单管理</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全部工单</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县级比对清单</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县级比对清单</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纳入名单</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纳入名单</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易地搬迁后扶</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易地搬迁后扶</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网格管理</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网格员管理</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签到分析</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排查日志</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帮扶力量</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帮扶</w:t>
                  </w:r>
                  <w:r>
                    <w:rPr>
                      <w:rFonts w:ascii="仿宋_GB2312" w:hAnsi="仿宋_GB2312" w:cs="仿宋_GB2312" w:eastAsia="仿宋_GB2312"/>
                      <w:sz w:val="18"/>
                    </w:rPr>
                    <w:t>力量</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驻村单位</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帮扶责任人及农户结对</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随机抽查</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户抽查</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村抽查</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县抽查</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政策库</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政策管理</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分类管理</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农户数据</w:t>
                  </w:r>
                  <w:r>
                    <w:rPr>
                      <w:rFonts w:ascii="仿宋_GB2312" w:hAnsi="仿宋_GB2312" w:cs="仿宋_GB2312" w:eastAsia="仿宋_GB2312"/>
                      <w:sz w:val="18"/>
                    </w:rPr>
                    <w:t>管理</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农户信息采集更新管理</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二次开发</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统计分析</w:t>
                  </w:r>
                  <w:r>
                    <w:br/>
                  </w:r>
                  <w:r>
                    <w:rPr>
                      <w:rFonts w:ascii="仿宋_GB2312" w:hAnsi="仿宋_GB2312" w:cs="仿宋_GB2312" w:eastAsia="仿宋_GB2312"/>
                      <w:sz w:val="18"/>
                    </w:rPr>
                    <w:t>子系统</w:t>
                  </w:r>
                </w:p>
              </w:tc>
              <w:tc>
                <w:tcPr>
                  <w:tcW w:type="dxa" w:w="5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周统计</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分片区统计</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动态调整统计</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风险消除统计</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工作推进统计</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农户信息采集统计</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农户采集汇总</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农户信息完善度统计</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二次开发</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数据对接共享统计</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推送数据统计</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行业部门数据交换清单</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二次开发</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专题数据统计</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患病统计</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监测户信息统计</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三库建设</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村未消除风险台账</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易致贫返贫人口统计</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基本信息情况统计</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年龄分组情况统计</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文化程度情况统计</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在校生情况统计</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身体健康情况统计</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劳动能力类型统计</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务工状况统计</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务工时间状况统计</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享受帮扶措施统计</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收支分类统计</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致贫返贫风险统计</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人口规模情况</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地方病统计</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地方病统计</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工单统计</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工单进度统计</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收支专项统计</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易地搬迁收支统计</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收支专项统计</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年度收支统计</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问题整改子系统</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问题分发</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问题分发</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问题整改</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问题整改</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市级审核</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市级审核</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问题跟踪</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问题跟踪</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办结列表</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办结列表</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问题统计</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问题统计</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移动端应用子</w:t>
                  </w:r>
                  <w:r>
                    <w:br/>
                  </w:r>
                  <w:r>
                    <w:rPr>
                      <w:rFonts w:ascii="仿宋_GB2312" w:hAnsi="仿宋_GB2312" w:cs="仿宋_GB2312" w:eastAsia="仿宋_GB2312"/>
                      <w:sz w:val="18"/>
                    </w:rPr>
                    <w:t>系统（安卓系统</w:t>
                  </w:r>
                  <w:r>
                    <w:rPr>
                      <w:rFonts w:ascii="仿宋_GB2312" w:hAnsi="仿宋_GB2312" w:cs="仿宋_GB2312" w:eastAsia="仿宋_GB2312"/>
                      <w:sz w:val="18"/>
                    </w:rPr>
                    <w:t>+小程序）</w:t>
                  </w:r>
                </w:p>
              </w:tc>
              <w:tc>
                <w:tcPr>
                  <w:tcW w:type="dxa" w:w="5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首页</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全部农户</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监测户</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脱贫户</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村详情</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基础数据</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工作进度</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工单统计</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网格人员</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村统计</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灾情统计</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排查统计</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督查抽查</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易地搬迁</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农户采集</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二次开发</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收支采集</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季度收支采集</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干部排查</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户厕摸排</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帮扶需求采集</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灾情上报</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工单管理</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项目资产</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一户一码</w:t>
                  </w:r>
                  <w:r>
                    <w:br/>
                  </w:r>
                  <w:r>
                    <w:rPr>
                      <w:rFonts w:ascii="仿宋_GB2312" w:hAnsi="仿宋_GB2312" w:cs="仿宋_GB2312" w:eastAsia="仿宋_GB2312"/>
                      <w:sz w:val="18"/>
                    </w:rPr>
                    <w:t>扫一扫</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农户档案</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干部排查</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收支采集</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户厕摸排</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二次开发</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帮扶需求</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村务公开</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工单管理</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申报政策</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帮扶政策</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困难申报</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我的</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账号信息</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密码修改</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网格员微信管理</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通讯录管理</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通讯录管理</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居民联系</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居民联系</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居民群</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居民群</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居民通知</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居民通知</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防返贫业务功能集成</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返贫移动端功能集成到企业微信端</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二次开发</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决策分析</w:t>
                  </w:r>
                  <w:r>
                    <w:br/>
                  </w:r>
                  <w:r>
                    <w:rPr>
                      <w:rFonts w:ascii="仿宋_GB2312" w:hAnsi="仿宋_GB2312" w:cs="仿宋_GB2312" w:eastAsia="仿宋_GB2312"/>
                      <w:sz w:val="18"/>
                    </w:rPr>
                    <w:t>子系统</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监测对象</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监测对象</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none" w:color="000000" w:sz="4"/>
                    <w:right w:val="single" w:color="000000" w:sz="4"/>
                  </w:tcBorders>
                </w:tc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监测风险</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监测风险</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none" w:color="000000" w:sz="4"/>
                    <w:right w:val="single" w:color="000000" w:sz="4"/>
                  </w:tcBorders>
                </w:tc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网格分析</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网格分析</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none" w:color="000000" w:sz="4"/>
                    <w:right w:val="single" w:color="000000" w:sz="4"/>
                  </w:tcBorders>
                </w:tc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收支监测（季度）</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收支监测</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二次开发</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none" w:color="000000" w:sz="4"/>
                    <w:right w:val="single" w:color="000000" w:sz="4"/>
                  </w:tcBorders>
                </w:tc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帮扶措施监测</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帮扶措施监测</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none" w:color="000000" w:sz="4"/>
                    <w:right w:val="single" w:color="000000" w:sz="4"/>
                  </w:tcBorders>
                </w:tc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搬迁户监测</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搬迁户监测</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二次开发</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none" w:color="000000" w:sz="4"/>
                    <w:right w:val="single" w:color="000000" w:sz="4"/>
                  </w:tcBorders>
                </w:tc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项目资产</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扶贫项目资产监管</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户厕改革</w:t>
                  </w:r>
                  <w:r>
                    <w:br/>
                  </w:r>
                  <w:r>
                    <w:rPr>
                      <w:rFonts w:ascii="仿宋_GB2312" w:hAnsi="仿宋_GB2312" w:cs="仿宋_GB2312" w:eastAsia="仿宋_GB2312"/>
                      <w:sz w:val="18"/>
                    </w:rPr>
                    <w:t>子系统</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公厕管理</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公厕摸排</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户厕管理</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户厕摸排</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二次开发</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随手拍</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随手拍</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系统管理</w:t>
                  </w:r>
                  <w:r>
                    <w:br/>
                  </w:r>
                  <w:r>
                    <w:rPr>
                      <w:rFonts w:ascii="仿宋_GB2312" w:hAnsi="仿宋_GB2312" w:cs="仿宋_GB2312" w:eastAsia="仿宋_GB2312"/>
                      <w:sz w:val="18"/>
                    </w:rPr>
                    <w:t>子系统</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用户管理</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用户管理</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角色管理</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角色管理</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菜单管理</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菜单管理</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功能运维</w:t>
                  </w:r>
                </w:p>
              </w:tc>
            </w:tr>
            <w:tr>
              <w:tc>
                <w:tcPr>
                  <w:tcW w:type="dxa" w:w="186"/>
                  <w:vMerge/>
                  <w:tcBorders>
                    <w:top w:val="none" w:color="000000" w:sz="4"/>
                    <w:left w:val="singl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平台操作说明</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平台操作说明</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二次开发</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功能开发优化及数据提取分析服务</w:t>
                  </w:r>
                </w:p>
              </w:tc>
              <w:tc>
                <w:tcPr>
                  <w:tcW w:type="dxa" w:w="15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根据用户要求，不定期按照工作安排对系统内有关数据进行后台提取服务，完成有关数据治理等工作。</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二次开发</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系统对接服务</w:t>
                  </w:r>
                </w:p>
              </w:tc>
              <w:tc>
                <w:tcPr>
                  <w:tcW w:type="dxa" w:w="1599"/>
                  <w:gridSpan w:val="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保证与全国防返贫监测信息系统的衔接</w:t>
                  </w:r>
                  <w:r>
                    <w:rPr>
                      <w:rFonts w:ascii="仿宋_GB2312" w:hAnsi="仿宋_GB2312" w:cs="仿宋_GB2312" w:eastAsia="仿宋_GB2312"/>
                      <w:sz w:val="18"/>
                    </w:rPr>
                    <w:t>。</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二次开发</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视频会议保障服务</w:t>
                  </w:r>
                </w:p>
              </w:tc>
              <w:tc>
                <w:tcPr>
                  <w:tcW w:type="dxa" w:w="1599"/>
                  <w:gridSpan w:val="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一是保障全省视频会议云平台和省级平台硬件设备正常运行；二是提供足够的网络带宽和服务器资源，确保视频会议正常召开；三是日常会议保证至少一名技术人员现场服务，重要会议保证一个技术团队提供服务；四是提供视频会议系统稳定运行和维护工作所需要的工具和硬件设备</w:t>
                  </w:r>
                  <w:r>
                    <w:rPr>
                      <w:rFonts w:ascii="仿宋_GB2312" w:hAnsi="仿宋_GB2312" w:cs="仿宋_GB2312" w:eastAsia="仿宋_GB2312"/>
                      <w:sz w:val="18"/>
                    </w:rPr>
                    <w:t>。</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硬件维护</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供应商按照采购文件及合同内容提供完整服务，服务期满且无争议，考核合格，视为验收合格。 验收过程中，若发现严重质量问题，且在规定时间内整改无效，采购人将进行严肃处理，并将其列入“不良行为记录名单”。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按《中华人民共和国民法典》及有关法律法规中的相关条款对违约情况进行处理；(2)未按合同要求提供服务或服务质量不能满足技术要求，且在规定时间内未使采购人满意的，采购人有权解除合同，同时报请陕西省财政厅政府采购监管部门对其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知识产权归属和处理方式： （1）供应商应保证投标产品及服务不会出现因第三方提出侵犯其专利权、商标权或其它知识产权而引发法律或经济纠纷，否则由供应商承担全部责任。任何被供应商用于未经授权的商业目的行为所造成的违约或侵权责任由供应商承担。 （2）本项目涉及的所有软件平台（二次开发内容）、硬件以及平台产生的数据均归采购人所有。（3）供应商须按采购人要求，提交二次开发内容的系统源代码等资料。（4）所有数据，未经采购人许可，供应商不得供给任何第三方或挪作他用。（5）供应商应承诺，未经采购人允许，不得将平台用于陕西省外其他地区。（6）供应商应承诺，陕西省各级农业农村（乡村振兴）系统使用平台时，不再单独支付平台的研发费用（超出本次采购内容的除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法定代表人参加磋商时，提供法定代表人证明书；授权代表参加磋商时，提供法定代表人授权书；非法人单位参照执行。</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法人提供经审计的2024年度的财务报告或提交磋商响应文件截止时间前一年内银行资信证明；或政府采购信用担保机构出具的投标担保函。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提供响应文件递交截止时间前近一年内至少一个月已缴纳的纳税凭据或完税证明；依法免税的供应商应提供相关文件证明。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提供响应文件截止时间前近一年内已缴存的至少一个月的社会保障资金缴存单据或社保机构开具的社会保险参保缴费情况证明，依法不需要缴纳社会保障资金的单位应提供相关证明材料。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提供具有履行本合同所必需的设备和专业技术能力的承诺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投标有效期不足90天的。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不满足磋商文件3.3条商务要求的</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磋商报价价格高于磋商文件公布的采购预算的。</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出现不符合法律、法规和竞争性磋商文件中规定的其他实质性要求的情况，其响应文件按无效文件处理。</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服务方案（陕西省防止返贫监测预警平台基础功能运维保障服务）</w:t>
            </w:r>
          </w:p>
        </w:tc>
        <w:tc>
          <w:tcPr>
            <w:tcW w:type="dxa" w:w="2492"/>
          </w:tcPr>
          <w:p>
            <w:pPr>
              <w:pStyle w:val="null3"/>
            </w:pPr>
            <w:r>
              <w:rPr>
                <w:rFonts w:ascii="仿宋_GB2312" w:hAnsi="仿宋_GB2312" w:cs="仿宋_GB2312" w:eastAsia="仿宋_GB2312"/>
              </w:rPr>
              <w:t>根据“陕西省防止返贫监测预警平台基础功能运维保障服务”服务方案赋分。 1.服务方案的内容完整，设计合理，描述详细准确，具有可扩展性，能充分满足项目需求，得12分； 2.服务方案符合工作基本要求，整体框架较为完备，服务内容阐述较为明确，与项目需求保持一致，得9分； 3.服务方案完整，基本满足项目需求，得6分； 4.服务方案与工作需求存在出入，完整性有待提升，服务内容描述不够详尽，未能充分满足项目要求，得3分； 5.服务方案不具体或存在漏项，得1分； 6.未提供服务方案，得0分。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服务方案（功能开发优化及数据提取分析服务）</w:t>
            </w:r>
          </w:p>
        </w:tc>
        <w:tc>
          <w:tcPr>
            <w:tcW w:type="dxa" w:w="2492"/>
          </w:tcPr>
          <w:p>
            <w:pPr>
              <w:pStyle w:val="null3"/>
            </w:pPr>
            <w:r>
              <w:rPr>
                <w:rFonts w:ascii="仿宋_GB2312" w:hAnsi="仿宋_GB2312" w:cs="仿宋_GB2312" w:eastAsia="仿宋_GB2312"/>
              </w:rPr>
              <w:t>根据“功能开发优化及数据提取分析服务”服务方案赋分。 1.服务方案的内容完整，设计合理，描述详细准确，具有可扩展性，能充分满足项目需求，得6分； 2.服务方案符合工作基本要求，整体框架较为完备，服务内容阐述较为明确，与项目需求保持一致，得5分； 3.服务方案完整，基本满足项目需求，得4分； 4.服务方案与工作需求存在出入，完整性有待提升，服务内容描述不够详尽，未能充分满足项目要求，得2分； 5.服务方案不具体或存在漏项，得1分； 6.未提供服务方案得0分。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服务方案（系统对接服务）</w:t>
            </w:r>
          </w:p>
        </w:tc>
        <w:tc>
          <w:tcPr>
            <w:tcW w:type="dxa" w:w="2492"/>
          </w:tcPr>
          <w:p>
            <w:pPr>
              <w:pStyle w:val="null3"/>
            </w:pPr>
            <w:r>
              <w:rPr>
                <w:rFonts w:ascii="仿宋_GB2312" w:hAnsi="仿宋_GB2312" w:cs="仿宋_GB2312" w:eastAsia="仿宋_GB2312"/>
              </w:rPr>
              <w:t>根据“系统对接服务”服务方案赋分。 1.服务方案的内容完整，设计合理，描述详细准确，具有可扩展性，能充分满足项目需求，得6分； 2.服务方案符合工作基本要求，整体框架较为完备，服务内容阐述较为明确，与项目需求保持一致，得5分； 3.服务方案完整，基本满足项目需求，得4分； 4.服务方案与工作需求存在出入，完整性有待提升，服务内容描述不够详尽，未能充分满足项目要求，得2分； 5.服务方案不具体或存在漏项，得1分； 6.未提供服务方案，得0分。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服务方案（视频会议保障服务）</w:t>
            </w:r>
          </w:p>
        </w:tc>
        <w:tc>
          <w:tcPr>
            <w:tcW w:type="dxa" w:w="2492"/>
          </w:tcPr>
          <w:p>
            <w:pPr>
              <w:pStyle w:val="null3"/>
            </w:pPr>
            <w:r>
              <w:rPr>
                <w:rFonts w:ascii="仿宋_GB2312" w:hAnsi="仿宋_GB2312" w:cs="仿宋_GB2312" w:eastAsia="仿宋_GB2312"/>
              </w:rPr>
              <w:t>一、方案部分：根据“视频会议保障服务”服务方案赋分。 1.服务方案的内容完整，设计合理，设备参数具体，并提供了详细的技术证明材料（包括但不限于官网截图、检测报告、产品彩页等），具有可扩展性，能充分满足项目需求，得5分； 2.服务方案完整，基本满足项目需求，得4分； 3.服务方案与工作需求存在出入，完整性有待提升，服务内容描述不够详尽，未能充分满足项目要求，得3分； 4.服务方案内容简单，不完整，得1分； 5.未提供方案，得0分。 二、节能环保：根据供应商提供的国家确定的认证机构出具的、处于有效期内的节能产品、环境标志产品认证证书情况,得1分，无响应说明或未提供技术证明材料不得分。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运维方案</w:t>
            </w:r>
          </w:p>
        </w:tc>
        <w:tc>
          <w:tcPr>
            <w:tcW w:type="dxa" w:w="2492"/>
          </w:tcPr>
          <w:p>
            <w:pPr>
              <w:pStyle w:val="null3"/>
            </w:pPr>
            <w:r>
              <w:rPr>
                <w:rFonts w:ascii="仿宋_GB2312" w:hAnsi="仿宋_GB2312" w:cs="仿宋_GB2312" w:eastAsia="仿宋_GB2312"/>
              </w:rPr>
              <w:t>根据“运维方案”赋分。 1.运维方案紧密贴合工作实际需求，内容详尽全面，服务描述条理清晰，针对性强，完全符合项目要求，得10分； 2.运维方案符合工作基本要求，整体框架较为完备，服务内容阐述较为明确，与项目需求保持一致，得8分； 3.运维方案完整，基本满足项目需求，得6分； 4.运维方案与工作需求存在出入，完整性有待提升，服务内容描述不够详尽，未能充分满足项目要求，方案不具体或存在漏项，得4分； 5.运维方案与工作需求存在出入，完整性有待提升，服务内容描述不够详尽，未能充分满足项目要求，得2分； 6.未提供具体运维方案，得0分。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项目团队（人员配置）</w:t>
            </w:r>
          </w:p>
        </w:tc>
        <w:tc>
          <w:tcPr>
            <w:tcW w:type="dxa" w:w="2492"/>
          </w:tcPr>
          <w:p>
            <w:pPr>
              <w:pStyle w:val="null3"/>
            </w:pPr>
            <w:r>
              <w:rPr>
                <w:rFonts w:ascii="仿宋_GB2312" w:hAnsi="仿宋_GB2312" w:cs="仿宋_GB2312" w:eastAsia="仿宋_GB2312"/>
              </w:rPr>
              <w:t>项目团队不少于10人，配置合理。 1.供应商拟投入本项目的团队人员岗位职责分工明确、人员结构安排合理、主要负责人和项目组成人员具有从业经验，得3分； 2.项目团队人员有职责分工，得2分； 3.项目团队人员职责分工及结构安排混乱，得1分； 4.未提供人员安排，得0分。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项目团队（人员证书）</w:t>
            </w:r>
          </w:p>
        </w:tc>
        <w:tc>
          <w:tcPr>
            <w:tcW w:type="dxa" w:w="2492"/>
          </w:tcPr>
          <w:p>
            <w:pPr>
              <w:pStyle w:val="null3"/>
            </w:pPr>
            <w:r>
              <w:rPr>
                <w:rFonts w:ascii="仿宋_GB2312" w:hAnsi="仿宋_GB2312" w:cs="仿宋_GB2312" w:eastAsia="仿宋_GB2312"/>
              </w:rPr>
              <w:t>供应商应组建专业化的、与本项目相关且有针对性的项目团队。团队人员包含高级项目经理，高级工程师，系统架构师，高级软件工程师，系统分析师，高级测试管理师，项目经理的相关人员。提供相关资质证书，每提供1个，得1分，满分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w:t>
            </w:r>
          </w:p>
        </w:tc>
        <w:tc>
          <w:tcPr>
            <w:tcW w:type="dxa" w:w="2492"/>
          </w:tcPr>
          <w:p>
            <w:pPr>
              <w:pStyle w:val="null3"/>
            </w:pPr>
            <w:r>
              <w:rPr>
                <w:rFonts w:ascii="仿宋_GB2312" w:hAnsi="仿宋_GB2312" w:cs="仿宋_GB2312" w:eastAsia="仿宋_GB2312"/>
              </w:rPr>
              <w:t>提供项目管理方案赋分，方案包括组织架构方案、项目监督方案、项目进度方案等。 1.方案的内容完整，描述详细准确，能充分满足项目需求，得10分； 2.方案符合工作基本要求，服务内容阐述较为明确，与项目需求保持一致，得8分； 3.方案完整，基本满足项目需求，得6分； 4.方案与工作需求存在出入，完整性有待提升，服务内容描述不够详尽，未能充分满足项目要求，得3分； 5.方案不具体或存在漏项，得1分； 6.未提供上述方案，得0分。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服务支撑</w:t>
            </w:r>
          </w:p>
        </w:tc>
        <w:tc>
          <w:tcPr>
            <w:tcW w:type="dxa" w:w="2492"/>
          </w:tcPr>
          <w:p>
            <w:pPr>
              <w:pStyle w:val="null3"/>
            </w:pPr>
            <w:r>
              <w:rPr>
                <w:rFonts w:ascii="仿宋_GB2312" w:hAnsi="仿宋_GB2312" w:cs="仿宋_GB2312" w:eastAsia="仿宋_GB2312"/>
              </w:rPr>
              <w:t>具备省-市-县-乡各级服务支撑体系，得5分。提供相关证明材料。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根据供应商对本项目提供的应急预案内容赋分： 1.应急预案紧密贴合工作实际需求，内容详尽全面，服务描述条理清晰，针对性强，完全符合项目要求，得4分； 2.应急预案符合工作基本要求，服务内容阐述较为明确，得3分； 3.应急预案与实际工作需求存在出入，完整性有待提升，存在漏洞，得1分； 4.未提供具体方案，得0分。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培训方案完整，具备详细的培训内容、培训方式等说明。 1.培训方案切实可行，完全满足项目需求，可操作性强，符合项目实际情况，得5分； 2.培训方案较明确，基本满足项目要求可操作的，得3分； 3.方案可操作性欠缺，与项目需求有偏差的，得1分； 4.未提供具体培训方案，得0分。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企业情况</w:t>
            </w:r>
          </w:p>
        </w:tc>
        <w:tc>
          <w:tcPr>
            <w:tcW w:type="dxa" w:w="2492"/>
          </w:tcPr>
          <w:p>
            <w:pPr>
              <w:pStyle w:val="null3"/>
            </w:pPr>
            <w:r>
              <w:rPr>
                <w:rFonts w:ascii="仿宋_GB2312" w:hAnsi="仿宋_GB2312" w:cs="仿宋_GB2312" w:eastAsia="仿宋_GB2312"/>
              </w:rPr>
              <w:t>信息系统建设和服务能力等级证书-优秀级（CS4），信息技术服务运行维护符合性证书（ITSS）-一级，信息通信建设企业服务能力证书-甲级，软件成熟度证书（CMMI5），安防工程企业设计施工维护能力证书-一级，涉密信息系统集成资质证书（甲级），提供相关证书，每提供1个证书，得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根据供应商提供的2022年1月1日至今的同类项目业绩赋分，以合同为准，由评委按份数赋分，每份2分，满分10分。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详见附件：分项报价表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