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74A3EA">
      <w:p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补充说明</w:t>
      </w:r>
    </w:p>
    <w:tbl>
      <w:tblPr>
        <w:tblStyle w:val="7"/>
        <w:tblW w:w="8389"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907"/>
        <w:gridCol w:w="5592"/>
      </w:tblGrid>
      <w:tr w14:paraId="74AF2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7478BEA8">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907" w:type="dxa"/>
            <w:vAlign w:val="center"/>
          </w:tcPr>
          <w:p w14:paraId="1B6532C6">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条款名称</w:t>
            </w:r>
          </w:p>
        </w:tc>
        <w:tc>
          <w:tcPr>
            <w:tcW w:w="5592" w:type="dxa"/>
            <w:vAlign w:val="center"/>
          </w:tcPr>
          <w:p w14:paraId="10872B26">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lang w:val="en-US" w:eastAsia="zh-CN"/>
              </w:rPr>
              <w:t>内容</w:t>
            </w:r>
          </w:p>
        </w:tc>
      </w:tr>
      <w:tr w14:paraId="092B8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39645229">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kern w:val="2"/>
                <w:sz w:val="24"/>
                <w:szCs w:val="24"/>
                <w:lang w:val="en-US" w:eastAsia="zh-CN" w:bidi="ar-SA"/>
              </w:rPr>
            </w:pPr>
            <w:r>
              <w:rPr>
                <w:rFonts w:hint="eastAsia" w:ascii="仿宋" w:hAnsi="仿宋" w:eastAsia="仿宋" w:cs="仿宋"/>
                <w:color w:val="auto"/>
                <w:sz w:val="24"/>
                <w:szCs w:val="24"/>
                <w:lang w:val="en-US" w:eastAsia="zh-CN"/>
              </w:rPr>
              <w:t>1</w:t>
            </w:r>
          </w:p>
        </w:tc>
        <w:tc>
          <w:tcPr>
            <w:tcW w:w="1907" w:type="dxa"/>
            <w:shd w:val="clear" w:color="auto" w:fill="auto"/>
            <w:vAlign w:val="center"/>
          </w:tcPr>
          <w:p w14:paraId="66EA2041">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kern w:val="2"/>
                <w:sz w:val="24"/>
                <w:szCs w:val="24"/>
                <w:lang w:val="en-US" w:eastAsia="zh-CN" w:bidi="ar-SA"/>
              </w:rPr>
            </w:pPr>
            <w:r>
              <w:rPr>
                <w:rFonts w:hint="eastAsia" w:ascii="仿宋" w:hAnsi="仿宋" w:eastAsia="仿宋" w:cs="仿宋"/>
                <w:color w:val="auto"/>
                <w:sz w:val="24"/>
                <w:szCs w:val="24"/>
                <w:lang w:eastAsia="zh-CN"/>
              </w:rPr>
              <w:t>供应商资格</w:t>
            </w:r>
            <w:r>
              <w:rPr>
                <w:rFonts w:hint="eastAsia" w:ascii="仿宋" w:hAnsi="仿宋" w:eastAsia="仿宋" w:cs="仿宋"/>
                <w:color w:val="auto"/>
                <w:sz w:val="24"/>
                <w:szCs w:val="24"/>
                <w:lang w:val="en-US" w:eastAsia="zh-CN"/>
              </w:rPr>
              <w:t>说明</w:t>
            </w:r>
          </w:p>
        </w:tc>
        <w:tc>
          <w:tcPr>
            <w:tcW w:w="5592" w:type="dxa"/>
            <w:shd w:val="clear" w:color="auto" w:fill="auto"/>
            <w:vAlign w:val="center"/>
          </w:tcPr>
          <w:p w14:paraId="64502916">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1）供应商发生合并、分立、破产等重大变化的，应及时</w:t>
            </w:r>
            <w:r>
              <w:rPr>
                <w:rFonts w:hint="default" w:ascii="仿宋" w:hAnsi="仿宋" w:eastAsia="仿宋" w:cs="仿宋"/>
                <w:color w:val="auto"/>
                <w:sz w:val="24"/>
                <w:szCs w:val="24"/>
                <w:lang w:val="en-US" w:eastAsia="zh-CN"/>
              </w:rPr>
              <w:t>书面</w:t>
            </w:r>
            <w:r>
              <w:rPr>
                <w:rFonts w:hint="eastAsia" w:ascii="仿宋" w:hAnsi="仿宋" w:eastAsia="仿宋" w:cs="仿宋"/>
                <w:color w:val="auto"/>
                <w:kern w:val="2"/>
                <w:sz w:val="24"/>
                <w:szCs w:val="24"/>
                <w:highlight w:val="none"/>
                <w:lang w:val="en-US" w:eastAsia="zh-CN" w:bidi="ar-SA"/>
              </w:rPr>
              <w:t>告知采购人，否则承担一切不利后果。</w:t>
            </w:r>
            <w:r>
              <w:rPr>
                <w:rFonts w:hint="eastAsia" w:ascii="仿宋" w:hAnsi="仿宋" w:eastAsia="仿宋" w:cs="仿宋"/>
                <w:color w:val="auto"/>
                <w:sz w:val="24"/>
                <w:szCs w:val="24"/>
                <w:lang w:val="en-US" w:eastAsia="zh-CN"/>
              </w:rPr>
              <w:t>重大变化导致</w:t>
            </w:r>
            <w:r>
              <w:rPr>
                <w:rFonts w:hint="eastAsia" w:ascii="仿宋" w:hAnsi="仿宋" w:eastAsia="仿宋" w:cs="仿宋"/>
                <w:color w:val="auto"/>
                <w:kern w:val="2"/>
                <w:sz w:val="24"/>
                <w:szCs w:val="24"/>
                <w:highlight w:val="none"/>
                <w:lang w:val="en-US" w:eastAsia="zh-CN" w:bidi="ar-SA"/>
              </w:rPr>
              <w:t>供应商</w:t>
            </w:r>
            <w:r>
              <w:rPr>
                <w:rFonts w:hint="eastAsia" w:ascii="仿宋" w:hAnsi="仿宋" w:eastAsia="仿宋" w:cs="仿宋"/>
                <w:color w:val="auto"/>
                <w:sz w:val="24"/>
                <w:szCs w:val="24"/>
                <w:lang w:val="en-US" w:eastAsia="zh-CN"/>
              </w:rPr>
              <w:t>或中标人不再符合采购要求或不能正常履约的，任何时候采购人均有权取消其投标或中标资格。</w:t>
            </w:r>
          </w:p>
          <w:p w14:paraId="5B9AEB77">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2）中标人须保证企业的必备资质及相关证书的有效性、连续性。评审结束之日起至履约结束，如期间遇到资质或证书临界到期需更换，</w:t>
            </w:r>
            <w:r>
              <w:rPr>
                <w:rFonts w:hint="default" w:ascii="仿宋" w:hAnsi="仿宋" w:eastAsia="仿宋" w:cs="仿宋"/>
                <w:color w:val="auto"/>
                <w:sz w:val="24"/>
                <w:szCs w:val="24"/>
                <w:lang w:val="en-US" w:eastAsia="zh-CN"/>
              </w:rPr>
              <w:t>中标人</w:t>
            </w:r>
            <w:r>
              <w:rPr>
                <w:rFonts w:hint="eastAsia" w:ascii="仿宋" w:hAnsi="仿宋" w:eastAsia="仿宋" w:cs="仿宋"/>
                <w:color w:val="auto"/>
                <w:kern w:val="2"/>
                <w:sz w:val="24"/>
                <w:szCs w:val="24"/>
                <w:highlight w:val="none"/>
                <w:lang w:val="en-US" w:eastAsia="zh-CN" w:bidi="ar-SA"/>
              </w:rPr>
              <w:t>应提前及时续办，否则采购人有权随时取消其</w:t>
            </w:r>
            <w:r>
              <w:rPr>
                <w:rFonts w:hint="default" w:ascii="仿宋" w:hAnsi="仿宋" w:eastAsia="仿宋" w:cs="仿宋"/>
                <w:color w:val="auto"/>
                <w:sz w:val="24"/>
                <w:szCs w:val="24"/>
                <w:lang w:val="en-US" w:eastAsia="zh-CN"/>
              </w:rPr>
              <w:t>中标</w:t>
            </w:r>
            <w:r>
              <w:rPr>
                <w:rFonts w:hint="eastAsia" w:ascii="仿宋" w:hAnsi="仿宋" w:eastAsia="仿宋" w:cs="仿宋"/>
                <w:color w:val="auto"/>
                <w:kern w:val="2"/>
                <w:sz w:val="24"/>
                <w:szCs w:val="24"/>
                <w:highlight w:val="none"/>
                <w:lang w:val="en-US" w:eastAsia="zh-CN" w:bidi="ar-SA"/>
              </w:rPr>
              <w:t>或履约资格，由此造成的后果由</w:t>
            </w:r>
            <w:r>
              <w:rPr>
                <w:rFonts w:hint="default" w:ascii="仿宋" w:hAnsi="仿宋" w:eastAsia="仿宋" w:cs="仿宋"/>
                <w:color w:val="auto"/>
                <w:sz w:val="24"/>
                <w:szCs w:val="24"/>
                <w:lang w:val="en-US" w:eastAsia="zh-CN"/>
              </w:rPr>
              <w:t>中标人</w:t>
            </w:r>
            <w:r>
              <w:rPr>
                <w:rFonts w:hint="eastAsia" w:ascii="仿宋" w:hAnsi="仿宋" w:eastAsia="仿宋" w:cs="仿宋"/>
                <w:color w:val="auto"/>
                <w:kern w:val="2"/>
                <w:sz w:val="24"/>
                <w:szCs w:val="24"/>
                <w:highlight w:val="none"/>
                <w:lang w:val="en-US" w:eastAsia="zh-CN" w:bidi="ar-SA"/>
              </w:rPr>
              <w:t>自行承担。</w:t>
            </w:r>
          </w:p>
        </w:tc>
      </w:tr>
      <w:tr w14:paraId="079BB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0F41DA40">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p>
        </w:tc>
        <w:tc>
          <w:tcPr>
            <w:tcW w:w="1907" w:type="dxa"/>
            <w:shd w:val="clear" w:color="auto" w:fill="auto"/>
            <w:vAlign w:val="center"/>
          </w:tcPr>
          <w:p w14:paraId="6DE83C16">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现场勘查</w:t>
            </w:r>
          </w:p>
        </w:tc>
        <w:tc>
          <w:tcPr>
            <w:tcW w:w="5592" w:type="dxa"/>
            <w:shd w:val="clear" w:color="auto" w:fill="auto"/>
            <w:vAlign w:val="center"/>
          </w:tcPr>
          <w:p w14:paraId="19F86288">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不组织</w:t>
            </w:r>
            <w:r>
              <w:rPr>
                <w:rFonts w:hint="eastAsia" w:ascii="仿宋" w:hAnsi="仿宋" w:eastAsia="仿宋" w:cs="仿宋"/>
                <w:color w:val="auto"/>
                <w:sz w:val="24"/>
                <w:szCs w:val="24"/>
                <w:lang w:eastAsia="zh-CN"/>
              </w:rPr>
              <w:t>。</w:t>
            </w:r>
          </w:p>
        </w:tc>
      </w:tr>
      <w:tr w14:paraId="25153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332F9777">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w:t>
            </w:r>
          </w:p>
        </w:tc>
        <w:tc>
          <w:tcPr>
            <w:tcW w:w="1907" w:type="dxa"/>
            <w:tcBorders>
              <w:right w:val="nil"/>
            </w:tcBorders>
            <w:vAlign w:val="center"/>
          </w:tcPr>
          <w:p w14:paraId="27ACEB7E">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文件</w:t>
            </w:r>
          </w:p>
        </w:tc>
        <w:tc>
          <w:tcPr>
            <w:tcW w:w="5592" w:type="dxa"/>
            <w:tcBorders>
              <w:left w:val="nil"/>
            </w:tcBorders>
            <w:vAlign w:val="center"/>
          </w:tcPr>
          <w:p w14:paraId="7A233B7F">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val="en-US" w:eastAsia="zh-CN"/>
              </w:rPr>
            </w:pPr>
          </w:p>
        </w:tc>
      </w:tr>
      <w:tr w14:paraId="22DF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5F8E6432">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3.1</w:t>
            </w:r>
          </w:p>
        </w:tc>
        <w:tc>
          <w:tcPr>
            <w:tcW w:w="1907" w:type="dxa"/>
            <w:vAlign w:val="center"/>
          </w:tcPr>
          <w:p w14:paraId="06E37AA0">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rPr>
              <w:t>文件的</w:t>
            </w:r>
          </w:p>
          <w:p w14:paraId="199F408A">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说明、</w:t>
            </w:r>
            <w:r>
              <w:rPr>
                <w:rFonts w:hint="eastAsia" w:ascii="仿宋" w:hAnsi="仿宋" w:eastAsia="仿宋" w:cs="仿宋"/>
                <w:color w:val="auto"/>
                <w:sz w:val="24"/>
                <w:szCs w:val="24"/>
                <w:highlight w:val="none"/>
              </w:rPr>
              <w:t>澄清、修改</w:t>
            </w:r>
          </w:p>
        </w:tc>
        <w:tc>
          <w:tcPr>
            <w:tcW w:w="5592" w:type="dxa"/>
            <w:vAlign w:val="top"/>
          </w:tcPr>
          <w:p w14:paraId="23B2D08D">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kern w:val="2"/>
                <w:sz w:val="24"/>
                <w:szCs w:val="24"/>
                <w:lang w:val="en-US" w:eastAsia="zh-CN" w:bidi="ar-SA"/>
              </w:rPr>
              <w:t>在</w:t>
            </w: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截止</w:t>
            </w:r>
            <w:r>
              <w:rPr>
                <w:rFonts w:hint="eastAsia" w:ascii="仿宋" w:hAnsi="仿宋" w:eastAsia="仿宋" w:cs="仿宋"/>
                <w:color w:val="auto"/>
                <w:sz w:val="24"/>
                <w:szCs w:val="24"/>
                <w:lang w:eastAsia="zh-CN"/>
              </w:rPr>
              <w:t>日</w:t>
            </w:r>
            <w:r>
              <w:rPr>
                <w:rFonts w:hint="eastAsia" w:ascii="仿宋" w:hAnsi="仿宋" w:eastAsia="仿宋" w:cs="仿宋"/>
                <w:color w:val="auto"/>
                <w:kern w:val="2"/>
                <w:sz w:val="24"/>
                <w:szCs w:val="24"/>
                <w:lang w:val="en-US" w:eastAsia="zh-CN" w:bidi="ar-SA"/>
              </w:rPr>
              <w:t>前，采购人或者代理机构可以对已发出的</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2"/>
                <w:sz w:val="24"/>
                <w:szCs w:val="24"/>
                <w:lang w:val="en-US" w:eastAsia="zh-CN" w:bidi="ar-SA"/>
              </w:rPr>
              <w:t>文件进行必要的</w:t>
            </w:r>
            <w:r>
              <w:rPr>
                <w:rFonts w:hint="eastAsia" w:ascii="仿宋" w:hAnsi="仿宋" w:eastAsia="仿宋" w:cs="仿宋"/>
                <w:color w:val="auto"/>
                <w:sz w:val="24"/>
                <w:szCs w:val="24"/>
                <w:highlight w:val="none"/>
                <w:lang w:val="en-US" w:eastAsia="zh-CN"/>
              </w:rPr>
              <w:t>说明、</w:t>
            </w:r>
            <w:r>
              <w:rPr>
                <w:rFonts w:hint="eastAsia" w:ascii="仿宋" w:hAnsi="仿宋" w:eastAsia="仿宋" w:cs="仿宋"/>
                <w:color w:val="auto"/>
                <w:kern w:val="2"/>
                <w:sz w:val="24"/>
                <w:szCs w:val="24"/>
                <w:lang w:val="en-US" w:eastAsia="zh-CN" w:bidi="ar-SA"/>
              </w:rPr>
              <w:t>澄清或者修改。</w:t>
            </w:r>
          </w:p>
          <w:p w14:paraId="28564379">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r>
              <w:rPr>
                <w:rFonts w:hint="eastAsia" w:ascii="仿宋" w:hAnsi="仿宋" w:eastAsia="仿宋" w:cs="仿宋"/>
                <w:sz w:val="24"/>
                <w:szCs w:val="24"/>
                <w:lang w:val="en-US" w:eastAsia="zh-CN"/>
              </w:rPr>
              <w:t>说明、澄清或修改</w:t>
            </w:r>
            <w:r>
              <w:rPr>
                <w:rFonts w:hint="eastAsia" w:ascii="仿宋" w:hAnsi="仿宋" w:eastAsia="仿宋" w:cs="仿宋"/>
                <w:color w:val="auto"/>
                <w:kern w:val="2"/>
                <w:sz w:val="24"/>
                <w:szCs w:val="24"/>
                <w:lang w:val="en-US" w:eastAsia="zh-CN" w:bidi="ar-SA"/>
              </w:rPr>
              <w:t>的内容为招标文件的组成部分，采购人或者代理机构将在陕西省政府采购网发布更正公告，供应商应及时关注本项目更正公告信息，按更正后公告要求进行投标。更正内容可能影响投标文件编制的，采购人或者代理机构将通过项目电子化交易系统发布更正后的</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2"/>
                <w:sz w:val="24"/>
                <w:szCs w:val="24"/>
                <w:lang w:val="en-US" w:eastAsia="zh-CN" w:bidi="ar-SA"/>
              </w:rPr>
              <w:t>文件，供应商应依据更正后的</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2"/>
                <w:sz w:val="24"/>
                <w:szCs w:val="24"/>
                <w:lang w:val="en-US" w:eastAsia="zh-CN" w:bidi="ar-SA"/>
              </w:rPr>
              <w:t>文件编制投标文件。若供应商未按前述要求进行投标的，自行承担不利后果。</w:t>
            </w:r>
          </w:p>
        </w:tc>
      </w:tr>
      <w:tr w14:paraId="2097D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67EFE816">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3.2</w:t>
            </w:r>
          </w:p>
        </w:tc>
        <w:tc>
          <w:tcPr>
            <w:tcW w:w="1907" w:type="dxa"/>
            <w:vAlign w:val="center"/>
          </w:tcPr>
          <w:p w14:paraId="532EBD96">
            <w:pPr>
              <w:keepNext w:val="0"/>
              <w:keepLines w:val="0"/>
              <w:pageBreakBefore w:val="0"/>
              <w:widowControl/>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供应商对</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0"/>
                <w:sz w:val="24"/>
                <w:szCs w:val="24"/>
                <w:highlight w:val="none"/>
                <w:lang w:val="en-US" w:eastAsia="zh-CN"/>
              </w:rPr>
              <w:t>文件的</w:t>
            </w:r>
            <w:r>
              <w:rPr>
                <w:rFonts w:hint="eastAsia" w:ascii="仿宋" w:hAnsi="仿宋" w:eastAsia="仿宋" w:cs="仿宋"/>
                <w:color w:val="auto"/>
                <w:sz w:val="24"/>
                <w:szCs w:val="24"/>
                <w:highlight w:val="none"/>
                <w:lang w:val="en-US" w:eastAsia="zh-CN"/>
              </w:rPr>
              <w:t>咨询</w:t>
            </w:r>
          </w:p>
        </w:tc>
        <w:tc>
          <w:tcPr>
            <w:tcW w:w="5592" w:type="dxa"/>
            <w:vAlign w:val="top"/>
          </w:tcPr>
          <w:p w14:paraId="16833261">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highlight w:val="cyan"/>
                <w:lang w:val="en-US" w:eastAsia="zh-CN"/>
              </w:rPr>
            </w:pPr>
            <w:r>
              <w:rPr>
                <w:rFonts w:hint="eastAsia" w:ascii="仿宋" w:hAnsi="仿宋" w:eastAsia="仿宋" w:cs="仿宋"/>
                <w:color w:val="auto"/>
                <w:kern w:val="0"/>
                <w:sz w:val="24"/>
                <w:szCs w:val="24"/>
                <w:highlight w:val="none"/>
                <w:lang w:val="en-US" w:eastAsia="zh-CN"/>
              </w:rPr>
              <w:t>1.供应商</w:t>
            </w:r>
            <w:r>
              <w:rPr>
                <w:rFonts w:hint="eastAsia" w:ascii="仿宋" w:hAnsi="仿宋" w:eastAsia="仿宋" w:cs="仿宋"/>
                <w:color w:val="auto"/>
                <w:sz w:val="24"/>
                <w:szCs w:val="24"/>
                <w:highlight w:val="none"/>
                <w:lang w:val="en-US" w:eastAsia="zh-CN"/>
              </w:rPr>
              <w:t>获取</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0"/>
                <w:sz w:val="24"/>
                <w:szCs w:val="24"/>
                <w:highlight w:val="none"/>
                <w:lang w:val="en-US" w:eastAsia="zh-CN"/>
              </w:rPr>
              <w:t>文件后，应尽快认真阅读，</w:t>
            </w:r>
            <w:r>
              <w:rPr>
                <w:rFonts w:hint="eastAsia" w:ascii="仿宋" w:hAnsi="仿宋" w:eastAsia="仿宋" w:cs="仿宋"/>
                <w:color w:val="auto"/>
                <w:sz w:val="24"/>
                <w:highlight w:val="none"/>
                <w:lang w:val="en-US" w:eastAsia="zh-CN"/>
              </w:rPr>
              <w:t>对于</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highlight w:val="none"/>
                <w:lang w:val="en-US" w:eastAsia="zh-CN"/>
              </w:rPr>
              <w:t>文件中出现的同一内容前后不一致、表述不准确、笔误/瑕疵、漏项或异议等问题，供应商应及时向代理公司提出咨询、确认，否则应视为其完全理解和接受</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highlight w:val="none"/>
                <w:lang w:val="en-US" w:eastAsia="zh-CN"/>
              </w:rPr>
              <w:t>文件，对此造成的投标不良后果供应商自担</w:t>
            </w:r>
            <w:r>
              <w:rPr>
                <w:rFonts w:hint="eastAsia" w:ascii="仿宋" w:hAnsi="仿宋" w:eastAsia="仿宋" w:cs="仿宋"/>
                <w:color w:val="auto"/>
                <w:sz w:val="24"/>
                <w:szCs w:val="24"/>
                <w:highlight w:val="none"/>
                <w:lang w:val="en-US" w:eastAsia="zh-CN"/>
              </w:rPr>
              <w:t>。</w:t>
            </w:r>
          </w:p>
          <w:p w14:paraId="0FF9F14A">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2.对于供应商对</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0"/>
                <w:sz w:val="24"/>
                <w:szCs w:val="24"/>
                <w:highlight w:val="none"/>
                <w:lang w:val="en-US" w:eastAsia="zh-CN"/>
              </w:rPr>
              <w:t>文件的自我理解、判定、推测等造成的不利后果，由供应商自行承担。</w:t>
            </w:r>
          </w:p>
          <w:p w14:paraId="10963802">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highlight w:val="none"/>
                <w:lang w:val="en-US" w:eastAsia="zh-CN"/>
              </w:rPr>
              <w:t>3.对于供应商未及时查看获取</w:t>
            </w:r>
            <w:r>
              <w:rPr>
                <w:rFonts w:hint="eastAsia" w:ascii="仿宋" w:hAnsi="仿宋" w:eastAsia="仿宋" w:cs="仿宋"/>
                <w:color w:val="auto"/>
                <w:sz w:val="24"/>
                <w:szCs w:val="24"/>
                <w:highlight w:val="none"/>
                <w:lang w:val="en-US" w:eastAsia="zh-CN"/>
              </w:rPr>
              <w:t>项目相关信息造成的不利后果，责任自负</w:t>
            </w:r>
            <w:r>
              <w:rPr>
                <w:rFonts w:hint="eastAsia" w:ascii="仿宋" w:hAnsi="仿宋" w:eastAsia="仿宋" w:cs="仿宋"/>
                <w:color w:val="auto"/>
                <w:kern w:val="0"/>
                <w:sz w:val="24"/>
                <w:szCs w:val="24"/>
                <w:highlight w:val="none"/>
                <w:lang w:val="en-US" w:eastAsia="zh-CN"/>
              </w:rPr>
              <w:t>。</w:t>
            </w:r>
          </w:p>
        </w:tc>
      </w:tr>
      <w:tr w14:paraId="082AB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69143377">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4</w:t>
            </w:r>
          </w:p>
        </w:tc>
        <w:tc>
          <w:tcPr>
            <w:tcW w:w="1907" w:type="dxa"/>
            <w:vAlign w:val="center"/>
          </w:tcPr>
          <w:p w14:paraId="1C15F284">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对相关通知的确认</w:t>
            </w:r>
          </w:p>
        </w:tc>
        <w:tc>
          <w:tcPr>
            <w:tcW w:w="5592" w:type="dxa"/>
            <w:vAlign w:val="top"/>
          </w:tcPr>
          <w:p w14:paraId="544449EC">
            <w:pPr>
              <w:keepNext w:val="0"/>
              <w:keepLines w:val="0"/>
              <w:pageBreakBefore w:val="0"/>
              <w:kinsoku/>
              <w:wordWrap/>
              <w:overflowPunct/>
              <w:topLinePunct w:val="0"/>
              <w:autoSpaceDE/>
              <w:autoSpaceDN/>
              <w:bidi w:val="0"/>
              <w:adjustRightInd/>
              <w:spacing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供应商应及时关注了解并掌握本项目相关信息的变化、通知，否则后果自负。采购人或代理机构不承担由于供应商信息错误、人员变动等原因造成的信息接收不及时、不准确及传递有误等造成的不良后果</w:t>
            </w:r>
            <w:r>
              <w:rPr>
                <w:rFonts w:hint="eastAsia" w:ascii="仿宋" w:hAnsi="仿宋" w:eastAsia="仿宋" w:cs="仿宋"/>
                <w:color w:val="auto"/>
                <w:kern w:val="2"/>
                <w:sz w:val="24"/>
                <w:szCs w:val="24"/>
                <w:lang w:val="en-US" w:eastAsia="zh-CN" w:bidi="ar-SA"/>
              </w:rPr>
              <w:t>。</w:t>
            </w:r>
          </w:p>
        </w:tc>
      </w:tr>
      <w:tr w14:paraId="31B6F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2E6949A2">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5</w:t>
            </w:r>
          </w:p>
        </w:tc>
        <w:tc>
          <w:tcPr>
            <w:tcW w:w="1907" w:type="dxa"/>
            <w:tcBorders>
              <w:right w:val="nil"/>
            </w:tcBorders>
            <w:vAlign w:val="center"/>
          </w:tcPr>
          <w:p w14:paraId="1563D7F4">
            <w:pPr>
              <w:pStyle w:val="9"/>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文件</w:t>
            </w:r>
          </w:p>
        </w:tc>
        <w:tc>
          <w:tcPr>
            <w:tcW w:w="5592" w:type="dxa"/>
            <w:tcBorders>
              <w:left w:val="nil"/>
            </w:tcBorders>
            <w:vAlign w:val="top"/>
          </w:tcPr>
          <w:p w14:paraId="0950F231">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0"/>
                <w:sz w:val="24"/>
                <w:szCs w:val="24"/>
                <w:lang w:val="en-US" w:eastAsia="zh-CN"/>
              </w:rPr>
            </w:pPr>
          </w:p>
        </w:tc>
      </w:tr>
      <w:tr w14:paraId="1D601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6CF3372">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kern w:val="2"/>
                <w:sz w:val="24"/>
                <w:szCs w:val="24"/>
                <w:lang w:val="en-US" w:eastAsia="zh-CN" w:bidi="ar-SA"/>
              </w:rPr>
              <w:t>.1</w:t>
            </w:r>
          </w:p>
        </w:tc>
        <w:tc>
          <w:tcPr>
            <w:tcW w:w="1907" w:type="dxa"/>
            <w:shd w:val="clear" w:color="auto" w:fill="auto"/>
            <w:vAlign w:val="center"/>
          </w:tcPr>
          <w:p w14:paraId="0629CC32">
            <w:pPr>
              <w:pStyle w:val="9"/>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sz w:val="24"/>
                <w:szCs w:val="24"/>
                <w:lang w:val="en-US" w:eastAsia="zh-CN"/>
              </w:rPr>
              <w:t>供应商对</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lang w:val="en-US" w:eastAsia="zh-CN"/>
              </w:rPr>
              <w:t>文件的补充、修改、澄清</w:t>
            </w:r>
          </w:p>
        </w:tc>
        <w:tc>
          <w:tcPr>
            <w:tcW w:w="5592" w:type="dxa"/>
            <w:shd w:val="clear" w:color="auto" w:fill="auto"/>
            <w:vAlign w:val="top"/>
          </w:tcPr>
          <w:p w14:paraId="6DB1E79B">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kern w:val="0"/>
                <w:sz w:val="24"/>
                <w:szCs w:val="24"/>
              </w:rPr>
              <w:t>在</w:t>
            </w:r>
            <w:r>
              <w:rPr>
                <w:rFonts w:hint="eastAsia" w:ascii="仿宋" w:hAnsi="仿宋" w:eastAsia="仿宋" w:cs="仿宋"/>
                <w:color w:val="auto"/>
                <w:kern w:val="0"/>
                <w:sz w:val="24"/>
                <w:szCs w:val="24"/>
                <w:lang w:val="en-US" w:eastAsia="zh-CN"/>
              </w:rPr>
              <w:t>投标</w:t>
            </w:r>
            <w:r>
              <w:rPr>
                <w:rFonts w:hint="eastAsia" w:ascii="仿宋" w:hAnsi="仿宋" w:eastAsia="仿宋" w:cs="仿宋"/>
                <w:color w:val="auto"/>
                <w:kern w:val="0"/>
                <w:sz w:val="24"/>
                <w:szCs w:val="24"/>
              </w:rPr>
              <w:t>截止时间</w:t>
            </w:r>
            <w:r>
              <w:rPr>
                <w:rFonts w:hint="eastAsia" w:ascii="仿宋" w:hAnsi="仿宋" w:eastAsia="仿宋" w:cs="仿宋"/>
                <w:color w:val="auto"/>
                <w:sz w:val="24"/>
                <w:szCs w:val="24"/>
                <w:highlight w:val="none"/>
                <w:lang w:val="en-US" w:eastAsia="zh-CN"/>
              </w:rPr>
              <w:t>前，供应商可以补充、修改或者撤回已成功提交的投标文件；对投标文件进行补充、修改的，应当先行撤回已提交的投标文件，补充、修改后重新提交。</w:t>
            </w:r>
          </w:p>
          <w:p w14:paraId="2B967E3F">
            <w:pPr>
              <w:keepNext w:val="0"/>
              <w:keepLines w:val="0"/>
              <w:pageBreakBefore w:val="0"/>
              <w:kinsoku/>
              <w:wordWrap/>
              <w:overflowPunct/>
              <w:topLinePunct w:val="0"/>
              <w:autoSpaceDE/>
              <w:autoSpaceDN/>
              <w:bidi w:val="0"/>
              <w:adjustRightInd/>
              <w:spacing w:line="500" w:lineRule="exact"/>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供应商投标文件撤回后，视为未提交过投标文件。</w:t>
            </w:r>
          </w:p>
        </w:tc>
      </w:tr>
      <w:tr w14:paraId="7F02D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25EC9FA4">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w:t>
            </w:r>
          </w:p>
        </w:tc>
        <w:tc>
          <w:tcPr>
            <w:tcW w:w="1907" w:type="dxa"/>
            <w:shd w:val="clear" w:color="auto" w:fill="auto"/>
            <w:vAlign w:val="center"/>
          </w:tcPr>
          <w:p w14:paraId="291A56B1">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报</w:t>
            </w:r>
            <w:r>
              <w:rPr>
                <w:rFonts w:hint="eastAsia" w:ascii="仿宋" w:hAnsi="仿宋" w:eastAsia="仿宋" w:cs="仿宋"/>
                <w:sz w:val="24"/>
                <w:szCs w:val="24"/>
                <w:highlight w:val="none"/>
              </w:rPr>
              <w:t>价</w:t>
            </w:r>
          </w:p>
        </w:tc>
        <w:tc>
          <w:tcPr>
            <w:tcW w:w="5592" w:type="dxa"/>
            <w:shd w:val="clear" w:color="auto" w:fill="auto"/>
            <w:vAlign w:val="center"/>
          </w:tcPr>
          <w:p w14:paraId="3A6B0E2B">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1.人民币报价，为含税价。</w:t>
            </w:r>
          </w:p>
          <w:p w14:paraId="73532D10">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2.本项目为固定总价合同（全费用交钥匙价），包含完成本项目所发生的可预见和不可预见的一切费用，采购人不再支付任何费用（合同另有约定的事项除外）。</w:t>
            </w:r>
          </w:p>
          <w:p w14:paraId="4EC51F07">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3.本项目中标价在合同期内应固定不变。（法定情形除外）</w:t>
            </w:r>
          </w:p>
          <w:p w14:paraId="611CA7BD">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供应商应全面考虑风险，及时了解和掌握项目情况及所在地区与本项目相关的政策、规定及价格等情况，结合企业自身技术力量、装备管理水平及市场行情，做到报价准确合理、合法合规，减少失误。报价不得违反《价格法》和《反不正当竞争法》的相关规定。因误读、理解偏差、对文件、项目或政策了解不全等原因造成的后果，将按照对采购人有利的方法进行处理，不利后果由供应商自行承担。</w:t>
            </w:r>
          </w:p>
          <w:p w14:paraId="4D605802">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strike/>
                <w:dstrike w:val="0"/>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5.供应商应自行了解并熟悉掌握相关法律法规和政策性文件</w:t>
            </w:r>
            <w:r>
              <w:rPr>
                <w:rFonts w:hint="eastAsia" w:ascii="仿宋" w:hAnsi="仿宋" w:eastAsia="仿宋" w:cs="仿宋"/>
                <w:color w:val="auto"/>
                <w:sz w:val="24"/>
                <w:szCs w:val="24"/>
                <w:highlight w:val="none"/>
                <w:lang w:val="en-US" w:eastAsia="zh-CN"/>
              </w:rPr>
              <w:t>，严格执行国家或行业强制性规定，否则不利后果自负。</w:t>
            </w:r>
          </w:p>
          <w:p w14:paraId="119D1A66">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6.投标</w:t>
            </w:r>
            <w:r>
              <w:rPr>
                <w:rFonts w:hint="eastAsia" w:ascii="仿宋" w:hAnsi="仿宋" w:eastAsia="仿宋" w:cs="仿宋"/>
                <w:color w:val="auto"/>
                <w:sz w:val="24"/>
                <w:szCs w:val="24"/>
                <w:lang w:val="en-US" w:eastAsia="zh-CN"/>
              </w:rPr>
              <w:t>报价包含采购要求的一切内容，无论何种理由，均视为供应商已知且风险自担</w:t>
            </w:r>
            <w:r>
              <w:rPr>
                <w:rFonts w:hint="eastAsia" w:ascii="仿宋" w:hAnsi="仿宋" w:eastAsia="仿宋" w:cs="仿宋"/>
                <w:color w:val="auto"/>
                <w:sz w:val="24"/>
                <w:szCs w:val="24"/>
                <w:highlight w:val="none"/>
                <w:lang w:val="en-US" w:eastAsia="zh-CN"/>
              </w:rPr>
              <w:t>。</w:t>
            </w:r>
          </w:p>
        </w:tc>
      </w:tr>
      <w:tr w14:paraId="09A72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780311A9">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5.3</w:t>
            </w:r>
          </w:p>
        </w:tc>
        <w:tc>
          <w:tcPr>
            <w:tcW w:w="1907" w:type="dxa"/>
            <w:shd w:val="clear" w:color="auto" w:fill="auto"/>
            <w:vAlign w:val="center"/>
          </w:tcPr>
          <w:p w14:paraId="28F30B80">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异常低价</w:t>
            </w:r>
          </w:p>
        </w:tc>
        <w:tc>
          <w:tcPr>
            <w:tcW w:w="5592" w:type="dxa"/>
            <w:shd w:val="clear" w:color="auto" w:fill="auto"/>
            <w:vAlign w:val="center"/>
          </w:tcPr>
          <w:p w14:paraId="3269B814">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供应商以不合理的价格进行投标，会扰乱采购市场，造成供应商之间的恶性价格竞争，违背公平竞争、公正原则和诚实信用原则</w:t>
            </w:r>
            <w:r>
              <w:rPr>
                <w:rFonts w:hint="eastAsia" w:ascii="仿宋" w:hAnsi="仿宋" w:eastAsia="仿宋" w:cs="仿宋"/>
                <w:color w:val="auto"/>
                <w:sz w:val="24"/>
                <w:szCs w:val="24"/>
                <w:highlight w:val="none"/>
                <w:lang w:val="en-US" w:eastAsia="zh-CN"/>
              </w:rPr>
              <w:t>，给履约带来很大风险</w:t>
            </w:r>
            <w:r>
              <w:rPr>
                <w:rFonts w:hint="eastAsia" w:ascii="仿宋" w:hAnsi="仿宋" w:eastAsia="仿宋" w:cs="仿宋"/>
                <w:color w:val="auto"/>
                <w:sz w:val="24"/>
                <w:szCs w:val="24"/>
                <w:lang w:val="en-US" w:eastAsia="zh-CN"/>
              </w:rPr>
              <w:t>。禁止恶意低价竞争。</w:t>
            </w:r>
          </w:p>
          <w:p w14:paraId="4F5753F6">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对于畸低或评标小组认为低于成本或明显低于其他通过符合性审查投标人的报价，有可能影响项目质量或不能诚信履约的，评标小组可要求其在评审现场规定时间内，提供有效书面说明文件、相关成本构成证明材料、相关承诺等。若供应商未按时提供或提供的佐证评标小组认为不能有效证明</w:t>
            </w:r>
            <w:r>
              <w:rPr>
                <w:rFonts w:hint="eastAsia" w:ascii="仿宋" w:hAnsi="仿宋" w:eastAsia="仿宋" w:cs="仿宋"/>
                <w:color w:val="auto"/>
                <w:sz w:val="24"/>
                <w:szCs w:val="24"/>
                <w:highlight w:val="none"/>
                <w:lang w:val="en-US" w:eastAsia="zh-CN"/>
              </w:rPr>
              <w:t>价格合理性</w:t>
            </w:r>
            <w:r>
              <w:rPr>
                <w:rFonts w:hint="eastAsia" w:ascii="仿宋" w:hAnsi="仿宋" w:eastAsia="仿宋" w:cs="仿宋"/>
                <w:color w:val="auto"/>
                <w:sz w:val="24"/>
                <w:szCs w:val="24"/>
                <w:lang w:val="en-US" w:eastAsia="zh-CN"/>
              </w:rPr>
              <w:t>的，评标小组可取消其候选人推荐资格；</w:t>
            </w:r>
          </w:p>
          <w:p w14:paraId="1DD1FC34">
            <w:pPr>
              <w:keepNext w:val="0"/>
              <w:keepLines w:val="0"/>
              <w:pageBreakBefore w:val="0"/>
              <w:kinsoku/>
              <w:wordWrap/>
              <w:overflowPunct/>
              <w:topLinePunct w:val="0"/>
              <w:autoSpaceDE/>
              <w:autoSpaceDN/>
              <w:bidi w:val="0"/>
              <w:adjustRightInd/>
              <w:spacing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highlight w:val="none"/>
                <w:lang w:val="en-US" w:eastAsia="zh-CN"/>
              </w:rPr>
              <w:t>对于有效证明的异常低价合理的供应商，</w:t>
            </w:r>
            <w:r>
              <w:rPr>
                <w:rFonts w:hint="eastAsia" w:ascii="仿宋" w:hAnsi="仿宋" w:eastAsia="仿宋" w:cs="仿宋"/>
                <w:color w:val="auto"/>
                <w:sz w:val="24"/>
                <w:szCs w:val="24"/>
                <w:lang w:val="en-US" w:eastAsia="zh-CN"/>
              </w:rPr>
              <w:t>为保证项目质量及诚信履约，评标小组可要求</w:t>
            </w:r>
            <w:r>
              <w:rPr>
                <w:rFonts w:hint="eastAsia" w:ascii="仿宋" w:hAnsi="仿宋" w:eastAsia="仿宋" w:cs="仿宋"/>
                <w:color w:val="auto"/>
                <w:sz w:val="24"/>
                <w:szCs w:val="24"/>
                <w:highlight w:val="none"/>
                <w:lang w:val="en-US" w:eastAsia="zh-CN"/>
              </w:rPr>
              <w:t>其</w:t>
            </w:r>
            <w:r>
              <w:rPr>
                <w:rFonts w:hint="eastAsia" w:ascii="仿宋" w:hAnsi="仿宋" w:eastAsia="仿宋" w:cs="仿宋"/>
                <w:color w:val="auto"/>
                <w:sz w:val="24"/>
                <w:szCs w:val="24"/>
                <w:lang w:val="en-US" w:eastAsia="zh-CN"/>
              </w:rPr>
              <w:t>现场提供诚信履约承诺书，</w:t>
            </w:r>
            <w:r>
              <w:rPr>
                <w:rFonts w:hint="eastAsia" w:ascii="仿宋" w:hAnsi="仿宋" w:eastAsia="仿宋" w:cs="仿宋"/>
                <w:color w:val="auto"/>
                <w:sz w:val="24"/>
                <w:szCs w:val="24"/>
              </w:rPr>
              <w:t>若</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拒</w:t>
            </w:r>
            <w:r>
              <w:rPr>
                <w:rFonts w:hint="eastAsia" w:ascii="仿宋" w:hAnsi="仿宋" w:eastAsia="仿宋" w:cs="仿宋"/>
                <w:color w:val="auto"/>
                <w:sz w:val="24"/>
                <w:szCs w:val="24"/>
                <w:highlight w:val="none"/>
                <w:lang w:val="en-US" w:eastAsia="zh-CN"/>
              </w:rPr>
              <w:t>不执行</w:t>
            </w:r>
            <w:r>
              <w:rPr>
                <w:rFonts w:hint="eastAsia" w:ascii="仿宋" w:hAnsi="仿宋" w:eastAsia="仿宋" w:cs="仿宋"/>
                <w:color w:val="auto"/>
                <w:sz w:val="24"/>
                <w:szCs w:val="24"/>
                <w:lang w:val="en-US" w:eastAsia="zh-CN"/>
              </w:rPr>
              <w:t>，评标小组可取消其候选人推荐资格。</w:t>
            </w:r>
          </w:p>
        </w:tc>
      </w:tr>
      <w:tr w14:paraId="53D98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2FBE6D32">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1907" w:type="dxa"/>
            <w:vAlign w:val="center"/>
          </w:tcPr>
          <w:p w14:paraId="194817FB">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rPr>
              <w:t>投标</w:t>
            </w:r>
            <w:r>
              <w:rPr>
                <w:rFonts w:hint="eastAsia" w:ascii="仿宋" w:hAnsi="仿宋" w:eastAsia="仿宋" w:cs="仿宋"/>
                <w:color w:val="auto"/>
                <w:sz w:val="24"/>
                <w:szCs w:val="24"/>
                <w:highlight w:val="none"/>
                <w:lang w:val="en-US" w:eastAsia="zh-CN"/>
              </w:rPr>
              <w:t>备选方案</w:t>
            </w:r>
          </w:p>
        </w:tc>
        <w:tc>
          <w:tcPr>
            <w:tcW w:w="5592" w:type="dxa"/>
            <w:vAlign w:val="center"/>
          </w:tcPr>
          <w:p w14:paraId="067F878C">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不允许</w:t>
            </w:r>
          </w:p>
        </w:tc>
      </w:tr>
      <w:tr w14:paraId="506C5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3FC99A5A">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w:t>
            </w:r>
          </w:p>
        </w:tc>
        <w:tc>
          <w:tcPr>
            <w:tcW w:w="1907" w:type="dxa"/>
            <w:vAlign w:val="center"/>
          </w:tcPr>
          <w:p w14:paraId="15462EF0">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履约保证</w:t>
            </w:r>
            <w:r>
              <w:rPr>
                <w:rFonts w:hint="eastAsia" w:ascii="仿宋" w:hAnsi="仿宋" w:eastAsia="仿宋" w:cs="仿宋"/>
                <w:color w:val="auto"/>
                <w:sz w:val="24"/>
                <w:szCs w:val="24"/>
                <w:highlight w:val="none"/>
                <w:lang w:val="en-US" w:eastAsia="zh-CN"/>
              </w:rPr>
              <w:t>金</w:t>
            </w:r>
          </w:p>
        </w:tc>
        <w:tc>
          <w:tcPr>
            <w:tcW w:w="5592" w:type="dxa"/>
            <w:vAlign w:val="center"/>
          </w:tcPr>
          <w:p w14:paraId="40D5C7A3">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w:t>
            </w:r>
            <w:r>
              <w:rPr>
                <w:rFonts w:hint="eastAsia" w:ascii="仿宋" w:hAnsi="仿宋" w:eastAsia="仿宋" w:cs="仿宋"/>
                <w:b w:val="0"/>
                <w:bCs w:val="0"/>
                <w:i w:val="0"/>
                <w:iCs w:val="0"/>
                <w:color w:val="auto"/>
                <w:sz w:val="24"/>
                <w:szCs w:val="24"/>
                <w:lang w:val="en-US" w:eastAsia="zh-CN"/>
              </w:rPr>
              <w:t>（合同约定除外）</w:t>
            </w:r>
          </w:p>
        </w:tc>
      </w:tr>
      <w:tr w14:paraId="3A686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CFAE6E7">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8</w:t>
            </w:r>
          </w:p>
        </w:tc>
        <w:tc>
          <w:tcPr>
            <w:tcW w:w="1907" w:type="dxa"/>
            <w:vAlign w:val="center"/>
          </w:tcPr>
          <w:p w14:paraId="4004926F">
            <w:pPr>
              <w:keepNext w:val="0"/>
              <w:keepLines w:val="0"/>
              <w:pageBreakBefore w:val="0"/>
              <w:kinsoku/>
              <w:wordWrap/>
              <w:overflowPunct/>
              <w:topLinePunct w:val="0"/>
              <w:bidi w:val="0"/>
              <w:adjustRightInd/>
              <w:snapToGrid w:val="0"/>
              <w:spacing w:line="500" w:lineRule="exact"/>
              <w:jc w:val="center"/>
              <w:textAlignment w:val="baseline"/>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＃核心产品</w:t>
            </w:r>
          </w:p>
        </w:tc>
        <w:tc>
          <w:tcPr>
            <w:tcW w:w="5592" w:type="dxa"/>
            <w:vAlign w:val="center"/>
          </w:tcPr>
          <w:p w14:paraId="1A649B8D">
            <w:pPr>
              <w:keepNext w:val="0"/>
              <w:keepLines w:val="0"/>
              <w:pageBreakBefore w:val="0"/>
              <w:kinsoku/>
              <w:wordWrap/>
              <w:overflowPunct/>
              <w:topLinePunct w:val="0"/>
              <w:bidi w:val="0"/>
              <w:adjustRightInd/>
              <w:snapToGrid w:val="0"/>
              <w:spacing w:line="500" w:lineRule="exact"/>
              <w:textAlignment w:val="baseline"/>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对讲机</w:t>
            </w:r>
          </w:p>
        </w:tc>
      </w:tr>
      <w:tr w14:paraId="0C4BA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11573AD">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1907" w:type="dxa"/>
            <w:shd w:val="clear" w:color="auto" w:fill="auto"/>
            <w:vAlign w:val="center"/>
          </w:tcPr>
          <w:p w14:paraId="11D4C6C5">
            <w:pPr>
              <w:pStyle w:val="4"/>
              <w:keepNext w:val="0"/>
              <w:keepLines w:val="0"/>
              <w:pageBreakBefore w:val="0"/>
              <w:kinsoku/>
              <w:wordWrap/>
              <w:overflowPunct/>
              <w:topLinePunct w:val="0"/>
              <w:autoSpaceDE/>
              <w:autoSpaceDN/>
              <w:bidi w:val="0"/>
              <w:adjustRightInd/>
              <w:spacing w:before="0" w:beforeAutospacing="0" w:afterAutospacing="0" w:line="500" w:lineRule="exact"/>
              <w:jc w:val="center"/>
              <w:textAlignment w:val="auto"/>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val="0"/>
                <w:dstrike w:val="0"/>
                <w:color w:val="auto"/>
                <w:szCs w:val="24"/>
                <w:highlight w:val="none"/>
                <w:lang w:val="en-US" w:eastAsia="zh-CN"/>
              </w:rPr>
              <w:t>产品包装</w:t>
            </w:r>
          </w:p>
        </w:tc>
        <w:tc>
          <w:tcPr>
            <w:tcW w:w="5592" w:type="dxa"/>
            <w:shd w:val="clear" w:color="auto" w:fill="auto"/>
            <w:vAlign w:val="center"/>
          </w:tcPr>
          <w:p w14:paraId="2A4F64C4">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strike/>
                <w:dstrike w:val="0"/>
                <w:color w:val="auto"/>
                <w:kern w:val="2"/>
                <w:sz w:val="24"/>
                <w:szCs w:val="24"/>
                <w:highlight w:val="green"/>
                <w:lang w:val="en-US" w:eastAsia="zh-CN" w:bidi="ar-SA"/>
              </w:rPr>
            </w:pPr>
            <w:r>
              <w:rPr>
                <w:rFonts w:hint="eastAsia" w:ascii="仿宋" w:hAnsi="仿宋" w:eastAsia="仿宋" w:cs="仿宋"/>
                <w:color w:val="auto"/>
                <w:sz w:val="24"/>
                <w:szCs w:val="24"/>
                <w:highlight w:val="none"/>
                <w:lang w:val="en-US" w:eastAsia="zh-CN"/>
              </w:rPr>
              <w:t>符合财办库〔2020〕123号文《商品包装政府采购需求标准（试行）》、《快递包装政府采购需求标准（试行）》的要求。</w:t>
            </w:r>
          </w:p>
        </w:tc>
      </w:tr>
      <w:tr w14:paraId="5F0A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7E3C2603">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1907" w:type="dxa"/>
            <w:shd w:val="clear" w:color="auto" w:fill="auto"/>
            <w:vAlign w:val="center"/>
          </w:tcPr>
          <w:p w14:paraId="613CDEAB">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进口产品</w:t>
            </w:r>
          </w:p>
        </w:tc>
        <w:tc>
          <w:tcPr>
            <w:tcW w:w="5592" w:type="dxa"/>
            <w:shd w:val="clear" w:color="auto" w:fill="auto"/>
            <w:vAlign w:val="center"/>
          </w:tcPr>
          <w:p w14:paraId="311F5373">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w:t>
            </w:r>
          </w:p>
        </w:tc>
      </w:tr>
      <w:tr w14:paraId="510DB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6855DBD1">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11</w:t>
            </w:r>
          </w:p>
        </w:tc>
        <w:tc>
          <w:tcPr>
            <w:tcW w:w="1907" w:type="dxa"/>
            <w:vAlign w:val="center"/>
          </w:tcPr>
          <w:p w14:paraId="7CCB9323">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b w:val="0"/>
                <w:bCs w:val="0"/>
                <w:color w:val="auto"/>
                <w:kern w:val="0"/>
                <w:sz w:val="24"/>
                <w:szCs w:val="24"/>
                <w:lang w:val="en-US" w:eastAsia="zh-CN" w:bidi="ar-SA"/>
              </w:rPr>
              <w:t>实质性条款</w:t>
            </w:r>
          </w:p>
        </w:tc>
        <w:tc>
          <w:tcPr>
            <w:tcW w:w="5592" w:type="dxa"/>
            <w:vAlign w:val="center"/>
          </w:tcPr>
          <w:p w14:paraId="6B445BAC">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b/>
                <w:bCs/>
                <w:color w:val="auto"/>
                <w:kern w:val="0"/>
                <w:sz w:val="24"/>
                <w:szCs w:val="24"/>
                <w:lang w:val="en-US" w:eastAsia="zh-CN" w:bidi="ar-SA"/>
              </w:rPr>
              <w:t>1.供应商资格要求；2.符合性要求；</w:t>
            </w:r>
            <w:r>
              <w:rPr>
                <w:rFonts w:hint="eastAsia" w:ascii="仿宋" w:hAnsi="仿宋" w:eastAsia="仿宋" w:cs="仿宋"/>
                <w:b/>
                <w:bCs/>
                <w:color w:val="auto"/>
                <w:sz w:val="24"/>
                <w:szCs w:val="24"/>
                <w:highlight w:val="none"/>
                <w:lang w:val="en-US" w:eastAsia="zh-CN"/>
              </w:rPr>
              <w:t>3.法律法规和招标文件规定的其他实质性要求。</w:t>
            </w:r>
          </w:p>
        </w:tc>
      </w:tr>
      <w:tr w14:paraId="1178A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34B57A7C">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12</w:t>
            </w:r>
          </w:p>
        </w:tc>
        <w:tc>
          <w:tcPr>
            <w:tcW w:w="1907" w:type="dxa"/>
            <w:vAlign w:val="center"/>
          </w:tcPr>
          <w:p w14:paraId="50430CFB">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lang w:val="en-US" w:eastAsia="zh-CN"/>
              </w:rPr>
              <w:t>文件说明</w:t>
            </w:r>
          </w:p>
        </w:tc>
        <w:tc>
          <w:tcPr>
            <w:tcW w:w="5592" w:type="dxa"/>
            <w:vAlign w:val="center"/>
          </w:tcPr>
          <w:p w14:paraId="554CD0C4">
            <w:pPr>
              <w:keepNext w:val="0"/>
              <w:keepLines w:val="0"/>
              <w:pageBreakBefore w:val="0"/>
              <w:kinsoku/>
              <w:wordWrap/>
              <w:overflowPunct/>
              <w:topLinePunct w:val="0"/>
              <w:autoSpaceDE/>
              <w:autoSpaceDN/>
              <w:bidi w:val="0"/>
              <w:adjustRightInd/>
              <w:spacing w:line="500" w:lineRule="exact"/>
              <w:jc w:val="left"/>
              <w:textAlignment w:val="baseline"/>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若招标文件前后内容不一致或有瑕疵时，在不影响评审结果或评审公正公平进行的情况下，由代理机构澄清确认后继续评审。</w:t>
            </w:r>
          </w:p>
        </w:tc>
      </w:tr>
      <w:tr w14:paraId="3369B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CE21344">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w:t>
            </w:r>
          </w:p>
        </w:tc>
        <w:tc>
          <w:tcPr>
            <w:tcW w:w="1907" w:type="dxa"/>
            <w:vAlign w:val="center"/>
          </w:tcPr>
          <w:p w14:paraId="7C51EE59">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数字计算</w:t>
            </w:r>
          </w:p>
        </w:tc>
        <w:tc>
          <w:tcPr>
            <w:tcW w:w="5592" w:type="dxa"/>
            <w:vAlign w:val="center"/>
          </w:tcPr>
          <w:p w14:paraId="76F6F244">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四舍五入，保留小数点后两位</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（特殊说明除外）</w:t>
            </w:r>
          </w:p>
        </w:tc>
      </w:tr>
      <w:tr w14:paraId="55D24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7C4F826E">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w:t>
            </w:r>
          </w:p>
        </w:tc>
        <w:tc>
          <w:tcPr>
            <w:tcW w:w="1907" w:type="dxa"/>
            <w:tcBorders>
              <w:right w:val="nil"/>
            </w:tcBorders>
            <w:vAlign w:val="center"/>
          </w:tcPr>
          <w:p w14:paraId="4DFB1C6F">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eastAsia="zh-CN"/>
              </w:rPr>
              <w:t>中小企业</w:t>
            </w:r>
          </w:p>
        </w:tc>
        <w:tc>
          <w:tcPr>
            <w:tcW w:w="5592" w:type="dxa"/>
            <w:tcBorders>
              <w:left w:val="nil"/>
            </w:tcBorders>
            <w:vAlign w:val="center"/>
          </w:tcPr>
          <w:p w14:paraId="07347DE5">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14:paraId="4DA30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B7F1D96">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w:t>
            </w:r>
            <w:r>
              <w:rPr>
                <w:rFonts w:hint="eastAsia" w:ascii="仿宋" w:hAnsi="仿宋" w:eastAsia="仿宋" w:cs="仿宋"/>
                <w:color w:val="auto"/>
                <w:sz w:val="24"/>
                <w:szCs w:val="24"/>
                <w:lang w:val="en-US" w:eastAsia="zh-CN"/>
              </w:rPr>
              <w:t>.1</w:t>
            </w:r>
          </w:p>
        </w:tc>
        <w:tc>
          <w:tcPr>
            <w:tcW w:w="1907" w:type="dxa"/>
            <w:shd w:val="clear" w:color="auto" w:fill="auto"/>
            <w:vAlign w:val="center"/>
          </w:tcPr>
          <w:p w14:paraId="62C55B47">
            <w:pPr>
              <w:pStyle w:val="4"/>
              <w:keepNext w:val="0"/>
              <w:keepLines w:val="0"/>
              <w:pageBreakBefore w:val="0"/>
              <w:kinsoku/>
              <w:wordWrap/>
              <w:overflowPunct/>
              <w:topLinePunct w:val="0"/>
              <w:autoSpaceDE/>
              <w:autoSpaceDN/>
              <w:bidi w:val="0"/>
              <w:adjustRightInd/>
              <w:spacing w:before="0" w:beforeAutospacing="0" w:afterAutospacing="0" w:line="500" w:lineRule="exact"/>
              <w:ind w:lef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是否</w:t>
            </w:r>
            <w:r>
              <w:rPr>
                <w:rFonts w:hint="eastAsia" w:ascii="仿宋" w:hAnsi="仿宋" w:eastAsia="仿宋" w:cs="仿宋"/>
                <w:color w:val="auto"/>
                <w:kern w:val="0"/>
                <w:sz w:val="24"/>
                <w:szCs w:val="24"/>
                <w:highlight w:val="none"/>
              </w:rPr>
              <w:t>专门面向</w:t>
            </w:r>
          </w:p>
          <w:p w14:paraId="773B17CA">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rPr>
              <w:t>中小企业</w:t>
            </w:r>
          </w:p>
        </w:tc>
        <w:tc>
          <w:tcPr>
            <w:tcW w:w="5592" w:type="dxa"/>
            <w:shd w:val="clear" w:color="auto" w:fill="auto"/>
            <w:vAlign w:val="center"/>
          </w:tcPr>
          <w:p w14:paraId="08FE1F7E">
            <w:pPr>
              <w:keepNext w:val="0"/>
              <w:keepLines w:val="0"/>
              <w:pageBreakBefore w:val="0"/>
              <w:kinsoku/>
              <w:wordWrap/>
              <w:overflowPunct/>
              <w:topLinePunct w:val="0"/>
              <w:autoSpaceDE/>
              <w:autoSpaceDN/>
              <w:bidi w:val="0"/>
              <w:adjustRightInd/>
              <w:spacing w:beforeAutospacing="0" w:afterAutospacing="0" w:line="500" w:lineRule="exact"/>
              <w:ind w:left="0" w:leftChars="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是</w:t>
            </w:r>
          </w:p>
        </w:tc>
      </w:tr>
      <w:tr w14:paraId="674DD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5EC12B04">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w:t>
            </w:r>
            <w:r>
              <w:rPr>
                <w:rFonts w:hint="eastAsia" w:ascii="仿宋" w:hAnsi="仿宋" w:eastAsia="仿宋" w:cs="仿宋"/>
                <w:color w:val="auto"/>
                <w:sz w:val="24"/>
                <w:szCs w:val="24"/>
                <w:lang w:val="en-US" w:eastAsia="zh-CN"/>
              </w:rPr>
              <w:t>.2</w:t>
            </w:r>
          </w:p>
        </w:tc>
        <w:tc>
          <w:tcPr>
            <w:tcW w:w="1907" w:type="dxa"/>
            <w:vAlign w:val="center"/>
          </w:tcPr>
          <w:p w14:paraId="11809A08">
            <w:pPr>
              <w:keepNext w:val="0"/>
              <w:keepLines w:val="0"/>
              <w:pageBreakBefore w:val="0"/>
              <w:tabs>
                <w:tab w:val="left" w:pos="0"/>
              </w:tabs>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eastAsia="zh-CN"/>
              </w:rPr>
              <w:t>中小企业</w:t>
            </w:r>
          </w:p>
        </w:tc>
        <w:tc>
          <w:tcPr>
            <w:tcW w:w="5592" w:type="dxa"/>
            <w:vAlign w:val="center"/>
          </w:tcPr>
          <w:p w14:paraId="54033903">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highlight w:val="none"/>
                <w:lang w:val="en-US" w:eastAsia="zh-CN"/>
              </w:rPr>
              <w:t>中小企业判定依据：《中小企业划型标准规定》</w:t>
            </w:r>
            <w:r>
              <w:rPr>
                <w:rFonts w:hint="eastAsia" w:ascii="仿宋" w:hAnsi="仿宋" w:eastAsia="仿宋" w:cs="仿宋"/>
                <w:color w:val="auto"/>
                <w:sz w:val="24"/>
                <w:szCs w:val="24"/>
                <w:lang w:val="en-US" w:eastAsia="zh-CN"/>
              </w:rPr>
              <w:t>。</w:t>
            </w:r>
          </w:p>
          <w:p w14:paraId="5169C79C">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2.中小企业，是指在中华人民共和国境内依法设立，依据国务院批准的中小企业划分标准确定的中型企业、小型企业和微型企业，但与大企业的负责人为同一人，或者与大企业存在直接控股、管理关系的除外。</w:t>
            </w:r>
          </w:p>
          <w:p w14:paraId="61B2E112">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3.符合中小企业划分标准的个体工商户，在政府采购活动中视同中小企业。符合条件的监狱企业、残疾人福利性单位视同小微企业，在参加政府采购活动时享受扶持政策。</w:t>
            </w:r>
          </w:p>
          <w:p w14:paraId="7D0432BD">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4.供应商提供《</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》（或《残疾人福利性单位声明函》、《监狱或戒毒企业声明函》），并对声明的真实性、准确性</w:t>
            </w:r>
            <w:r>
              <w:rPr>
                <w:rFonts w:hint="eastAsia" w:ascii="仿宋" w:hAnsi="仿宋" w:eastAsia="仿宋" w:cs="仿宋"/>
                <w:color w:val="auto"/>
                <w:kern w:val="0"/>
                <w:sz w:val="24"/>
                <w:lang w:val="en-US" w:eastAsia="zh-CN"/>
              </w:rPr>
              <w:t>、有效性</w:t>
            </w:r>
            <w:r>
              <w:rPr>
                <w:rFonts w:hint="eastAsia" w:ascii="仿宋" w:hAnsi="仿宋" w:eastAsia="仿宋" w:cs="仿宋"/>
                <w:color w:val="auto"/>
                <w:kern w:val="0"/>
                <w:sz w:val="24"/>
              </w:rPr>
              <w:t>负责</w:t>
            </w:r>
            <w:r>
              <w:rPr>
                <w:rFonts w:hint="eastAsia" w:ascii="仿宋" w:hAnsi="仿宋" w:eastAsia="仿宋" w:cs="仿宋"/>
                <w:color w:val="auto"/>
                <w:kern w:val="0"/>
                <w:sz w:val="24"/>
                <w:lang w:eastAsia="zh-CN"/>
              </w:rPr>
              <w:t>。</w:t>
            </w:r>
          </w:p>
          <w:p w14:paraId="394ADBA7">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5.中标人提供的《</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》、《残疾人福利性单位声明函》、《监狱或戒毒企业声明函》随同中标结果公示，接受社会监督，若有不实，将承担经济和法律后果。</w:t>
            </w:r>
          </w:p>
          <w:p w14:paraId="5399B37F">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lang w:val="en-US" w:eastAsia="zh-CN"/>
              </w:rPr>
              <w:t>6.</w:t>
            </w:r>
            <w:r>
              <w:rPr>
                <w:rFonts w:hint="eastAsia" w:ascii="仿宋" w:hAnsi="仿宋" w:eastAsia="仿宋" w:cs="仿宋"/>
                <w:color w:val="auto"/>
                <w:sz w:val="24"/>
                <w:szCs w:val="24"/>
                <w:highlight w:val="none"/>
                <w:lang w:val="en-US" w:eastAsia="zh-CN"/>
              </w:rPr>
              <w:t>享受扶持政策获得政府采购合同的，小微企业不得将合同分包给大中型企业，中型企业不得将合同分包给大型企业。</w:t>
            </w:r>
          </w:p>
          <w:p w14:paraId="414000FD">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7.发生纠纷时，</w:t>
            </w:r>
            <w:r>
              <w:rPr>
                <w:rFonts w:hint="eastAsia" w:ascii="仿宋" w:hAnsi="仿宋" w:eastAsia="仿宋" w:cs="仿宋"/>
                <w:color w:val="auto"/>
                <w:sz w:val="24"/>
                <w:szCs w:val="24"/>
                <w:highlight w:val="none"/>
              </w:rPr>
              <w:t>对中小企业的</w:t>
            </w:r>
            <w:r>
              <w:rPr>
                <w:rFonts w:hint="eastAsia" w:ascii="仿宋" w:hAnsi="仿宋" w:eastAsia="仿宋" w:cs="仿宋"/>
                <w:color w:val="auto"/>
                <w:sz w:val="24"/>
                <w:szCs w:val="24"/>
                <w:highlight w:val="none"/>
                <w:lang w:val="en-US" w:eastAsia="zh-CN"/>
              </w:rPr>
              <w:t>最终</w:t>
            </w:r>
            <w:r>
              <w:rPr>
                <w:rFonts w:hint="eastAsia" w:ascii="仿宋" w:hAnsi="仿宋" w:eastAsia="仿宋" w:cs="仿宋"/>
                <w:color w:val="auto"/>
                <w:sz w:val="24"/>
                <w:szCs w:val="24"/>
                <w:highlight w:val="none"/>
              </w:rPr>
              <w:t>认定，由</w:t>
            </w:r>
            <w:r>
              <w:rPr>
                <w:rFonts w:hint="eastAsia" w:ascii="仿宋" w:hAnsi="仿宋" w:eastAsia="仿宋" w:cs="仿宋"/>
                <w:color w:val="auto"/>
                <w:sz w:val="24"/>
                <w:szCs w:val="24"/>
                <w:highlight w:val="none"/>
                <w:lang w:val="en-US" w:eastAsia="zh-CN"/>
              </w:rPr>
              <w:t>投标企业</w:t>
            </w:r>
            <w:r>
              <w:rPr>
                <w:rFonts w:hint="eastAsia" w:ascii="仿宋" w:hAnsi="仿宋" w:eastAsia="仿宋" w:cs="仿宋"/>
                <w:color w:val="auto"/>
                <w:sz w:val="24"/>
                <w:szCs w:val="24"/>
                <w:highlight w:val="none"/>
              </w:rPr>
              <w:t>注册登记所在地的县级以上人民政府中小企业主管部门负责。</w:t>
            </w:r>
          </w:p>
        </w:tc>
      </w:tr>
      <w:tr w14:paraId="217A6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2D962CCA">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w:t>
            </w:r>
            <w:r>
              <w:rPr>
                <w:rFonts w:hint="eastAsia" w:ascii="仿宋" w:hAnsi="仿宋" w:eastAsia="仿宋" w:cs="仿宋"/>
                <w:color w:val="auto"/>
                <w:sz w:val="24"/>
                <w:szCs w:val="24"/>
                <w:lang w:val="en-US" w:eastAsia="zh-CN"/>
              </w:rPr>
              <w:t>.3</w:t>
            </w:r>
          </w:p>
        </w:tc>
        <w:tc>
          <w:tcPr>
            <w:tcW w:w="1907" w:type="dxa"/>
            <w:vAlign w:val="center"/>
          </w:tcPr>
          <w:p w14:paraId="34B01797">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中小企业</w:t>
            </w:r>
          </w:p>
          <w:p w14:paraId="0AB35D55">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划型标准</w:t>
            </w:r>
          </w:p>
        </w:tc>
        <w:tc>
          <w:tcPr>
            <w:tcW w:w="5592" w:type="dxa"/>
            <w:vAlign w:val="center"/>
          </w:tcPr>
          <w:p w14:paraId="0846EA48">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b/>
                <w:bCs/>
                <w:color w:val="auto"/>
                <w:kern w:val="2"/>
                <w:sz w:val="24"/>
                <w:szCs w:val="24"/>
                <w:highlight w:val="none"/>
                <w:lang w:val="en-US" w:eastAsia="zh-CN" w:bidi="ar-SA"/>
              </w:rPr>
              <w:t>1.本项目所属行业：</w:t>
            </w:r>
            <w:r>
              <w:rPr>
                <w:rFonts w:hint="eastAsia" w:ascii="仿宋" w:hAnsi="仿宋" w:eastAsia="仿宋" w:cs="仿宋"/>
                <w:snapToGrid w:val="0"/>
                <w:color w:val="auto"/>
                <w:kern w:val="0"/>
                <w:sz w:val="24"/>
                <w:szCs w:val="24"/>
                <w:highlight w:val="none"/>
                <w:lang w:val="en-US" w:eastAsia="zh-CN" w:bidi="ar-SA"/>
              </w:rPr>
              <w:t>工业</w:t>
            </w:r>
          </w:p>
          <w:p w14:paraId="702351E2">
            <w:pPr>
              <w:pStyle w:val="6"/>
              <w:keepNext w:val="0"/>
              <w:keepLines w:val="0"/>
              <w:pageBreakBefore w:val="0"/>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2.划型标准</w:t>
            </w:r>
            <w:r>
              <w:rPr>
                <w:rFonts w:hint="eastAsia" w:ascii="仿宋" w:hAnsi="仿宋" w:eastAsia="仿宋" w:cs="仿宋"/>
                <w:color w:val="auto"/>
                <w:kern w:val="2"/>
                <w:sz w:val="24"/>
                <w:szCs w:val="24"/>
                <w:highlight w:val="none"/>
                <w:lang w:val="en-US" w:eastAsia="zh-CN" w:bidi="ar-SA"/>
              </w:rPr>
              <w:t>：</w:t>
            </w:r>
            <w:r>
              <w:rPr>
                <w:rFonts w:hint="default" w:ascii="仿宋" w:hAnsi="仿宋" w:eastAsia="仿宋" w:cs="仿宋"/>
                <w:snapToGrid w:val="0"/>
                <w:color w:val="auto"/>
                <w:kern w:val="0"/>
                <w:sz w:val="24"/>
                <w:szCs w:val="24"/>
                <w:highlight w:val="none"/>
                <w:lang w:val="en-US" w:eastAsia="zh-CN" w:bidi="ar-SA"/>
              </w:rPr>
              <w:t>①</w:t>
            </w:r>
            <w:r>
              <w:rPr>
                <w:rFonts w:hint="eastAsia" w:ascii="仿宋" w:hAnsi="仿宋" w:eastAsia="仿宋" w:cs="仿宋"/>
                <w:snapToGrid w:val="0"/>
                <w:color w:val="auto"/>
                <w:kern w:val="0"/>
                <w:sz w:val="24"/>
                <w:szCs w:val="24"/>
                <w:highlight w:val="none"/>
                <w:lang w:val="en-US" w:eastAsia="zh-CN" w:bidi="ar-SA"/>
              </w:rPr>
              <w:t>从业人员</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1000人，营业收入</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40000万元，为大型企业；</w:t>
            </w:r>
            <w:r>
              <w:rPr>
                <w:rFonts w:hint="default" w:ascii="仿宋" w:hAnsi="仿宋" w:eastAsia="仿宋" w:cs="仿宋"/>
                <w:snapToGrid w:val="0"/>
                <w:color w:val="auto"/>
                <w:kern w:val="0"/>
                <w:sz w:val="24"/>
                <w:szCs w:val="24"/>
                <w:highlight w:val="none"/>
                <w:lang w:val="en-US" w:eastAsia="zh-CN" w:bidi="ar-SA"/>
              </w:rPr>
              <w:t>②</w:t>
            </w:r>
            <w:r>
              <w:rPr>
                <w:rFonts w:hint="eastAsia" w:ascii="仿宋" w:hAnsi="仿宋" w:eastAsia="仿宋" w:cs="仿宋"/>
                <w:snapToGrid w:val="0"/>
                <w:color w:val="auto"/>
                <w:kern w:val="0"/>
                <w:sz w:val="24"/>
                <w:szCs w:val="24"/>
                <w:highlight w:val="none"/>
                <w:lang w:val="en-US" w:eastAsia="zh-CN" w:bidi="ar-SA"/>
              </w:rPr>
              <w:t>300人</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从业人员</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1000人，且2000万元</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营业收入</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40000万元，为中型企业；</w:t>
            </w:r>
            <w:r>
              <w:rPr>
                <w:rFonts w:hint="default" w:ascii="仿宋" w:hAnsi="仿宋" w:eastAsia="仿宋" w:cs="仿宋"/>
                <w:snapToGrid w:val="0"/>
                <w:color w:val="auto"/>
                <w:kern w:val="0"/>
                <w:sz w:val="24"/>
                <w:szCs w:val="24"/>
                <w:highlight w:val="none"/>
                <w:lang w:val="en-US" w:eastAsia="zh-CN" w:bidi="ar-SA"/>
              </w:rPr>
              <w:t>③</w:t>
            </w:r>
            <w:r>
              <w:rPr>
                <w:rFonts w:hint="eastAsia" w:ascii="仿宋" w:hAnsi="仿宋" w:eastAsia="仿宋" w:cs="仿宋"/>
                <w:snapToGrid w:val="0"/>
                <w:color w:val="auto"/>
                <w:kern w:val="0"/>
                <w:sz w:val="24"/>
                <w:szCs w:val="24"/>
                <w:highlight w:val="none"/>
                <w:lang w:val="en-US" w:eastAsia="zh-CN" w:bidi="ar-SA"/>
              </w:rPr>
              <w:t>20人</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从业人员</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300人，且300万元</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营业收入</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2000万元，为小型企业；</w:t>
            </w:r>
            <w:r>
              <w:rPr>
                <w:rFonts w:hint="default" w:ascii="仿宋" w:hAnsi="仿宋" w:eastAsia="仿宋" w:cs="仿宋"/>
                <w:snapToGrid w:val="0"/>
                <w:color w:val="auto"/>
                <w:kern w:val="0"/>
                <w:sz w:val="24"/>
                <w:szCs w:val="24"/>
                <w:highlight w:val="none"/>
                <w:lang w:val="en-US" w:eastAsia="zh-CN" w:bidi="ar-SA"/>
              </w:rPr>
              <w:t>④</w:t>
            </w:r>
            <w:r>
              <w:rPr>
                <w:rFonts w:hint="eastAsia" w:ascii="仿宋" w:hAnsi="仿宋" w:eastAsia="仿宋" w:cs="仿宋"/>
                <w:snapToGrid w:val="0"/>
                <w:color w:val="auto"/>
                <w:kern w:val="0"/>
                <w:sz w:val="24"/>
                <w:szCs w:val="24"/>
                <w:highlight w:val="none"/>
                <w:lang w:val="en-US" w:eastAsia="zh-CN" w:bidi="ar-SA"/>
              </w:rPr>
              <w:t>从业人员</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20人，或营业收入</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300万元，为微型企业。</w:t>
            </w:r>
          </w:p>
        </w:tc>
      </w:tr>
      <w:tr w14:paraId="3C339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DEA40FD">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14.4</w:t>
            </w:r>
          </w:p>
        </w:tc>
        <w:tc>
          <w:tcPr>
            <w:tcW w:w="1907" w:type="dxa"/>
            <w:vAlign w:val="center"/>
          </w:tcPr>
          <w:p w14:paraId="43D8213C">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中小企业声明函填写说明</w:t>
            </w:r>
          </w:p>
        </w:tc>
        <w:tc>
          <w:tcPr>
            <w:tcW w:w="5592" w:type="dxa"/>
            <w:vAlign w:val="center"/>
          </w:tcPr>
          <w:p w14:paraId="15AA6C8E">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strike w:val="0"/>
                <w:dstrike w:val="0"/>
                <w:color w:val="auto"/>
                <w:sz w:val="24"/>
                <w:szCs w:val="24"/>
                <w:highlight w:val="none"/>
                <w:lang w:val="en-US" w:eastAsia="zh-CN"/>
              </w:rPr>
              <w:t>从业人员、营业收入、资产总额填报上一年度数据，无上一年度数据的新成立企业从业人员、营业收入、资产总额均填0，根据提交投标（响应）文件时的实际情况填写企业类型。</w:t>
            </w:r>
          </w:p>
        </w:tc>
      </w:tr>
      <w:tr w14:paraId="7768D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9FA1225">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14.5</w:t>
            </w:r>
          </w:p>
        </w:tc>
        <w:tc>
          <w:tcPr>
            <w:tcW w:w="1907" w:type="dxa"/>
            <w:vAlign w:val="center"/>
          </w:tcPr>
          <w:p w14:paraId="7BC08986">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声明函澄清、</w:t>
            </w:r>
          </w:p>
          <w:p w14:paraId="0D3E6E2A">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修正</w:t>
            </w:r>
          </w:p>
        </w:tc>
        <w:tc>
          <w:tcPr>
            <w:tcW w:w="5592" w:type="dxa"/>
            <w:vAlign w:val="center"/>
          </w:tcPr>
          <w:p w14:paraId="10CB180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声明函中存在明显笔误、划</w:t>
            </w:r>
            <w:r>
              <w:rPr>
                <w:rFonts w:hint="default" w:ascii="仿宋" w:hAnsi="仿宋" w:eastAsia="仿宋" w:cs="仿宋"/>
                <w:color w:val="auto"/>
                <w:sz w:val="24"/>
                <w:szCs w:val="24"/>
                <w:lang w:val="en-US" w:eastAsia="zh-CN"/>
              </w:rPr>
              <w:t>型</w:t>
            </w:r>
            <w:r>
              <w:rPr>
                <w:rFonts w:hint="eastAsia" w:ascii="仿宋" w:hAnsi="仿宋" w:eastAsia="仿宋" w:cs="仿宋"/>
                <w:color w:val="auto"/>
                <w:sz w:val="24"/>
                <w:szCs w:val="24"/>
                <w:lang w:val="en-US" w:eastAsia="zh-CN"/>
              </w:rPr>
              <w:t>错误、同一内容前后不一致等无主观故意为之的</w:t>
            </w:r>
            <w:r>
              <w:rPr>
                <w:rFonts w:hint="default" w:ascii="仿宋" w:hAnsi="仿宋" w:eastAsia="仿宋" w:cs="仿宋"/>
                <w:color w:val="auto"/>
                <w:sz w:val="24"/>
                <w:szCs w:val="24"/>
                <w:lang w:val="en-US" w:eastAsia="zh-CN"/>
              </w:rPr>
              <w:t>情</w:t>
            </w:r>
            <w:r>
              <w:rPr>
                <w:rFonts w:hint="eastAsia" w:ascii="仿宋" w:hAnsi="仿宋" w:eastAsia="仿宋" w:cs="仿宋"/>
                <w:color w:val="auto"/>
                <w:sz w:val="24"/>
                <w:szCs w:val="24"/>
                <w:lang w:val="en-US" w:eastAsia="zh-CN"/>
              </w:rPr>
              <w:t>形，评标小组可要求供应商予以澄清，澄清后符合中小企业条件的，该声明函有效，否则无效。</w:t>
            </w:r>
          </w:p>
        </w:tc>
      </w:tr>
      <w:tr w14:paraId="1DD6E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0328823">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w:t>
            </w:r>
          </w:p>
        </w:tc>
        <w:tc>
          <w:tcPr>
            <w:tcW w:w="1907" w:type="dxa"/>
            <w:tcBorders>
              <w:right w:val="nil"/>
            </w:tcBorders>
            <w:vAlign w:val="center"/>
          </w:tcPr>
          <w:p w14:paraId="5101D480">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合同</w:t>
            </w:r>
          </w:p>
        </w:tc>
        <w:tc>
          <w:tcPr>
            <w:tcW w:w="5592" w:type="dxa"/>
            <w:tcBorders>
              <w:left w:val="nil"/>
            </w:tcBorders>
            <w:vAlign w:val="center"/>
          </w:tcPr>
          <w:p w14:paraId="272E6E06">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14:paraId="31F27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B7B51F5">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15.1</w:t>
            </w:r>
          </w:p>
        </w:tc>
        <w:tc>
          <w:tcPr>
            <w:tcW w:w="1907" w:type="dxa"/>
            <w:vAlign w:val="center"/>
          </w:tcPr>
          <w:p w14:paraId="20EC0DF1">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合同类型</w:t>
            </w:r>
          </w:p>
        </w:tc>
        <w:tc>
          <w:tcPr>
            <w:tcW w:w="5592" w:type="dxa"/>
            <w:vAlign w:val="center"/>
          </w:tcPr>
          <w:p w14:paraId="02B7E768">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固定总价合同</w:t>
            </w:r>
          </w:p>
        </w:tc>
      </w:tr>
      <w:tr w14:paraId="5EAC4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616F0ABC">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15.2</w:t>
            </w:r>
          </w:p>
        </w:tc>
        <w:tc>
          <w:tcPr>
            <w:tcW w:w="1907" w:type="dxa"/>
            <w:shd w:val="clear" w:color="auto" w:fill="auto"/>
            <w:vAlign w:val="center"/>
          </w:tcPr>
          <w:p w14:paraId="1A7800FD">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签订合同</w:t>
            </w:r>
          </w:p>
        </w:tc>
        <w:tc>
          <w:tcPr>
            <w:tcW w:w="5592" w:type="dxa"/>
            <w:shd w:val="clear" w:color="auto" w:fill="auto"/>
            <w:vAlign w:val="center"/>
          </w:tcPr>
          <w:p w14:paraId="40A8E226">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1、</w:t>
            </w:r>
            <w:r>
              <w:rPr>
                <w:rFonts w:hint="eastAsia" w:ascii="仿宋" w:hAnsi="仿宋" w:eastAsia="仿宋" w:cs="仿宋"/>
                <w:bCs/>
                <w:color w:val="auto"/>
                <w:sz w:val="24"/>
                <w:szCs w:val="24"/>
                <w:lang w:val="en-US" w:eastAsia="zh-CN"/>
              </w:rPr>
              <w:t>自中标</w:t>
            </w:r>
            <w:r>
              <w:rPr>
                <w:rFonts w:hint="eastAsia" w:ascii="仿宋" w:hAnsi="仿宋" w:eastAsia="仿宋" w:cs="仿宋"/>
                <w:bCs/>
                <w:color w:val="auto"/>
                <w:sz w:val="24"/>
                <w:szCs w:val="24"/>
              </w:rPr>
              <w:t>通知书</w:t>
            </w:r>
            <w:r>
              <w:rPr>
                <w:rFonts w:hint="eastAsia" w:ascii="仿宋" w:hAnsi="仿宋" w:eastAsia="仿宋" w:cs="仿宋"/>
                <w:bCs/>
                <w:color w:val="auto"/>
                <w:sz w:val="24"/>
                <w:szCs w:val="24"/>
                <w:lang w:val="en-US" w:eastAsia="zh-CN"/>
              </w:rPr>
              <w:t>发出之日起</w:t>
            </w:r>
            <w:r>
              <w:rPr>
                <w:rFonts w:hint="eastAsia" w:ascii="仿宋" w:hAnsi="仿宋" w:eastAsia="仿宋" w:cs="仿宋"/>
                <w:bCs/>
                <w:color w:val="auto"/>
                <w:sz w:val="24"/>
                <w:szCs w:val="24"/>
                <w:highlight w:val="none"/>
                <w:lang w:val="en-US" w:eastAsia="zh-CN"/>
              </w:rPr>
              <w:t>三十</w:t>
            </w:r>
            <w:r>
              <w:rPr>
                <w:rFonts w:hint="eastAsia" w:ascii="仿宋" w:hAnsi="仿宋" w:eastAsia="仿宋" w:cs="仿宋"/>
                <w:bCs/>
                <w:color w:val="auto"/>
                <w:sz w:val="24"/>
                <w:szCs w:val="24"/>
                <w:highlight w:val="none"/>
                <w:lang w:eastAsia="zh-CN"/>
              </w:rPr>
              <w:t>日（</w:t>
            </w:r>
            <w:r>
              <w:rPr>
                <w:rFonts w:hint="eastAsia" w:ascii="仿宋" w:hAnsi="仿宋" w:eastAsia="仿宋" w:cs="仿宋"/>
                <w:bCs/>
                <w:color w:val="auto"/>
                <w:sz w:val="24"/>
                <w:szCs w:val="24"/>
                <w:highlight w:val="none"/>
                <w:lang w:val="en-US" w:eastAsia="zh-CN"/>
              </w:rPr>
              <w:t>按照政府采购最新政策规定，应当自</w:t>
            </w:r>
            <w:r>
              <w:rPr>
                <w:rFonts w:hint="eastAsia" w:ascii="仿宋" w:hAnsi="仿宋" w:eastAsia="仿宋" w:cs="仿宋"/>
                <w:bCs/>
                <w:color w:val="auto"/>
                <w:sz w:val="24"/>
                <w:szCs w:val="24"/>
                <w:lang w:val="en-US" w:eastAsia="zh-CN"/>
              </w:rPr>
              <w:t>中标</w:t>
            </w:r>
            <w:r>
              <w:rPr>
                <w:rFonts w:hint="eastAsia" w:ascii="仿宋" w:hAnsi="仿宋" w:eastAsia="仿宋" w:cs="仿宋"/>
                <w:bCs/>
                <w:color w:val="auto"/>
                <w:sz w:val="24"/>
                <w:szCs w:val="24"/>
                <w:highlight w:val="none"/>
                <w:lang w:val="en-US" w:eastAsia="zh-CN"/>
              </w:rPr>
              <w:t>通知书发出之日起二十五日</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rPr>
              <w:t>内</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采购人与中标人按照招标文件确定的事项和投标文件订立书面合同。采购人和中标人不得再行订立背离合同实质性内容的其他协议</w:t>
            </w:r>
            <w:r>
              <w:rPr>
                <w:rFonts w:hint="eastAsia" w:ascii="仿宋" w:hAnsi="仿宋" w:eastAsia="仿宋" w:cs="仿宋"/>
                <w:bCs/>
                <w:color w:val="auto"/>
                <w:sz w:val="24"/>
                <w:szCs w:val="24"/>
                <w:lang w:eastAsia="zh-CN"/>
              </w:rPr>
              <w:t>。</w:t>
            </w:r>
          </w:p>
          <w:p w14:paraId="59F7D922">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2、</w:t>
            </w:r>
            <w:r>
              <w:rPr>
                <w:rFonts w:hint="eastAsia" w:ascii="仿宋" w:hAnsi="仿宋" w:eastAsia="仿宋" w:cs="仿宋"/>
                <w:bCs/>
                <w:color w:val="auto"/>
                <w:sz w:val="24"/>
                <w:szCs w:val="24"/>
                <w:lang w:val="en-US" w:eastAsia="zh-CN"/>
              </w:rPr>
              <w:t>招标文件要求中标人提交履约保证金或者其他形式履约或风险保证的，中标人应当提交；拒绝提交的，视为放弃中标资格</w:t>
            </w:r>
            <w:r>
              <w:rPr>
                <w:rFonts w:hint="eastAsia" w:ascii="仿宋" w:hAnsi="仿宋" w:eastAsia="仿宋" w:cs="仿宋"/>
                <w:bCs/>
                <w:color w:val="auto"/>
                <w:sz w:val="24"/>
                <w:szCs w:val="24"/>
                <w:lang w:eastAsia="zh-CN"/>
              </w:rPr>
              <w:t>。</w:t>
            </w:r>
          </w:p>
          <w:p w14:paraId="5970F788">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rPr>
              <w:t>3、</w:t>
            </w:r>
            <w:r>
              <w:rPr>
                <w:rFonts w:hint="eastAsia" w:ascii="仿宋" w:hAnsi="仿宋" w:eastAsia="仿宋" w:cs="仿宋"/>
                <w:bCs/>
                <w:color w:val="auto"/>
                <w:sz w:val="24"/>
                <w:szCs w:val="24"/>
                <w:lang w:val="en-US" w:eastAsia="zh-CN"/>
              </w:rPr>
              <w:t>甲乙双方无正当理由不按规定签订合同，或在签订合同时向对方提出附加条件，更改合同实质性内容的，依法承担相应法律责任；给对方造成损失的应当赔偿。</w:t>
            </w:r>
          </w:p>
          <w:p w14:paraId="36166CF7">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4、</w:t>
            </w:r>
            <w:r>
              <w:rPr>
                <w:rFonts w:hint="eastAsia" w:ascii="仿宋" w:hAnsi="仿宋" w:eastAsia="仿宋" w:cs="仿宋"/>
                <w:bCs/>
                <w:color w:val="auto"/>
                <w:sz w:val="24"/>
                <w:szCs w:val="24"/>
                <w:lang w:val="en-US" w:eastAsia="zh-CN"/>
              </w:rPr>
              <w:t>中标</w:t>
            </w:r>
            <w:r>
              <w:rPr>
                <w:rFonts w:hint="eastAsia" w:ascii="仿宋" w:hAnsi="仿宋" w:eastAsia="仿宋" w:cs="仿宋"/>
                <w:bCs/>
                <w:color w:val="auto"/>
                <w:sz w:val="24"/>
                <w:szCs w:val="24"/>
              </w:rPr>
              <w:t>通知书是合同的重要组成部分。</w:t>
            </w:r>
            <w:r>
              <w:rPr>
                <w:rFonts w:hint="eastAsia" w:ascii="仿宋" w:hAnsi="仿宋" w:eastAsia="仿宋" w:cs="仿宋"/>
                <w:bCs/>
                <w:color w:val="auto"/>
                <w:sz w:val="24"/>
                <w:szCs w:val="24"/>
                <w:lang w:val="en-US" w:eastAsia="zh-CN"/>
              </w:rPr>
              <w:t>招标</w:t>
            </w:r>
            <w:r>
              <w:rPr>
                <w:rFonts w:hint="eastAsia" w:ascii="仿宋" w:hAnsi="仿宋" w:eastAsia="仿宋" w:cs="仿宋"/>
                <w:bCs/>
                <w:color w:val="auto"/>
                <w:sz w:val="24"/>
                <w:szCs w:val="24"/>
              </w:rPr>
              <w:t>文件、</w:t>
            </w:r>
            <w:r>
              <w:rPr>
                <w:rFonts w:hint="eastAsia" w:ascii="仿宋" w:hAnsi="仿宋" w:eastAsia="仿宋" w:cs="仿宋"/>
                <w:bCs/>
                <w:color w:val="auto"/>
                <w:sz w:val="24"/>
                <w:szCs w:val="24"/>
                <w:lang w:val="en-US" w:eastAsia="zh-CN"/>
              </w:rPr>
              <w:t>投标</w:t>
            </w:r>
            <w:r>
              <w:rPr>
                <w:rFonts w:hint="eastAsia" w:ascii="仿宋" w:hAnsi="仿宋" w:eastAsia="仿宋" w:cs="仿宋"/>
                <w:bCs/>
                <w:color w:val="auto"/>
                <w:sz w:val="24"/>
                <w:szCs w:val="24"/>
              </w:rPr>
              <w:t>文件及评审过程中有关的澄清文件均作为合同附件</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中标无效的，发出的中标通知书和签订的合同自始没有法律约束力，但不影响合同中独立存在的有关解决争议方法的条款的效力。</w:t>
            </w:r>
          </w:p>
          <w:p w14:paraId="03139D9B">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5</w:t>
            </w:r>
            <w:r>
              <w:rPr>
                <w:rFonts w:hint="eastAsia" w:ascii="仿宋" w:hAnsi="仿宋" w:eastAsia="仿宋" w:cs="仿宋"/>
                <w:bCs/>
                <w:color w:val="auto"/>
                <w:sz w:val="24"/>
                <w:szCs w:val="24"/>
              </w:rPr>
              <w:t>、</w:t>
            </w:r>
            <w:r>
              <w:rPr>
                <w:rFonts w:hint="eastAsia" w:ascii="仿宋" w:hAnsi="仿宋" w:eastAsia="仿宋" w:cs="仿宋"/>
                <w:bCs/>
                <w:color w:val="auto"/>
                <w:sz w:val="24"/>
                <w:szCs w:val="24"/>
                <w:lang w:val="en-US" w:eastAsia="zh-CN"/>
              </w:rPr>
              <w:t>中标</w:t>
            </w:r>
            <w:r>
              <w:rPr>
                <w:rFonts w:hint="eastAsia" w:ascii="仿宋" w:hAnsi="仿宋" w:eastAsia="仿宋" w:cs="仿宋"/>
                <w:bCs/>
                <w:color w:val="auto"/>
                <w:sz w:val="24"/>
                <w:szCs w:val="24"/>
              </w:rPr>
              <w:t>人应按照合同约定履行义务。</w:t>
            </w:r>
          </w:p>
          <w:p w14:paraId="25FB166B">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6</w:t>
            </w:r>
            <w:r>
              <w:rPr>
                <w:rFonts w:hint="eastAsia" w:ascii="仿宋" w:hAnsi="仿宋" w:eastAsia="仿宋" w:cs="仿宋"/>
                <w:bCs/>
                <w:color w:val="auto"/>
                <w:sz w:val="24"/>
                <w:szCs w:val="24"/>
              </w:rPr>
              <w:t>、合同不得对</w:t>
            </w:r>
            <w:r>
              <w:rPr>
                <w:rFonts w:hint="eastAsia" w:ascii="仿宋" w:hAnsi="仿宋" w:eastAsia="仿宋" w:cs="仿宋"/>
                <w:bCs/>
                <w:color w:val="auto"/>
                <w:sz w:val="24"/>
                <w:szCs w:val="24"/>
                <w:lang w:val="en-US" w:eastAsia="zh-CN"/>
              </w:rPr>
              <w:t>招标</w:t>
            </w:r>
            <w:r>
              <w:rPr>
                <w:rFonts w:hint="eastAsia" w:ascii="仿宋" w:hAnsi="仿宋" w:eastAsia="仿宋" w:cs="仿宋"/>
                <w:bCs/>
                <w:color w:val="auto"/>
                <w:sz w:val="24"/>
                <w:szCs w:val="24"/>
              </w:rPr>
              <w:t>文件确定的事项和</w:t>
            </w:r>
            <w:r>
              <w:rPr>
                <w:rFonts w:hint="eastAsia" w:ascii="仿宋" w:hAnsi="仿宋" w:eastAsia="仿宋" w:cs="仿宋"/>
                <w:bCs/>
                <w:color w:val="auto"/>
                <w:sz w:val="24"/>
                <w:szCs w:val="24"/>
                <w:lang w:val="en-US" w:eastAsia="zh-CN"/>
              </w:rPr>
              <w:t>中标</w:t>
            </w:r>
            <w:r>
              <w:rPr>
                <w:rFonts w:hint="eastAsia" w:ascii="仿宋" w:hAnsi="仿宋" w:eastAsia="仿宋" w:cs="仿宋"/>
                <w:bCs/>
                <w:color w:val="auto"/>
                <w:sz w:val="24"/>
                <w:szCs w:val="24"/>
              </w:rPr>
              <w:t>人</w:t>
            </w:r>
            <w:r>
              <w:rPr>
                <w:rFonts w:hint="eastAsia" w:ascii="仿宋" w:hAnsi="仿宋" w:eastAsia="仿宋" w:cs="仿宋"/>
                <w:bCs/>
                <w:color w:val="auto"/>
                <w:sz w:val="24"/>
                <w:szCs w:val="24"/>
                <w:lang w:val="en-US" w:eastAsia="zh-CN"/>
              </w:rPr>
              <w:t>的投标</w:t>
            </w:r>
            <w:r>
              <w:rPr>
                <w:rFonts w:hint="eastAsia" w:ascii="仿宋" w:hAnsi="仿宋" w:eastAsia="仿宋" w:cs="仿宋"/>
                <w:bCs/>
                <w:color w:val="auto"/>
                <w:sz w:val="24"/>
                <w:szCs w:val="24"/>
              </w:rPr>
              <w:t>文件作实质性修改。</w:t>
            </w:r>
          </w:p>
        </w:tc>
      </w:tr>
      <w:tr w14:paraId="41BBB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5D54A0C8">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15.3</w:t>
            </w:r>
          </w:p>
        </w:tc>
        <w:tc>
          <w:tcPr>
            <w:tcW w:w="1907" w:type="dxa"/>
            <w:vAlign w:val="center"/>
          </w:tcPr>
          <w:p w14:paraId="07C9EAE2">
            <w:pPr>
              <w:pStyle w:val="4"/>
              <w:keepNext w:val="0"/>
              <w:keepLines w:val="0"/>
              <w:pageBreakBefore w:val="0"/>
              <w:kinsoku/>
              <w:wordWrap/>
              <w:overflowPunct/>
              <w:topLinePunct w:val="0"/>
              <w:autoSpaceDE/>
              <w:autoSpaceDN/>
              <w:bidi w:val="0"/>
              <w:adjustRightInd/>
              <w:spacing w:before="0"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合同分包、转包</w:t>
            </w:r>
          </w:p>
        </w:tc>
        <w:tc>
          <w:tcPr>
            <w:tcW w:w="5592" w:type="dxa"/>
            <w:vAlign w:val="center"/>
          </w:tcPr>
          <w:p w14:paraId="781AFEFC">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rPr>
              <w:t>不允许</w:t>
            </w:r>
            <w:r>
              <w:rPr>
                <w:rFonts w:hint="eastAsia" w:ascii="仿宋" w:hAnsi="仿宋" w:eastAsia="仿宋" w:cs="仿宋"/>
                <w:color w:val="auto"/>
                <w:sz w:val="24"/>
                <w:szCs w:val="24"/>
                <w:lang w:val="en-US" w:eastAsia="zh-CN"/>
              </w:rPr>
              <w:t>；</w:t>
            </w:r>
          </w:p>
          <w:p w14:paraId="201A87EE">
            <w:pPr>
              <w:keepNext w:val="0"/>
              <w:keepLines w:val="0"/>
              <w:pageBreakBefore w:val="0"/>
              <w:widowControl/>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提示：</w:t>
            </w:r>
            <w:r>
              <w:rPr>
                <w:rFonts w:hint="eastAsia" w:ascii="仿宋" w:hAnsi="仿宋" w:eastAsia="仿宋" w:cs="仿宋"/>
                <w:color w:val="auto"/>
                <w:kern w:val="0"/>
                <w:sz w:val="24"/>
                <w:szCs w:val="24"/>
              </w:rPr>
              <w:t>中小企业根据《政府采购促进中小企业发展管办法》（财库〔2020〕46号）规定的政策获取政府采购合同后，小型、微型企业不得分包或转包给大型、中型企业，中型企业不得分包或转包给大型企业。</w:t>
            </w:r>
          </w:p>
        </w:tc>
      </w:tr>
      <w:tr w14:paraId="7BCF2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FE89565">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15.4</w:t>
            </w:r>
          </w:p>
        </w:tc>
        <w:tc>
          <w:tcPr>
            <w:tcW w:w="1907" w:type="dxa"/>
            <w:vAlign w:val="center"/>
          </w:tcPr>
          <w:p w14:paraId="088797BF">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合同争议及违约</w:t>
            </w:r>
          </w:p>
        </w:tc>
        <w:tc>
          <w:tcPr>
            <w:tcW w:w="5592" w:type="dxa"/>
            <w:vAlign w:val="center"/>
          </w:tcPr>
          <w:p w14:paraId="4F856E29">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lang w:val="en-US" w:eastAsia="zh-CN"/>
              </w:rPr>
              <w:t>按本项目采购合同、《民法典》等相关规定执行。</w:t>
            </w:r>
          </w:p>
        </w:tc>
      </w:tr>
      <w:tr w14:paraId="2D080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35986F8E">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w:t>
            </w:r>
          </w:p>
        </w:tc>
        <w:tc>
          <w:tcPr>
            <w:tcW w:w="1907" w:type="dxa"/>
            <w:tcBorders>
              <w:right w:val="nil"/>
            </w:tcBorders>
            <w:vAlign w:val="center"/>
          </w:tcPr>
          <w:p w14:paraId="37A598D4">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highlight w:val="none"/>
                <w:lang w:eastAsia="zh-CN"/>
              </w:rPr>
              <w:t>评标</w:t>
            </w:r>
          </w:p>
        </w:tc>
        <w:tc>
          <w:tcPr>
            <w:tcW w:w="5592" w:type="dxa"/>
            <w:tcBorders>
              <w:left w:val="nil"/>
            </w:tcBorders>
            <w:vAlign w:val="center"/>
          </w:tcPr>
          <w:p w14:paraId="1A8D61FC">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p>
        </w:tc>
      </w:tr>
      <w:tr w14:paraId="35868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7DDD8D04">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16.1</w:t>
            </w:r>
          </w:p>
        </w:tc>
        <w:tc>
          <w:tcPr>
            <w:tcW w:w="1907" w:type="dxa"/>
            <w:shd w:val="clear" w:color="auto" w:fill="auto"/>
            <w:vAlign w:val="center"/>
          </w:tcPr>
          <w:p w14:paraId="4472843A">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color w:val="auto"/>
                <w:sz w:val="24"/>
                <w:szCs w:val="24"/>
                <w:lang w:val="en-US" w:eastAsia="zh-CN"/>
              </w:rPr>
              <w:t>资格审查主体</w:t>
            </w:r>
          </w:p>
        </w:tc>
        <w:tc>
          <w:tcPr>
            <w:tcW w:w="5592" w:type="dxa"/>
            <w:shd w:val="clear" w:color="auto" w:fill="auto"/>
            <w:vAlign w:val="center"/>
          </w:tcPr>
          <w:p w14:paraId="78257BC7">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kern w:val="0"/>
                <w:sz w:val="24"/>
                <w:szCs w:val="24"/>
                <w:lang w:val="en-US" w:eastAsia="zh-CN" w:bidi="ar-SA"/>
              </w:rPr>
            </w:pPr>
            <w:r>
              <w:rPr>
                <w:rFonts w:hint="eastAsia" w:ascii="仿宋" w:hAnsi="仿宋" w:eastAsia="仿宋" w:cs="仿宋"/>
                <w:b w:val="0"/>
                <w:bCs w:val="0"/>
                <w:color w:val="auto"/>
                <w:kern w:val="0"/>
                <w:sz w:val="24"/>
                <w:szCs w:val="24"/>
                <w:highlight w:val="none"/>
                <w:lang w:val="en-US" w:eastAsia="zh-CN" w:bidi="ar-SA"/>
              </w:rPr>
              <w:t>采购人</w:t>
            </w:r>
          </w:p>
        </w:tc>
      </w:tr>
      <w:tr w14:paraId="0EEE8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6FC7D92A">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16.2</w:t>
            </w:r>
          </w:p>
        </w:tc>
        <w:tc>
          <w:tcPr>
            <w:tcW w:w="1907" w:type="dxa"/>
            <w:shd w:val="clear" w:color="auto" w:fill="auto"/>
            <w:vAlign w:val="center"/>
          </w:tcPr>
          <w:p w14:paraId="55035578">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trike w:val="0"/>
                <w:dstrike w:val="0"/>
                <w:color w:val="auto"/>
                <w:sz w:val="24"/>
                <w:szCs w:val="24"/>
                <w:highlight w:val="none"/>
                <w:lang w:val="en-US" w:eastAsia="zh-CN"/>
              </w:rPr>
              <w:t>符合性审查主体</w:t>
            </w:r>
          </w:p>
        </w:tc>
        <w:tc>
          <w:tcPr>
            <w:tcW w:w="5592" w:type="dxa"/>
            <w:shd w:val="clear" w:color="auto" w:fill="auto"/>
            <w:vAlign w:val="center"/>
          </w:tcPr>
          <w:p w14:paraId="37B8B1FD">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b w:val="0"/>
                <w:bCs w:val="0"/>
                <w:color w:val="auto"/>
                <w:kern w:val="0"/>
                <w:sz w:val="24"/>
                <w:szCs w:val="24"/>
                <w:lang w:val="en-US" w:eastAsia="zh-CN" w:bidi="ar-SA"/>
              </w:rPr>
              <w:t>评</w:t>
            </w:r>
            <w:r>
              <w:rPr>
                <w:rFonts w:hint="eastAsia" w:ascii="仿宋" w:hAnsi="仿宋" w:eastAsia="仿宋" w:cs="仿宋"/>
                <w:sz w:val="24"/>
              </w:rPr>
              <w:t>标</w:t>
            </w:r>
            <w:r>
              <w:rPr>
                <w:rFonts w:hint="eastAsia" w:ascii="仿宋" w:hAnsi="仿宋" w:eastAsia="仿宋" w:cs="仿宋"/>
                <w:b w:val="0"/>
                <w:bCs w:val="0"/>
                <w:color w:val="auto"/>
                <w:kern w:val="0"/>
                <w:sz w:val="24"/>
                <w:szCs w:val="24"/>
                <w:lang w:val="en-US" w:eastAsia="zh-CN" w:bidi="ar-SA"/>
              </w:rPr>
              <w:t>小组</w:t>
            </w:r>
          </w:p>
        </w:tc>
      </w:tr>
      <w:tr w14:paraId="472C6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39865266">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w:t>
            </w:r>
          </w:p>
        </w:tc>
        <w:tc>
          <w:tcPr>
            <w:tcW w:w="1907" w:type="dxa"/>
            <w:tcBorders>
              <w:right w:val="nil"/>
            </w:tcBorders>
            <w:shd w:val="clear" w:color="auto" w:fill="auto"/>
            <w:vAlign w:val="center"/>
          </w:tcPr>
          <w:p w14:paraId="3632CF64">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strike w:val="0"/>
                <w:dstrike w:val="0"/>
                <w:color w:val="auto"/>
                <w:sz w:val="24"/>
                <w:szCs w:val="24"/>
                <w:highlight w:val="none"/>
                <w:lang w:val="en-US" w:eastAsia="zh-CN"/>
              </w:rPr>
            </w:pPr>
            <w:r>
              <w:rPr>
                <w:rFonts w:hint="eastAsia" w:ascii="仿宋" w:hAnsi="仿宋" w:eastAsia="仿宋" w:cs="仿宋"/>
                <w:color w:val="auto"/>
                <w:sz w:val="24"/>
                <w:szCs w:val="24"/>
                <w:lang w:val="en-US" w:eastAsia="zh-CN"/>
              </w:rPr>
              <w:t>中标人</w:t>
            </w:r>
          </w:p>
        </w:tc>
        <w:tc>
          <w:tcPr>
            <w:tcW w:w="5592" w:type="dxa"/>
            <w:tcBorders>
              <w:left w:val="nil"/>
            </w:tcBorders>
            <w:shd w:val="clear" w:color="auto" w:fill="auto"/>
            <w:vAlign w:val="center"/>
          </w:tcPr>
          <w:p w14:paraId="2F40D7BE">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left"/>
              <w:textAlignment w:val="auto"/>
              <w:rPr>
                <w:rFonts w:hint="eastAsia" w:ascii="仿宋" w:hAnsi="仿宋" w:eastAsia="仿宋" w:cs="仿宋"/>
                <w:b w:val="0"/>
                <w:bCs w:val="0"/>
                <w:color w:val="auto"/>
                <w:kern w:val="0"/>
                <w:sz w:val="24"/>
                <w:szCs w:val="24"/>
                <w:lang w:val="en-US" w:eastAsia="zh-CN" w:bidi="ar-SA"/>
              </w:rPr>
            </w:pPr>
          </w:p>
        </w:tc>
      </w:tr>
      <w:tr w14:paraId="0FD82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6C8BDA7A">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17.1</w:t>
            </w:r>
          </w:p>
        </w:tc>
        <w:tc>
          <w:tcPr>
            <w:tcW w:w="1907" w:type="dxa"/>
            <w:shd w:val="clear" w:color="auto" w:fill="auto"/>
            <w:vAlign w:val="center"/>
          </w:tcPr>
          <w:p w14:paraId="171E0A70">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确定中标人</w:t>
            </w:r>
          </w:p>
        </w:tc>
        <w:tc>
          <w:tcPr>
            <w:tcW w:w="5592" w:type="dxa"/>
            <w:shd w:val="clear" w:color="auto" w:fill="auto"/>
            <w:vAlign w:val="center"/>
          </w:tcPr>
          <w:p w14:paraId="5E0EC13B">
            <w:pPr>
              <w:keepNext w:val="0"/>
              <w:keepLines w:val="0"/>
              <w:pageBreakBefore w:val="0"/>
              <w:numPr>
                <w:ilvl w:val="0"/>
                <w:numId w:val="0"/>
              </w:numPr>
              <w:tabs>
                <w:tab w:val="left" w:pos="0"/>
              </w:tabs>
              <w:kinsoku/>
              <w:wordWrap/>
              <w:overflowPunct/>
              <w:topLinePunct w:val="0"/>
              <w:autoSpaceDE/>
              <w:autoSpaceDN/>
              <w:bidi w:val="0"/>
              <w:adjustRightInd/>
              <w:spacing w:line="500" w:lineRule="exact"/>
              <w:ind w:left="0" w:leftChars="0" w:firstLine="0" w:firstLineChars="0"/>
              <w:textAlignment w:val="auto"/>
              <w:rPr>
                <w:rFonts w:hint="eastAsia" w:ascii="仿宋" w:hAnsi="仿宋" w:eastAsia="仿宋" w:cs="仿宋"/>
                <w:bCs/>
                <w:color w:val="auto"/>
                <w:kern w:val="2"/>
                <w:sz w:val="24"/>
                <w:szCs w:val="24"/>
                <w:lang w:val="en-US" w:eastAsia="zh-CN" w:bidi="ar-SA"/>
              </w:rPr>
            </w:pPr>
            <w:r>
              <w:rPr>
                <w:rFonts w:hint="eastAsia" w:ascii="仿宋" w:hAnsi="仿宋" w:eastAsia="仿宋" w:cs="仿宋"/>
                <w:color w:val="auto"/>
                <w:kern w:val="0"/>
                <w:sz w:val="24"/>
                <w:szCs w:val="24"/>
                <w:lang w:val="en-US" w:eastAsia="zh-CN" w:bidi="ar-SA"/>
              </w:rPr>
              <w:t>采购人</w:t>
            </w:r>
          </w:p>
        </w:tc>
      </w:tr>
      <w:tr w14:paraId="4956A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72AE764D">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17.2</w:t>
            </w:r>
          </w:p>
        </w:tc>
        <w:tc>
          <w:tcPr>
            <w:tcW w:w="1907" w:type="dxa"/>
            <w:shd w:val="clear" w:color="auto" w:fill="auto"/>
            <w:vAlign w:val="center"/>
          </w:tcPr>
          <w:p w14:paraId="3700DDEF">
            <w:pPr>
              <w:keepNext w:val="0"/>
              <w:keepLines w:val="0"/>
              <w:pageBreakBefore w:val="0"/>
              <w:kinsoku/>
              <w:overflowPunct/>
              <w:topLinePunct w:val="0"/>
              <w:bidi w:val="0"/>
              <w:adjustRightInd/>
              <w:snapToGrid w:val="0"/>
              <w:spacing w:line="500" w:lineRule="exact"/>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中标人变更</w:t>
            </w:r>
          </w:p>
        </w:tc>
        <w:tc>
          <w:tcPr>
            <w:tcW w:w="5592" w:type="dxa"/>
            <w:shd w:val="clear" w:color="auto" w:fill="auto"/>
            <w:vAlign w:val="center"/>
          </w:tcPr>
          <w:p w14:paraId="13DFC4A1">
            <w:pPr>
              <w:keepNext w:val="0"/>
              <w:keepLines w:val="0"/>
              <w:pageBreakBefore w:val="0"/>
              <w:kinsoku/>
              <w:wordWrap/>
              <w:overflowPunct/>
              <w:topLinePunct w:val="0"/>
              <w:bidi w:val="0"/>
              <w:adjustRightInd/>
              <w:snapToGrid w:val="0"/>
              <w:spacing w:line="500" w:lineRule="exact"/>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根据采购法实施条例第49条和财库便函【2019】154号文，中标人拒绝与采购人签订合同（或弃标），采购人可根据采购项目的实际情况，综合考虑递补供应商的经济性和效率等因素，自主确定是否重新开展采购活动或确定下一候选人为中标或者成交供应商。</w:t>
            </w:r>
          </w:p>
          <w:p w14:paraId="3595A74A">
            <w:pPr>
              <w:keepNext w:val="0"/>
              <w:keepLines w:val="0"/>
              <w:pageBreakBefore w:val="0"/>
              <w:kinsoku/>
              <w:wordWrap/>
              <w:overflowPunct/>
              <w:topLinePunct w:val="0"/>
              <w:bidi w:val="0"/>
              <w:adjustRightInd/>
              <w:snapToGrid w:val="0"/>
              <w:spacing w:line="500" w:lineRule="exact"/>
              <w:jc w:val="left"/>
              <w:textAlignment w:val="baseline"/>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2.出现变更中标人的其他情形时，按照政府采购法及相关法律法规进行。</w:t>
            </w:r>
          </w:p>
          <w:p w14:paraId="02ABF205">
            <w:pPr>
              <w:keepNext w:val="0"/>
              <w:keepLines w:val="0"/>
              <w:pageBreakBefore w:val="0"/>
              <w:kinsoku/>
              <w:wordWrap/>
              <w:overflowPunct/>
              <w:topLinePunct w:val="0"/>
              <w:bidi w:val="0"/>
              <w:adjustRightInd/>
              <w:snapToGrid w:val="0"/>
              <w:spacing w:line="500" w:lineRule="exact"/>
              <w:jc w:val="left"/>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lang w:val="en-US" w:eastAsia="zh-CN"/>
              </w:rPr>
              <w:t>3.合同签订前，若</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kern w:val="0"/>
                <w:sz w:val="24"/>
                <w:lang w:val="en-US" w:eastAsia="zh-CN"/>
              </w:rPr>
              <w:t>人经营状况发生变化，</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kern w:val="0"/>
                <w:sz w:val="24"/>
                <w:lang w:val="en-US" w:eastAsia="zh-CN"/>
              </w:rPr>
              <w:t>人须及时向采购人说明情况，采购人认为</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kern w:val="0"/>
                <w:sz w:val="24"/>
                <w:lang w:val="en-US" w:eastAsia="zh-CN"/>
              </w:rPr>
              <w:t>人不具备履约能力，可取消其</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kern w:val="0"/>
                <w:sz w:val="24"/>
                <w:lang w:val="en-US" w:eastAsia="zh-CN"/>
              </w:rPr>
              <w:t>资格</w:t>
            </w:r>
            <w:r>
              <w:rPr>
                <w:rFonts w:hint="eastAsia" w:ascii="仿宋" w:hAnsi="仿宋" w:eastAsia="仿宋" w:cs="仿宋"/>
                <w:bCs/>
                <w:color w:val="auto"/>
                <w:sz w:val="24"/>
                <w:szCs w:val="24"/>
              </w:rPr>
              <w:t>。</w:t>
            </w:r>
          </w:p>
        </w:tc>
      </w:tr>
      <w:tr w14:paraId="4C5DF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75504225">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w:t>
            </w:r>
          </w:p>
        </w:tc>
        <w:tc>
          <w:tcPr>
            <w:tcW w:w="1907" w:type="dxa"/>
            <w:vAlign w:val="center"/>
          </w:tcPr>
          <w:p w14:paraId="0DEF1E49">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b w:val="0"/>
                <w:bCs/>
                <w:color w:val="auto"/>
                <w:sz w:val="24"/>
                <w:szCs w:val="24"/>
              </w:rPr>
              <w:t>重新采购</w:t>
            </w:r>
          </w:p>
        </w:tc>
        <w:tc>
          <w:tcPr>
            <w:tcW w:w="5592" w:type="dxa"/>
            <w:vAlign w:val="center"/>
          </w:tcPr>
          <w:p w14:paraId="52964797">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（1）出现影响采购公正的违法、违规行为的；</w:t>
            </w:r>
          </w:p>
          <w:p w14:paraId="4F60E0FF">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（2）实质响应的供应商不足三家的；（经审批可采取其他采购方式的除外）</w:t>
            </w:r>
          </w:p>
          <w:p w14:paraId="7042988D">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（3）所有供应商的报价均超出</w:t>
            </w:r>
            <w:r>
              <w:rPr>
                <w:rFonts w:hint="eastAsia" w:ascii="仿宋" w:hAnsi="仿宋" w:eastAsia="仿宋" w:cs="仿宋"/>
                <w:bCs/>
                <w:color w:val="auto"/>
                <w:sz w:val="24"/>
                <w:szCs w:val="24"/>
                <w:lang w:val="en-US" w:eastAsia="zh-CN"/>
              </w:rPr>
              <w:t>项目</w:t>
            </w:r>
            <w:r>
              <w:rPr>
                <w:rFonts w:hint="eastAsia" w:ascii="仿宋" w:hAnsi="仿宋" w:eastAsia="仿宋" w:cs="仿宋"/>
                <w:color w:val="auto"/>
                <w:sz w:val="24"/>
                <w:szCs w:val="24"/>
                <w:lang w:val="en-US" w:eastAsia="zh-CN"/>
              </w:rPr>
              <w:t>预算金额或最高限价，采购人不能支付的；</w:t>
            </w:r>
          </w:p>
          <w:p w14:paraId="454D97DD">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（4）项目发生重大变更；</w:t>
            </w:r>
          </w:p>
          <w:p w14:paraId="1065E5BB">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（5）法律法规和招标文件规定的其他情形。</w:t>
            </w:r>
          </w:p>
        </w:tc>
      </w:tr>
      <w:tr w14:paraId="7E07F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5F75FBCE">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p>
        </w:tc>
        <w:tc>
          <w:tcPr>
            <w:tcW w:w="1907" w:type="dxa"/>
            <w:vAlign w:val="center"/>
          </w:tcPr>
          <w:p w14:paraId="43152760">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val="0"/>
                <w:bCs w:val="0"/>
                <w:color w:val="auto"/>
                <w:kern w:val="0"/>
                <w:sz w:val="24"/>
                <w:szCs w:val="24"/>
                <w:highlight w:val="yellow"/>
                <w:lang w:val="en-US" w:eastAsia="zh-CN" w:bidi="ar-SA"/>
              </w:rPr>
            </w:pPr>
            <w:r>
              <w:rPr>
                <w:rFonts w:hint="eastAsia" w:ascii="仿宋" w:hAnsi="仿宋" w:eastAsia="仿宋" w:cs="仿宋"/>
                <w:color w:val="auto"/>
                <w:sz w:val="24"/>
                <w:szCs w:val="24"/>
              </w:rPr>
              <w:t>无效标</w:t>
            </w:r>
          </w:p>
        </w:tc>
        <w:tc>
          <w:tcPr>
            <w:tcW w:w="5592" w:type="dxa"/>
            <w:vAlign w:val="center"/>
          </w:tcPr>
          <w:p w14:paraId="09370786">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投标文件出现下列情形之一为无效投标：</w:t>
            </w:r>
          </w:p>
          <w:p w14:paraId="5C171743">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1.未通过资格审查。</w:t>
            </w:r>
          </w:p>
          <w:p w14:paraId="12800510">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2.未通过</w:t>
            </w:r>
            <w:r>
              <w:rPr>
                <w:rFonts w:hint="eastAsia" w:ascii="仿宋" w:hAnsi="仿宋" w:eastAsia="仿宋" w:cs="仿宋"/>
                <w:strike w:val="0"/>
                <w:dstrike w:val="0"/>
                <w:color w:val="auto"/>
                <w:sz w:val="24"/>
                <w:szCs w:val="24"/>
                <w:lang w:val="en-US" w:eastAsia="zh-CN"/>
              </w:rPr>
              <w:t>符合性</w:t>
            </w:r>
            <w:r>
              <w:rPr>
                <w:rFonts w:hint="eastAsia" w:ascii="仿宋" w:hAnsi="仿宋" w:eastAsia="仿宋" w:cs="仿宋"/>
                <w:color w:val="auto"/>
                <w:sz w:val="24"/>
                <w:szCs w:val="24"/>
                <w:lang w:val="en-US" w:eastAsia="zh-CN"/>
              </w:rPr>
              <w:t>审查</w:t>
            </w:r>
            <w:r>
              <w:rPr>
                <w:rFonts w:hint="eastAsia" w:ascii="仿宋" w:hAnsi="仿宋" w:eastAsia="仿宋" w:cs="仿宋"/>
                <w:color w:val="auto"/>
                <w:sz w:val="24"/>
                <w:szCs w:val="24"/>
              </w:rPr>
              <w:t>。</w:t>
            </w:r>
          </w:p>
          <w:p w14:paraId="44984DA8">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有弄</w:t>
            </w:r>
            <w:r>
              <w:rPr>
                <w:rFonts w:hint="eastAsia" w:ascii="仿宋" w:hAnsi="仿宋" w:eastAsia="仿宋" w:cs="仿宋"/>
                <w:color w:val="auto"/>
                <w:sz w:val="24"/>
                <w:szCs w:val="24"/>
              </w:rPr>
              <w:t>虚</w:t>
            </w:r>
            <w:r>
              <w:rPr>
                <w:rFonts w:hint="eastAsia" w:ascii="仿宋" w:hAnsi="仿宋" w:eastAsia="仿宋" w:cs="仿宋"/>
                <w:color w:val="auto"/>
                <w:sz w:val="24"/>
                <w:szCs w:val="24"/>
                <w:lang w:val="en-US" w:eastAsia="zh-CN"/>
              </w:rPr>
              <w:t>作</w:t>
            </w:r>
            <w:r>
              <w:rPr>
                <w:rFonts w:hint="eastAsia" w:ascii="仿宋" w:hAnsi="仿宋" w:eastAsia="仿宋" w:cs="仿宋"/>
                <w:color w:val="auto"/>
                <w:sz w:val="24"/>
                <w:szCs w:val="24"/>
              </w:rPr>
              <w:t>假</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串标围标等违法违规行为的</w:t>
            </w:r>
            <w:r>
              <w:rPr>
                <w:rFonts w:hint="eastAsia" w:ascii="仿宋" w:hAnsi="仿宋" w:eastAsia="仿宋" w:cs="仿宋"/>
                <w:color w:val="auto"/>
                <w:sz w:val="24"/>
                <w:szCs w:val="24"/>
              </w:rPr>
              <w:t>。</w:t>
            </w:r>
          </w:p>
          <w:p w14:paraId="409FAC64">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未在有效时间内获取招标资料。</w:t>
            </w:r>
          </w:p>
          <w:p w14:paraId="2D806DFE">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5.未从合法正规渠道获取招标资料。</w:t>
            </w:r>
          </w:p>
          <w:p w14:paraId="0ED3A4C6">
            <w:pPr>
              <w:keepNext w:val="0"/>
              <w:keepLines w:val="0"/>
              <w:pageBreakBefore w:val="0"/>
              <w:kinsoku/>
              <w:wordWrap/>
              <w:overflowPunct/>
              <w:topLinePunct w:val="0"/>
              <w:autoSpaceDE/>
              <w:autoSpaceDN/>
              <w:bidi w:val="0"/>
              <w:adjustRightInd/>
              <w:spacing w:beforeAutospacing="0" w:afterAutospacing="0" w:line="50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6.投标</w:t>
            </w:r>
            <w:r>
              <w:rPr>
                <w:rFonts w:hint="eastAsia" w:ascii="仿宋" w:hAnsi="仿宋" w:eastAsia="仿宋" w:cs="仿宋"/>
                <w:color w:val="auto"/>
                <w:sz w:val="24"/>
                <w:szCs w:val="24"/>
              </w:rPr>
              <w:t>附有采购人</w:t>
            </w:r>
            <w:r>
              <w:rPr>
                <w:rFonts w:hint="eastAsia" w:ascii="仿宋" w:hAnsi="仿宋" w:eastAsia="仿宋" w:cs="仿宋"/>
                <w:color w:val="auto"/>
                <w:sz w:val="24"/>
                <w:szCs w:val="24"/>
                <w:lang w:val="en-US" w:eastAsia="zh-CN"/>
              </w:rPr>
              <w:t>不能接受的条件。</w:t>
            </w:r>
          </w:p>
          <w:p w14:paraId="5255F238">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7.招标文件及法律法规规定的其他无效情形。</w:t>
            </w:r>
          </w:p>
        </w:tc>
      </w:tr>
      <w:tr w14:paraId="75876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09CB5020">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20</w:t>
            </w:r>
          </w:p>
        </w:tc>
        <w:tc>
          <w:tcPr>
            <w:tcW w:w="1907" w:type="dxa"/>
            <w:tcBorders>
              <w:right w:val="nil"/>
            </w:tcBorders>
            <w:shd w:val="clear" w:color="auto" w:fill="auto"/>
            <w:vAlign w:val="center"/>
          </w:tcPr>
          <w:p w14:paraId="1EE3C54B">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履约验收</w:t>
            </w:r>
          </w:p>
        </w:tc>
        <w:tc>
          <w:tcPr>
            <w:tcW w:w="5592" w:type="dxa"/>
            <w:tcBorders>
              <w:left w:val="nil"/>
            </w:tcBorders>
            <w:vAlign w:val="center"/>
          </w:tcPr>
          <w:p w14:paraId="740C42FE">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p>
        </w:tc>
      </w:tr>
      <w:tr w14:paraId="089C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16D91F2A">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20.1</w:t>
            </w:r>
          </w:p>
        </w:tc>
        <w:tc>
          <w:tcPr>
            <w:tcW w:w="1907" w:type="dxa"/>
            <w:shd w:val="clear" w:color="auto" w:fill="auto"/>
            <w:vAlign w:val="center"/>
          </w:tcPr>
          <w:p w14:paraId="2D7F884D">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履约争议或违约</w:t>
            </w:r>
          </w:p>
        </w:tc>
        <w:tc>
          <w:tcPr>
            <w:tcW w:w="5592" w:type="dxa"/>
            <w:shd w:val="clear" w:color="auto" w:fill="auto"/>
            <w:vAlign w:val="center"/>
          </w:tcPr>
          <w:p w14:paraId="07478AA2">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供应商在合同履行过程中出现的争议及违约，按合同约定及民法典的规定追究违约方责任。有政府</w:t>
            </w:r>
            <w:r>
              <w:rPr>
                <w:rFonts w:hint="default" w:ascii="仿宋" w:hAnsi="仿宋" w:eastAsia="仿宋" w:cs="仿宋"/>
                <w:bCs/>
                <w:color w:val="auto"/>
                <w:sz w:val="24"/>
                <w:szCs w:val="24"/>
                <w:lang w:val="en-US" w:eastAsia="zh-CN"/>
              </w:rPr>
              <w:t>采购</w:t>
            </w:r>
            <w:r>
              <w:rPr>
                <w:rFonts w:hint="eastAsia" w:ascii="仿宋" w:hAnsi="仿宋" w:eastAsia="仿宋" w:cs="仿宋"/>
                <w:bCs/>
                <w:color w:val="auto"/>
                <w:sz w:val="24"/>
                <w:szCs w:val="24"/>
                <w:lang w:val="en-US" w:eastAsia="zh-CN"/>
              </w:rPr>
              <w:t>法律法规规定的违法违规情形的，采购人</w:t>
            </w:r>
            <w:r>
              <w:rPr>
                <w:rFonts w:hint="default" w:ascii="仿宋" w:hAnsi="仿宋" w:eastAsia="仿宋" w:cs="仿宋"/>
                <w:bCs/>
                <w:color w:val="auto"/>
                <w:sz w:val="24"/>
                <w:szCs w:val="24"/>
                <w:lang w:val="en-US" w:eastAsia="zh-CN"/>
              </w:rPr>
              <w:t>应当及时</w:t>
            </w:r>
            <w:r>
              <w:rPr>
                <w:rFonts w:hint="eastAsia" w:ascii="仿宋" w:hAnsi="仿宋" w:eastAsia="仿宋" w:cs="仿宋"/>
                <w:bCs/>
                <w:color w:val="auto"/>
                <w:sz w:val="24"/>
                <w:szCs w:val="24"/>
                <w:lang w:val="en-US" w:eastAsia="zh-CN"/>
              </w:rPr>
              <w:t>报告财政管理部门。</w:t>
            </w:r>
          </w:p>
        </w:tc>
      </w:tr>
      <w:tr w14:paraId="3F35E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68846B5A">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20.2</w:t>
            </w:r>
          </w:p>
        </w:tc>
        <w:tc>
          <w:tcPr>
            <w:tcW w:w="1907" w:type="dxa"/>
            <w:shd w:val="clear" w:color="auto" w:fill="auto"/>
            <w:vAlign w:val="center"/>
          </w:tcPr>
          <w:p w14:paraId="7B961146">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履约验收主体</w:t>
            </w:r>
          </w:p>
        </w:tc>
        <w:tc>
          <w:tcPr>
            <w:tcW w:w="5592" w:type="dxa"/>
            <w:shd w:val="clear" w:color="auto" w:fill="auto"/>
            <w:vAlign w:val="center"/>
          </w:tcPr>
          <w:p w14:paraId="6E41ACF6">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default" w:ascii="仿宋" w:hAnsi="仿宋" w:eastAsia="仿宋" w:cs="仿宋"/>
                <w:color w:val="auto"/>
                <w:sz w:val="24"/>
                <w:szCs w:val="24"/>
                <w:highlight w:val="none"/>
                <w:lang w:val="en-US" w:eastAsia="zh-CN"/>
              </w:rPr>
              <w:t>采购人</w:t>
            </w:r>
            <w:r>
              <w:rPr>
                <w:rFonts w:hint="eastAsia" w:ascii="仿宋" w:hAnsi="仿宋" w:eastAsia="仿宋" w:cs="仿宋"/>
                <w:color w:val="auto"/>
                <w:sz w:val="24"/>
                <w:szCs w:val="24"/>
                <w:highlight w:val="none"/>
                <w:lang w:val="en-US" w:eastAsia="zh-CN"/>
              </w:rPr>
              <w:t>或其委托方</w:t>
            </w:r>
            <w:r>
              <w:rPr>
                <w:rFonts w:hint="default" w:ascii="仿宋" w:hAnsi="仿宋" w:eastAsia="仿宋" w:cs="仿宋"/>
                <w:color w:val="auto"/>
                <w:sz w:val="24"/>
                <w:szCs w:val="24"/>
                <w:highlight w:val="none"/>
                <w:lang w:val="en-US" w:eastAsia="zh-CN"/>
              </w:rPr>
              <w:t>应当及时对采购项目进行</w:t>
            </w:r>
            <w:r>
              <w:rPr>
                <w:rFonts w:hint="eastAsia" w:ascii="仿宋" w:hAnsi="仿宋" w:eastAsia="仿宋" w:cs="仿宋"/>
                <w:color w:val="auto"/>
                <w:sz w:val="24"/>
                <w:szCs w:val="24"/>
                <w:highlight w:val="none"/>
                <w:lang w:val="en-US" w:eastAsia="zh-CN"/>
              </w:rPr>
              <w:t>履约</w:t>
            </w:r>
            <w:r>
              <w:rPr>
                <w:rFonts w:hint="default" w:ascii="仿宋" w:hAnsi="仿宋" w:eastAsia="仿宋" w:cs="仿宋"/>
                <w:color w:val="auto"/>
                <w:sz w:val="24"/>
                <w:szCs w:val="24"/>
                <w:highlight w:val="none"/>
                <w:lang w:val="en-US" w:eastAsia="zh-CN"/>
              </w:rPr>
              <w:t>验收。采购人可以邀请参加本项目的其他</w:t>
            </w:r>
            <w:r>
              <w:rPr>
                <w:rFonts w:hint="eastAsia" w:ascii="仿宋" w:hAnsi="仿宋" w:eastAsia="仿宋" w:cs="仿宋"/>
                <w:color w:val="auto"/>
                <w:sz w:val="24"/>
                <w:szCs w:val="24"/>
                <w:highlight w:val="none"/>
                <w:lang w:val="en-US" w:eastAsia="zh-CN"/>
              </w:rPr>
              <w:t>供应商</w:t>
            </w:r>
            <w:r>
              <w:rPr>
                <w:rFonts w:hint="default" w:ascii="仿宋" w:hAnsi="仿宋" w:eastAsia="仿宋" w:cs="仿宋"/>
                <w:color w:val="auto"/>
                <w:sz w:val="24"/>
                <w:szCs w:val="24"/>
                <w:highlight w:val="none"/>
                <w:lang w:val="en-US" w:eastAsia="zh-CN"/>
              </w:rPr>
              <w:t>或者第三方机构及专家参与</w:t>
            </w:r>
            <w:r>
              <w:rPr>
                <w:rFonts w:hint="eastAsia" w:ascii="仿宋" w:hAnsi="仿宋" w:eastAsia="仿宋" w:cs="仿宋"/>
                <w:color w:val="auto"/>
                <w:sz w:val="24"/>
                <w:szCs w:val="24"/>
                <w:highlight w:val="none"/>
                <w:lang w:val="en-US" w:eastAsia="zh-CN"/>
              </w:rPr>
              <w:t>履约</w:t>
            </w:r>
            <w:r>
              <w:rPr>
                <w:rFonts w:hint="default" w:ascii="仿宋" w:hAnsi="仿宋" w:eastAsia="仿宋" w:cs="仿宋"/>
                <w:color w:val="auto"/>
                <w:sz w:val="24"/>
                <w:szCs w:val="24"/>
                <w:highlight w:val="none"/>
                <w:lang w:val="en-US" w:eastAsia="zh-CN"/>
              </w:rPr>
              <w:t>验收</w:t>
            </w:r>
            <w:r>
              <w:rPr>
                <w:rFonts w:hint="eastAsia" w:ascii="仿宋" w:hAnsi="仿宋" w:eastAsia="仿宋" w:cs="仿宋"/>
                <w:color w:val="auto"/>
                <w:sz w:val="24"/>
                <w:szCs w:val="24"/>
                <w:highlight w:val="none"/>
                <w:lang w:val="en-US" w:eastAsia="zh-CN"/>
              </w:rPr>
              <w:t>，</w:t>
            </w:r>
            <w:r>
              <w:rPr>
                <w:rFonts w:hint="default" w:ascii="仿宋" w:hAnsi="仿宋" w:eastAsia="仿宋" w:cs="仿宋"/>
                <w:color w:val="auto"/>
                <w:sz w:val="24"/>
                <w:szCs w:val="24"/>
                <w:highlight w:val="none"/>
                <w:lang w:val="en-US" w:eastAsia="zh-CN"/>
              </w:rPr>
              <w:t>验收意见作为验收报告的参考资料一并存档。</w:t>
            </w:r>
          </w:p>
        </w:tc>
      </w:tr>
      <w:tr w14:paraId="32DA9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11A30D72">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20.3</w:t>
            </w:r>
          </w:p>
        </w:tc>
        <w:tc>
          <w:tcPr>
            <w:tcW w:w="1907" w:type="dxa"/>
            <w:shd w:val="clear" w:color="auto" w:fill="auto"/>
            <w:vAlign w:val="center"/>
          </w:tcPr>
          <w:p w14:paraId="21F196D5">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履约验收依据</w:t>
            </w:r>
          </w:p>
        </w:tc>
        <w:tc>
          <w:tcPr>
            <w:tcW w:w="5592" w:type="dxa"/>
            <w:shd w:val="clear" w:color="auto" w:fill="auto"/>
            <w:vAlign w:val="center"/>
          </w:tcPr>
          <w:p w14:paraId="57C1782C">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highlight w:val="yellow"/>
                <w:lang w:val="en-US" w:eastAsia="zh-CN" w:bidi="ar-SA"/>
              </w:rPr>
            </w:pPr>
            <w:r>
              <w:rPr>
                <w:rFonts w:hint="eastAsia" w:ascii="仿宋" w:hAnsi="仿宋" w:eastAsia="仿宋" w:cs="仿宋"/>
                <w:color w:val="auto"/>
                <w:sz w:val="24"/>
                <w:szCs w:val="24"/>
                <w:highlight w:val="none"/>
                <w:lang w:val="en-US" w:eastAsia="zh-CN"/>
              </w:rPr>
              <w:t>履约验收主体应当按照采购合同规定的标的、技术、标准、服务内容、质量和安全等要求，组织对供应商履约情况进行验收，并出具验收报告。验收报告包括：技术、服务、安全标准等的履约情况。</w:t>
            </w:r>
          </w:p>
        </w:tc>
      </w:tr>
      <w:tr w14:paraId="7A210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32BF4AC5">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20.4</w:t>
            </w:r>
          </w:p>
        </w:tc>
        <w:tc>
          <w:tcPr>
            <w:tcW w:w="1907" w:type="dxa"/>
            <w:shd w:val="clear" w:color="auto" w:fill="auto"/>
            <w:vAlign w:val="center"/>
          </w:tcPr>
          <w:p w14:paraId="71ADD9B6">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履约验收标准</w:t>
            </w:r>
          </w:p>
        </w:tc>
        <w:tc>
          <w:tcPr>
            <w:tcW w:w="5592" w:type="dxa"/>
            <w:shd w:val="clear" w:color="auto" w:fill="auto"/>
            <w:vAlign w:val="center"/>
          </w:tcPr>
          <w:p w14:paraId="3E85AAF6">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达到国家、行业相关标准规范，满足采购要求。</w:t>
            </w:r>
          </w:p>
        </w:tc>
      </w:tr>
      <w:tr w14:paraId="35C4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B68AB46">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w:t>
            </w:r>
          </w:p>
        </w:tc>
        <w:tc>
          <w:tcPr>
            <w:tcW w:w="1907" w:type="dxa"/>
            <w:tcBorders>
              <w:right w:val="nil"/>
            </w:tcBorders>
            <w:vAlign w:val="center"/>
          </w:tcPr>
          <w:p w14:paraId="42AEDA35">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补充事项</w:t>
            </w:r>
          </w:p>
        </w:tc>
        <w:tc>
          <w:tcPr>
            <w:tcW w:w="5592" w:type="dxa"/>
            <w:tcBorders>
              <w:left w:val="nil"/>
            </w:tcBorders>
            <w:vAlign w:val="center"/>
          </w:tcPr>
          <w:p w14:paraId="55575310">
            <w:pPr>
              <w:keepNext w:val="0"/>
              <w:keepLines w:val="0"/>
              <w:pageBreakBefore w:val="0"/>
              <w:numPr>
                <w:ilvl w:val="0"/>
                <w:numId w:val="0"/>
              </w:numPr>
              <w:shd w:val="clea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highlight w:val="yellow"/>
                <w:lang w:val="en-US" w:eastAsia="zh-CN"/>
              </w:rPr>
            </w:pPr>
          </w:p>
        </w:tc>
      </w:tr>
      <w:tr w14:paraId="288D9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A6D7C24">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w:t>
            </w:r>
            <w:r>
              <w:rPr>
                <w:rFonts w:hint="eastAsia" w:ascii="仿宋" w:hAnsi="仿宋" w:eastAsia="仿宋" w:cs="仿宋"/>
                <w:color w:val="auto"/>
                <w:sz w:val="24"/>
                <w:szCs w:val="24"/>
                <w:highlight w:val="none"/>
                <w:lang w:val="en-US" w:eastAsia="zh-CN"/>
              </w:rPr>
              <w:t>.1</w:t>
            </w:r>
          </w:p>
        </w:tc>
        <w:tc>
          <w:tcPr>
            <w:tcW w:w="1907" w:type="dxa"/>
            <w:vAlign w:val="center"/>
          </w:tcPr>
          <w:p w14:paraId="7F844973">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招标文件解释权</w:t>
            </w:r>
          </w:p>
        </w:tc>
        <w:tc>
          <w:tcPr>
            <w:tcW w:w="5592" w:type="dxa"/>
            <w:vAlign w:val="center"/>
          </w:tcPr>
          <w:p w14:paraId="1D6726B7">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文件的解释权归采购人及代理机构所有：1）对于当事各方对</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文件发生理解偏差或歧义时，以</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文件的编制者即代理机构的释义为基本依据。2）供应商对</w:t>
            </w:r>
            <w:r>
              <w:rPr>
                <w:rFonts w:hint="eastAsia" w:ascii="仿宋" w:hAnsi="仿宋" w:eastAsia="仿宋" w:cs="仿宋"/>
                <w:color w:val="auto"/>
                <w:sz w:val="24"/>
                <w:szCs w:val="24"/>
                <w:lang w:val="en-US" w:eastAsia="zh-CN"/>
              </w:rPr>
              <w:t>招标文件的自主理解、推测、主观认为、随意臆造等造成的不利后果自负。</w:t>
            </w:r>
          </w:p>
        </w:tc>
      </w:tr>
      <w:tr w14:paraId="35172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DD7DD79">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w:t>
            </w:r>
          </w:p>
        </w:tc>
        <w:tc>
          <w:tcPr>
            <w:tcW w:w="1907" w:type="dxa"/>
            <w:shd w:val="clear" w:color="auto" w:fill="auto"/>
            <w:vAlign w:val="center"/>
          </w:tcPr>
          <w:p w14:paraId="453D76F1">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符号含义</w:t>
            </w:r>
          </w:p>
        </w:tc>
        <w:tc>
          <w:tcPr>
            <w:tcW w:w="5592" w:type="dxa"/>
            <w:shd w:val="clear" w:color="auto" w:fill="auto"/>
            <w:vAlign w:val="center"/>
          </w:tcPr>
          <w:p w14:paraId="1AF2C658">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“★”为实质性条款；“</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”为核心产品。</w:t>
            </w:r>
          </w:p>
        </w:tc>
      </w:tr>
      <w:tr w14:paraId="4995F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EF16A6B">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w:t>
            </w:r>
            <w:r>
              <w:rPr>
                <w:rFonts w:hint="eastAsia" w:ascii="仿宋" w:hAnsi="仿宋" w:eastAsia="仿宋" w:cs="仿宋"/>
                <w:color w:val="auto"/>
                <w:kern w:val="2"/>
                <w:sz w:val="24"/>
                <w:szCs w:val="24"/>
                <w:lang w:val="en-US" w:eastAsia="zh-CN" w:bidi="ar-SA"/>
              </w:rPr>
              <w:t>.3</w:t>
            </w:r>
          </w:p>
        </w:tc>
        <w:tc>
          <w:tcPr>
            <w:tcW w:w="1907" w:type="dxa"/>
            <w:shd w:val="clear" w:color="auto" w:fill="auto"/>
            <w:vAlign w:val="center"/>
          </w:tcPr>
          <w:p w14:paraId="598AABF7">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约定</w:t>
            </w:r>
          </w:p>
        </w:tc>
        <w:tc>
          <w:tcPr>
            <w:tcW w:w="5592" w:type="dxa"/>
            <w:shd w:val="clear" w:color="auto" w:fill="auto"/>
            <w:vAlign w:val="center"/>
          </w:tcPr>
          <w:p w14:paraId="47D466D9">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1.对质量、技术、资质要求或约定不明确的，应首先按照国家强制性标准要求执行，其次需符合国家推荐性标准、行业/地方标准以及满足合同目的的特定标准。</w:t>
            </w:r>
          </w:p>
          <w:p w14:paraId="1FC3F782">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2.本招标文件所拟订的技术为基本/主要技术要求，并未对一切技术细节做出规定，也未充分引述有关标准和规范条文，供应商所提供的服务、货物、性能和功能应不低于本文件条款的要求，并应按本招标文件的要求提交符合本技术要求规定及与项目有关的完整的技术方案。</w:t>
            </w:r>
          </w:p>
          <w:p w14:paraId="027238A3">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3.供应商提供的货物必须是全新的、证件齐全的正品货物，提供的服务及货物必须是符合招标文件规定技术要求，并保证使用方在资源使用期间不受第三方提出侵犯其专利权、商标权和设计权等类似的起诉。</w:t>
            </w:r>
          </w:p>
          <w:p w14:paraId="1DAB7F57">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lang w:val="en-US" w:eastAsia="zh-CN"/>
              </w:rPr>
            </w:pPr>
            <w:r>
              <w:rPr>
                <w:rFonts w:hint="eastAsia" w:ascii="仿宋" w:hAnsi="仿宋" w:eastAsia="仿宋" w:cs="仿宋"/>
                <w:b w:val="0"/>
                <w:bCs w:val="0"/>
                <w:color w:val="auto"/>
                <w:kern w:val="2"/>
                <w:sz w:val="24"/>
                <w:szCs w:val="24"/>
                <w:lang w:val="en-US" w:eastAsia="zh-CN" w:bidi="ar-SA"/>
              </w:rPr>
              <w:t>4.供应商必须保证所提供货物、服务等的质量满足国家或行业现行法律法规及相关规章和招标要求，并且承担所有在合同中指定的责任和义务。</w:t>
            </w:r>
          </w:p>
        </w:tc>
      </w:tr>
      <w:tr w14:paraId="04F7E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766EE913">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21.4</w:t>
            </w:r>
          </w:p>
        </w:tc>
        <w:tc>
          <w:tcPr>
            <w:tcW w:w="1907" w:type="dxa"/>
            <w:shd w:val="clear" w:color="auto" w:fill="auto"/>
            <w:vAlign w:val="center"/>
          </w:tcPr>
          <w:p w14:paraId="46EAF70C">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虚假材料</w:t>
            </w:r>
          </w:p>
        </w:tc>
        <w:tc>
          <w:tcPr>
            <w:tcW w:w="5592" w:type="dxa"/>
            <w:shd w:val="clear" w:color="auto" w:fill="auto"/>
            <w:vAlign w:val="center"/>
          </w:tcPr>
          <w:p w14:paraId="5015F519">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在政府采购活动中，《中华人民共和国政府采购法》第七十七条所称"虚假材料"指伪造、篡改或变造、涂改的技术参数检测报告、各种证件、证书，虚假的采购合同、相关业绩，虚假的社保证明、工作证明、财务资信证明、人员简历、劳动关系证明等，还包括与客观事实不相符的委托书、授权书或承诺函等。"虚假材料"中的"虚假"是指材料的真实性而非有效性，虚假材料不能等同于无效材料。</w:t>
            </w:r>
          </w:p>
          <w:p w14:paraId="733EA29D">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2.对政策理解错误或概念不清而导致的错误、笔误、计算错误以及</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提供的已逾期的证书、未年审的证书等不能认定为虚假材料。</w:t>
            </w:r>
          </w:p>
          <w:p w14:paraId="46A476D7">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3.对提供虚假材料谋取中标（成交）的认定，应该同时满足主观和客观两个方面的构成要件，要结合有关的证据材料和供应商篡改、伪造或变造、捏造事实以及该行为的目的性、危害后果等方面由</w:t>
            </w:r>
            <w:r>
              <w:rPr>
                <w:rFonts w:hint="eastAsia" w:ascii="仿宋" w:hAnsi="仿宋" w:eastAsia="仿宋" w:cs="仿宋"/>
                <w:color w:val="auto"/>
                <w:sz w:val="24"/>
                <w:szCs w:val="24"/>
                <w:lang w:val="en-US" w:eastAsia="zh-CN"/>
              </w:rPr>
              <w:t>监管部门</w:t>
            </w:r>
            <w:r>
              <w:rPr>
                <w:rFonts w:hint="eastAsia" w:ascii="仿宋" w:hAnsi="仿宋" w:eastAsia="仿宋" w:cs="仿宋"/>
                <w:color w:val="auto"/>
                <w:sz w:val="24"/>
                <w:szCs w:val="24"/>
                <w:highlight w:val="none"/>
                <w:lang w:val="en-US" w:eastAsia="zh-CN"/>
              </w:rPr>
              <w:t>进行综合考量和判断。</w:t>
            </w:r>
          </w:p>
        </w:tc>
      </w:tr>
      <w:tr w14:paraId="2F1B7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172F4F56">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21.5</w:t>
            </w:r>
          </w:p>
        </w:tc>
        <w:tc>
          <w:tcPr>
            <w:tcW w:w="1907" w:type="dxa"/>
            <w:shd w:val="clear" w:color="auto" w:fill="auto"/>
            <w:vAlign w:val="center"/>
          </w:tcPr>
          <w:p w14:paraId="0CDE24FD">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无效资料</w:t>
            </w:r>
          </w:p>
        </w:tc>
        <w:tc>
          <w:tcPr>
            <w:tcW w:w="5592" w:type="dxa"/>
            <w:shd w:val="clear" w:color="auto" w:fill="auto"/>
            <w:vAlign w:val="center"/>
          </w:tcPr>
          <w:p w14:paraId="598498FB">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真实存在，但不符合招标文件相关要求的文件资料。</w:t>
            </w:r>
          </w:p>
        </w:tc>
      </w:tr>
      <w:tr w14:paraId="77FA7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63099ED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21.6</w:t>
            </w:r>
          </w:p>
        </w:tc>
        <w:tc>
          <w:tcPr>
            <w:tcW w:w="1907" w:type="dxa"/>
            <w:shd w:val="clear" w:color="auto" w:fill="auto"/>
            <w:vAlign w:val="center"/>
          </w:tcPr>
          <w:p w14:paraId="19B3979E">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文件异常一致</w:t>
            </w:r>
          </w:p>
        </w:tc>
        <w:tc>
          <w:tcPr>
            <w:tcW w:w="5592" w:type="dxa"/>
            <w:shd w:val="clear" w:color="auto" w:fill="auto"/>
            <w:vAlign w:val="center"/>
          </w:tcPr>
          <w:p w14:paraId="774970AE">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指极小概率或者完全不可能一致的内容（核心内容、文件结构、格式等）在不同投标文件中同时出现（如</w:t>
            </w:r>
            <w:r>
              <w:rPr>
                <w:rFonts w:hint="eastAsia" w:ascii="仿宋" w:hAnsi="仿宋" w:eastAsia="仿宋" w:cs="仿宋"/>
                <w:strike w:val="0"/>
                <w:dstrike w:val="0"/>
                <w:color w:val="auto"/>
                <w:sz w:val="24"/>
                <w:szCs w:val="24"/>
                <w:highlight w:val="none"/>
                <w:lang w:val="en-US" w:eastAsia="zh-CN"/>
              </w:rPr>
              <w:t>投标</w:t>
            </w:r>
            <w:r>
              <w:rPr>
                <w:rFonts w:hint="eastAsia" w:ascii="仿宋" w:hAnsi="仿宋" w:eastAsia="仿宋" w:cs="仿宋"/>
                <w:color w:val="auto"/>
                <w:sz w:val="24"/>
                <w:szCs w:val="24"/>
                <w:lang w:val="en-US" w:eastAsia="zh-CN"/>
              </w:rPr>
              <w:t>文件错误的内容雷同；由供应商自行编制的格式或自行编写的方案异常一致；属于某一供应商特有的业绩、编号、标识等在其他</w:t>
            </w:r>
            <w:r>
              <w:rPr>
                <w:rFonts w:hint="eastAsia" w:ascii="仿宋" w:hAnsi="仿宋" w:eastAsia="仿宋" w:cs="仿宋"/>
                <w:strike w:val="0"/>
                <w:dstrike w:val="0"/>
                <w:color w:val="auto"/>
                <w:sz w:val="24"/>
                <w:szCs w:val="24"/>
                <w:highlight w:val="none"/>
                <w:lang w:val="en-US" w:eastAsia="zh-CN"/>
              </w:rPr>
              <w:t>投标</w:t>
            </w:r>
            <w:r>
              <w:rPr>
                <w:rFonts w:hint="eastAsia" w:ascii="仿宋" w:hAnsi="仿宋" w:eastAsia="仿宋" w:cs="仿宋"/>
                <w:color w:val="auto"/>
                <w:sz w:val="24"/>
                <w:szCs w:val="24"/>
                <w:lang w:val="en-US" w:eastAsia="zh-CN"/>
              </w:rPr>
              <w:t>文件中同时出现等情形）。</w:t>
            </w:r>
          </w:p>
        </w:tc>
      </w:tr>
      <w:tr w14:paraId="5F745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DA9D1D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21.7</w:t>
            </w:r>
          </w:p>
        </w:tc>
        <w:tc>
          <w:tcPr>
            <w:tcW w:w="1907" w:type="dxa"/>
            <w:shd w:val="clear" w:color="auto" w:fill="auto"/>
            <w:vAlign w:val="center"/>
          </w:tcPr>
          <w:p w14:paraId="6E45B16E">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文件相互混装</w:t>
            </w:r>
          </w:p>
        </w:tc>
        <w:tc>
          <w:tcPr>
            <w:tcW w:w="5592" w:type="dxa"/>
            <w:shd w:val="clear" w:color="auto" w:fill="auto"/>
            <w:vAlign w:val="center"/>
          </w:tcPr>
          <w:p w14:paraId="11EBFD2C">
            <w:pPr>
              <w:keepNext w:val="0"/>
              <w:keepLines w:val="0"/>
              <w:pageBreakBefore w:val="0"/>
              <w:widowControl/>
              <w:kinsoku/>
              <w:wordWrap/>
              <w:overflowPunct/>
              <w:topLinePunct w:val="0"/>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指一家投标文件中装有本项目其他单位（指提交了投标文件的单位）的投标资料即为混装（并非仅指双方互有混装的情形）。</w:t>
            </w:r>
          </w:p>
        </w:tc>
      </w:tr>
      <w:tr w14:paraId="07D81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F2F9EB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21.8</w:t>
            </w:r>
          </w:p>
        </w:tc>
        <w:tc>
          <w:tcPr>
            <w:tcW w:w="1907" w:type="dxa"/>
            <w:shd w:val="clear" w:color="auto" w:fill="auto"/>
            <w:vAlign w:val="center"/>
          </w:tcPr>
          <w:p w14:paraId="1465BEF2">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报价规律性</w:t>
            </w:r>
          </w:p>
        </w:tc>
        <w:tc>
          <w:tcPr>
            <w:tcW w:w="5592" w:type="dxa"/>
            <w:shd w:val="clear" w:color="auto" w:fill="auto"/>
            <w:vAlign w:val="center"/>
          </w:tcPr>
          <w:p w14:paraId="27DA101A">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指投标报价呈现等差或等比数列趋势变化；分项报价完全一致或某些分项价格呈现规律性提高或降低等情形。</w:t>
            </w:r>
          </w:p>
        </w:tc>
      </w:tr>
      <w:tr w14:paraId="7F409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6453381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21.9</w:t>
            </w:r>
          </w:p>
        </w:tc>
        <w:tc>
          <w:tcPr>
            <w:tcW w:w="1907" w:type="dxa"/>
            <w:shd w:val="clear" w:color="auto" w:fill="auto"/>
            <w:vAlign w:val="center"/>
          </w:tcPr>
          <w:p w14:paraId="67222F4A">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印章使用</w:t>
            </w:r>
          </w:p>
        </w:tc>
        <w:tc>
          <w:tcPr>
            <w:tcW w:w="5592" w:type="dxa"/>
            <w:shd w:val="clear" w:color="auto" w:fill="auto"/>
            <w:vAlign w:val="center"/>
          </w:tcPr>
          <w:p w14:paraId="36E5545A">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投标使用的单位印章均指电子签章。</w:t>
            </w:r>
          </w:p>
        </w:tc>
      </w:tr>
      <w:tr w14:paraId="7AB95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0622696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w:t>
            </w:r>
            <w:r>
              <w:rPr>
                <w:rFonts w:hint="eastAsia" w:ascii="仿宋" w:hAnsi="仿宋" w:eastAsia="仿宋" w:cs="仿宋"/>
                <w:color w:val="auto"/>
                <w:kern w:val="2"/>
                <w:sz w:val="24"/>
                <w:szCs w:val="24"/>
                <w:lang w:val="en-US" w:eastAsia="zh-CN" w:bidi="ar-SA"/>
              </w:rPr>
              <w:t>.10</w:t>
            </w:r>
          </w:p>
        </w:tc>
        <w:tc>
          <w:tcPr>
            <w:tcW w:w="1907" w:type="dxa"/>
            <w:shd w:val="clear" w:color="auto" w:fill="auto"/>
            <w:vAlign w:val="center"/>
          </w:tcPr>
          <w:p w14:paraId="025342F4">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投标风险</w:t>
            </w:r>
          </w:p>
        </w:tc>
        <w:tc>
          <w:tcPr>
            <w:tcW w:w="5592" w:type="dxa"/>
            <w:shd w:val="clear" w:color="auto" w:fill="auto"/>
            <w:vAlign w:val="center"/>
          </w:tcPr>
          <w:p w14:paraId="29BC8C22">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ind w:left="0" w:leftChars="0" w:firstLine="0" w:firstLineChars="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无论投标结果如何，供应商应自行承担参与本项目发生的所有费用和应担风险。</w:t>
            </w:r>
          </w:p>
        </w:tc>
      </w:tr>
      <w:tr w14:paraId="2901F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0FA859A8">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w:t>
            </w:r>
            <w:r>
              <w:rPr>
                <w:rFonts w:hint="eastAsia" w:ascii="仿宋" w:hAnsi="仿宋" w:eastAsia="仿宋" w:cs="仿宋"/>
                <w:color w:val="auto"/>
                <w:kern w:val="2"/>
                <w:sz w:val="24"/>
                <w:szCs w:val="24"/>
                <w:lang w:val="en-US" w:eastAsia="zh-CN" w:bidi="ar-SA"/>
              </w:rPr>
              <w:t>.11</w:t>
            </w:r>
          </w:p>
        </w:tc>
        <w:tc>
          <w:tcPr>
            <w:tcW w:w="1907" w:type="dxa"/>
            <w:shd w:val="clear" w:color="auto" w:fill="auto"/>
            <w:vAlign w:val="center"/>
          </w:tcPr>
          <w:p w14:paraId="2955AB08">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正当理由</w:t>
            </w:r>
          </w:p>
        </w:tc>
        <w:tc>
          <w:tcPr>
            <w:tcW w:w="5592" w:type="dxa"/>
            <w:shd w:val="clear" w:color="auto" w:fill="auto"/>
            <w:vAlign w:val="center"/>
          </w:tcPr>
          <w:p w14:paraId="5C8B5AAE">
            <w:pPr>
              <w:keepNext w:val="0"/>
              <w:keepLines w:val="0"/>
              <w:pageBreakBefore w:val="0"/>
              <w:kinsoku/>
              <w:wordWrap/>
              <w:overflowPunct/>
              <w:topLinePunct w:val="0"/>
              <w:autoSpaceDE/>
              <w:autoSpaceDN/>
              <w:bidi w:val="0"/>
              <w:adjustRightInd/>
              <w:spacing w:beforeAutospacing="0" w:afterAutospacing="0" w:line="500" w:lineRule="exact"/>
              <w:jc w:val="both"/>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是指不可抗力</w:t>
            </w:r>
            <w:r>
              <w:rPr>
                <w:rFonts w:hint="eastAsia" w:ascii="仿宋" w:hAnsi="仿宋" w:eastAsia="仿宋" w:cs="仿宋"/>
                <w:color w:val="auto"/>
                <w:sz w:val="24"/>
                <w:szCs w:val="24"/>
                <w:lang w:val="en-US" w:eastAsia="zh-CN"/>
              </w:rPr>
              <w:t>（指不能预见、不能避免、不能克服的客观情况）：</w:t>
            </w:r>
            <w:r>
              <w:rPr>
                <w:rFonts w:hint="eastAsia" w:ascii="仿宋" w:hAnsi="仿宋" w:eastAsia="仿宋" w:cs="仿宋"/>
                <w:color w:val="auto"/>
                <w:sz w:val="24"/>
                <w:szCs w:val="24"/>
                <w:highlight w:val="none"/>
                <w:lang w:val="en-US" w:eastAsia="zh-CN"/>
              </w:rPr>
              <w:t>一是自然灾害，例如地震、台风、洪水等；二是某些政府行为，例如政府颁布新政策、法律和采取行政措施；三是社会异常事件，例如罢工、战争等。</w:t>
            </w:r>
          </w:p>
        </w:tc>
      </w:tr>
      <w:tr w14:paraId="5552F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2BB3D43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21</w:t>
            </w:r>
            <w:r>
              <w:rPr>
                <w:rFonts w:hint="eastAsia" w:ascii="仿宋" w:hAnsi="仿宋" w:eastAsia="仿宋" w:cs="仿宋"/>
                <w:color w:val="auto"/>
                <w:kern w:val="2"/>
                <w:sz w:val="24"/>
                <w:szCs w:val="24"/>
                <w:lang w:val="en-US" w:eastAsia="zh-CN" w:bidi="ar-SA"/>
              </w:rPr>
              <w:t>.12</w:t>
            </w:r>
          </w:p>
        </w:tc>
        <w:tc>
          <w:tcPr>
            <w:tcW w:w="1907" w:type="dxa"/>
            <w:shd w:val="clear" w:color="auto" w:fill="auto"/>
            <w:vAlign w:val="center"/>
          </w:tcPr>
          <w:p w14:paraId="0F5DEF72">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商业秘密</w:t>
            </w:r>
          </w:p>
        </w:tc>
        <w:tc>
          <w:tcPr>
            <w:tcW w:w="5592" w:type="dxa"/>
            <w:shd w:val="clear" w:color="auto" w:fill="auto"/>
            <w:vAlign w:val="center"/>
          </w:tcPr>
          <w:p w14:paraId="4158C169">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是指不为公众所知悉、具有商业价值并经权利人采取相应保密措施的技术信息和经营信息等商业信息。主要指技术秘密、商业情报及经济信息、价格等与技术和经营活动有关的相关信息，如生产工艺、生产原料、客户信息、相关数据、管理、财务、购销渠道以及招投标资料等当事人不愿公开的商业秘密。投标文件是</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根据招标文件的要求编制的，具有独特、个性的特征，并具有实用性，能为</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带来经济利益，因此其属于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的商业秘密，不</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highlight w:val="none"/>
                <w:lang w:val="en-US" w:eastAsia="zh-CN"/>
              </w:rPr>
              <w:t>公开。</w:t>
            </w:r>
          </w:p>
        </w:tc>
      </w:tr>
      <w:tr w14:paraId="73A82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B64CD41">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21.13</w:t>
            </w:r>
          </w:p>
        </w:tc>
        <w:tc>
          <w:tcPr>
            <w:tcW w:w="1907" w:type="dxa"/>
            <w:shd w:val="clear" w:color="auto" w:fill="auto"/>
            <w:vAlign w:val="center"/>
          </w:tcPr>
          <w:p w14:paraId="43F018E0">
            <w:pPr>
              <w:keepNext w:val="0"/>
              <w:keepLines w:val="0"/>
              <w:pageBreakBefore w:val="0"/>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保密</w:t>
            </w:r>
          </w:p>
        </w:tc>
        <w:tc>
          <w:tcPr>
            <w:tcW w:w="5592" w:type="dxa"/>
            <w:shd w:val="clear" w:color="auto" w:fill="auto"/>
            <w:vAlign w:val="center"/>
          </w:tcPr>
          <w:p w14:paraId="18B6FB94">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采购活动的当事各方，不得以任何形式向任何单位和个人提供与本项目有关的</w:t>
            </w:r>
            <w:r>
              <w:rPr>
                <w:rFonts w:hint="eastAsia" w:ascii="仿宋" w:hAnsi="仿宋" w:eastAsia="仿宋" w:cs="仿宋"/>
                <w:strike w:val="0"/>
                <w:dstrike w:val="0"/>
                <w:color w:val="auto"/>
                <w:sz w:val="24"/>
                <w:szCs w:val="24"/>
                <w:highlight w:val="none"/>
                <w:lang w:val="en-US" w:eastAsia="zh-CN"/>
              </w:rPr>
              <w:t>招标</w:t>
            </w:r>
            <w:r>
              <w:rPr>
                <w:rFonts w:hint="eastAsia" w:ascii="仿宋" w:hAnsi="仿宋" w:eastAsia="仿宋" w:cs="仿宋"/>
                <w:color w:val="auto"/>
                <w:sz w:val="24"/>
                <w:szCs w:val="24"/>
                <w:highlight w:val="none"/>
                <w:lang w:val="en-US" w:eastAsia="zh-CN"/>
              </w:rPr>
              <w:t>资料，均应对招投标文件中的商业和技术等内容进行保密，违者承担法律责任。</w:t>
            </w:r>
          </w:p>
        </w:tc>
      </w:tr>
      <w:tr w14:paraId="3C0A8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5404FB1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22</w:t>
            </w:r>
          </w:p>
        </w:tc>
        <w:tc>
          <w:tcPr>
            <w:tcW w:w="1907" w:type="dxa"/>
            <w:vAlign w:val="center"/>
          </w:tcPr>
          <w:p w14:paraId="7C5EFC34">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其他</w:t>
            </w:r>
          </w:p>
        </w:tc>
        <w:tc>
          <w:tcPr>
            <w:tcW w:w="5592" w:type="dxa"/>
            <w:vAlign w:val="center"/>
          </w:tcPr>
          <w:p w14:paraId="22B7950A">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1.本文所称的“以上”、“以下”、“内”、“以内”、“届满”，包括本数；所称的“不足”、“不满”、“超过”、“以外”，不包括本数。</w:t>
            </w:r>
          </w:p>
          <w:p w14:paraId="7CD1B04A">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2.文中“自....之日起”，不包含</w:t>
            </w:r>
            <w:bookmarkStart w:id="0" w:name="_GoBack"/>
            <w:bookmarkEnd w:id="0"/>
            <w:r>
              <w:rPr>
                <w:rFonts w:hint="eastAsia" w:ascii="仿宋" w:hAnsi="仿宋" w:eastAsia="仿宋" w:cs="仿宋"/>
                <w:color w:val="auto"/>
                <w:sz w:val="24"/>
                <w:szCs w:val="24"/>
                <w:lang w:val="en-US" w:eastAsia="zh-CN"/>
              </w:rPr>
              <w:t>当日，以下一日开始计算；“日”等同“日历日”或“天”。</w:t>
            </w:r>
          </w:p>
        </w:tc>
      </w:tr>
    </w:tbl>
    <w:p w14:paraId="3EA49A48">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D73E0"/>
    <w:rsid w:val="158D7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200" w:firstLineChars="200"/>
    </w:pPr>
    <w:rPr>
      <w:szCs w:val="21"/>
    </w:rPr>
  </w:style>
  <w:style w:type="paragraph" w:styleId="3">
    <w:name w:val="Plain Text"/>
    <w:basedOn w:val="1"/>
    <w:next w:val="1"/>
    <w:qFormat/>
    <w:uiPriority w:val="0"/>
    <w:rPr>
      <w:rFonts w:ascii="宋体" w:hAnsi="Courier New" w:cs="Courier New"/>
      <w:sz w:val="21"/>
      <w:szCs w:val="21"/>
    </w:rPr>
  </w:style>
  <w:style w:type="paragraph" w:styleId="4">
    <w:name w:val="toa heading"/>
    <w:basedOn w:val="1"/>
    <w:next w:val="1"/>
    <w:semiHidden/>
    <w:qFormat/>
    <w:uiPriority w:val="99"/>
    <w:pPr>
      <w:spacing w:before="120"/>
    </w:pPr>
    <w:rPr>
      <w:rFonts w:ascii="Cambria" w:hAnsi="Cambria"/>
      <w:sz w:val="24"/>
    </w:rPr>
  </w:style>
  <w:style w:type="paragraph" w:styleId="5">
    <w:name w:val="annotation text"/>
    <w:basedOn w:val="1"/>
    <w:qFormat/>
    <w:uiPriority w:val="0"/>
    <w:pPr>
      <w:jc w:val="left"/>
    </w:pPr>
  </w:style>
  <w:style w:type="paragraph" w:styleId="6">
    <w:name w:val="toc 4"/>
    <w:basedOn w:val="1"/>
    <w:next w:val="1"/>
    <w:qFormat/>
    <w:uiPriority w:val="0"/>
    <w:pPr>
      <w:tabs>
        <w:tab w:val="left" w:pos="1890"/>
        <w:tab w:val="right" w:leader="dot" w:pos="8296"/>
      </w:tabs>
      <w:ind w:left="630" w:leftChars="300"/>
    </w:pPr>
    <w:rPr>
      <w:rFonts w:ascii="Calibri" w:hAnsi="Calibri"/>
      <w:szCs w:val="22"/>
    </w:rPr>
  </w:style>
  <w:style w:type="paragraph" w:customStyle="1" w:styleId="9">
    <w:name w:val="p15"/>
    <w:basedOn w:val="1"/>
    <w:qFormat/>
    <w:uiPriority w:val="99"/>
    <w:pPr>
      <w:widowControl/>
    </w:pPr>
    <w:rPr>
      <w:kern w:val="0"/>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2025-10-09T02:45:00Z</dcterms:created>
  <dc:creator>左左</dc:creator>
  <cp:lastModifiedBy>左左</cp:lastModifiedBy>
  <dcterms:modified xsi:type="dcterms:W3CDTF">2025-10-09T02:47:16Z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E5F8B60BD2F043D89D08D2DEAC03E703_11</vt:lpwstr>
  </property>
  <property fmtid="{D5CDD505-2E9C-101B-9397-08002B2CF9AE}" pid="4" name="KSOTemplateDocerSaveRecord">
    <vt:lpwstr>eyJoZGlkIjoiYjgzZjBlMWFiY2UyYjQ1NWYwYWI5MjNkODI5ZDljOGYiLCJ1c2VySWQiOiI1NzY5ODc4MzkifQ==</vt:lpwstr>
  </property>
</Properties>
</file>