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D1F08">
      <w:pPr>
        <w:widowControl w:val="0"/>
        <w:spacing w:before="156" w:beforeLines="50" w:after="156" w:afterLines="50" w:line="240" w:lineRule="auto"/>
        <w:ind w:firstLine="643"/>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以最终与甲方签订内容为准。</w:t>
      </w:r>
      <w:r>
        <w:rPr>
          <w:rFonts w:hint="eastAsia" w:ascii="宋体" w:hAnsi="宋体" w:eastAsia="宋体" w:cs="宋体"/>
          <w:kern w:val="2"/>
          <w:sz w:val="21"/>
          <w:szCs w:val="21"/>
          <w:lang w:val="en-US" w:eastAsia="zh-CN" w:bidi="ar-SA"/>
        </w:rPr>
        <w:br w:type="textWrapping"/>
      </w:r>
    </w:p>
    <w:p w14:paraId="16DB04C9">
      <w:pPr>
        <w:widowControl w:val="0"/>
        <w:spacing w:before="156" w:beforeLines="50" w:after="156" w:afterLines="50" w:line="240" w:lineRule="auto"/>
        <w:jc w:val="both"/>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甲方：陕西省康复医院</w:t>
      </w:r>
    </w:p>
    <w:p w14:paraId="64F5C4B6">
      <w:pPr>
        <w:widowControl w:val="0"/>
        <w:spacing w:before="156" w:beforeLines="50" w:after="156" w:afterLines="50" w:line="240" w:lineRule="auto"/>
        <w:jc w:val="both"/>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乙方：</w:t>
      </w:r>
    </w:p>
    <w:p w14:paraId="7B4E51BD">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 xml:space="preserve">　　根据《中华人民共和国民法典》和卫生部关于加强医院管理的若干规定，结合陕西省康复医院普通医用材料招标结果，确定乙方为我院医疗耗材供货单位。甲、乙双方本着公平诚信、互惠互利的原则，              </w:t>
      </w:r>
    </w:p>
    <w:p w14:paraId="445EA295">
      <w:pPr>
        <w:widowControl w:val="0"/>
        <w:numPr>
          <w:ilvl w:val="0"/>
          <w:numId w:val="1"/>
        </w:numPr>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供应耗材具体品种如下：</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1301"/>
        <w:gridCol w:w="2134"/>
        <w:gridCol w:w="622"/>
        <w:gridCol w:w="1056"/>
        <w:gridCol w:w="1319"/>
        <w:gridCol w:w="1291"/>
      </w:tblGrid>
      <w:tr w14:paraId="006E3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09" w:type="pct"/>
            <w:noWrap w:val="0"/>
            <w:vAlign w:val="center"/>
          </w:tcPr>
          <w:p w14:paraId="7A30F816">
            <w:pPr>
              <w:widowControl w:val="0"/>
              <w:spacing w:line="24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序号</w:t>
            </w:r>
          </w:p>
        </w:tc>
        <w:tc>
          <w:tcPr>
            <w:tcW w:w="784" w:type="pct"/>
            <w:noWrap w:val="0"/>
            <w:vAlign w:val="center"/>
          </w:tcPr>
          <w:p w14:paraId="5A0E8011">
            <w:pPr>
              <w:widowControl w:val="0"/>
              <w:spacing w:line="24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品名</w:t>
            </w:r>
          </w:p>
        </w:tc>
        <w:tc>
          <w:tcPr>
            <w:tcW w:w="1273" w:type="pct"/>
            <w:noWrap w:val="0"/>
            <w:vAlign w:val="center"/>
          </w:tcPr>
          <w:p w14:paraId="2030A6B3">
            <w:pPr>
              <w:widowControl w:val="0"/>
              <w:spacing w:line="240" w:lineRule="auto"/>
              <w:ind w:firstLine="48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规格型号</w:t>
            </w:r>
          </w:p>
        </w:tc>
        <w:tc>
          <w:tcPr>
            <w:tcW w:w="386" w:type="pct"/>
            <w:noWrap w:val="0"/>
            <w:vAlign w:val="center"/>
          </w:tcPr>
          <w:p w14:paraId="31ABF367">
            <w:pPr>
              <w:widowControl w:val="0"/>
              <w:spacing w:line="24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单位</w:t>
            </w:r>
          </w:p>
        </w:tc>
        <w:tc>
          <w:tcPr>
            <w:tcW w:w="572" w:type="pct"/>
            <w:noWrap w:val="0"/>
            <w:vAlign w:val="center"/>
          </w:tcPr>
          <w:p w14:paraId="2E02CE32">
            <w:pPr>
              <w:widowControl w:val="0"/>
              <w:spacing w:line="24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单价（元）</w:t>
            </w:r>
          </w:p>
        </w:tc>
        <w:tc>
          <w:tcPr>
            <w:tcW w:w="795" w:type="pct"/>
            <w:noWrap w:val="0"/>
            <w:vAlign w:val="center"/>
          </w:tcPr>
          <w:p w14:paraId="31C1F0C6">
            <w:pPr>
              <w:widowControl w:val="0"/>
              <w:spacing w:line="24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生产厂家</w:t>
            </w:r>
          </w:p>
        </w:tc>
        <w:tc>
          <w:tcPr>
            <w:tcW w:w="778" w:type="pct"/>
            <w:noWrap w:val="0"/>
            <w:vAlign w:val="center"/>
          </w:tcPr>
          <w:p w14:paraId="7ABFD021">
            <w:pPr>
              <w:widowControl w:val="0"/>
              <w:spacing w:line="240" w:lineRule="auto"/>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注册证号</w:t>
            </w:r>
          </w:p>
        </w:tc>
      </w:tr>
      <w:tr w14:paraId="454E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409" w:type="pct"/>
            <w:noWrap w:val="0"/>
            <w:vAlign w:val="center"/>
          </w:tcPr>
          <w:p w14:paraId="101DA233">
            <w:pPr>
              <w:widowControl w:val="0"/>
              <w:spacing w:line="240" w:lineRule="auto"/>
              <w:ind w:firstLine="440"/>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w:t>
            </w:r>
          </w:p>
        </w:tc>
        <w:tc>
          <w:tcPr>
            <w:tcW w:w="784" w:type="pct"/>
            <w:noWrap w:val="0"/>
            <w:vAlign w:val="center"/>
          </w:tcPr>
          <w:p w14:paraId="34319609">
            <w:pPr>
              <w:wordWrap/>
              <w:autoSpaceDE/>
              <w:autoSpaceDN/>
              <w:spacing w:line="240" w:lineRule="auto"/>
              <w:jc w:val="center"/>
              <w:rPr>
                <w:rFonts w:hint="eastAsia" w:ascii="仿宋" w:hAnsi="仿宋" w:eastAsia="仿宋" w:cs="仿宋"/>
                <w:color w:val="auto"/>
                <w:sz w:val="28"/>
                <w:szCs w:val="28"/>
                <w:lang w:eastAsia="zh-CN"/>
              </w:rPr>
            </w:pPr>
          </w:p>
        </w:tc>
        <w:tc>
          <w:tcPr>
            <w:tcW w:w="1273" w:type="pct"/>
            <w:noWrap w:val="0"/>
            <w:vAlign w:val="center"/>
          </w:tcPr>
          <w:p w14:paraId="0349DA9F">
            <w:pPr>
              <w:wordWrap/>
              <w:autoSpaceDE/>
              <w:autoSpaceDN/>
              <w:spacing w:line="240" w:lineRule="auto"/>
              <w:jc w:val="center"/>
              <w:rPr>
                <w:rFonts w:hint="eastAsia" w:ascii="仿宋" w:hAnsi="仿宋" w:eastAsia="仿宋" w:cs="仿宋"/>
                <w:color w:val="auto"/>
                <w:sz w:val="28"/>
                <w:szCs w:val="28"/>
                <w:lang w:eastAsia="zh-CN"/>
              </w:rPr>
            </w:pPr>
          </w:p>
        </w:tc>
        <w:tc>
          <w:tcPr>
            <w:tcW w:w="386" w:type="pct"/>
            <w:noWrap w:val="0"/>
            <w:vAlign w:val="center"/>
          </w:tcPr>
          <w:p w14:paraId="1E0AA9E7">
            <w:pPr>
              <w:widowControl w:val="0"/>
              <w:spacing w:line="240" w:lineRule="auto"/>
              <w:ind w:firstLine="480"/>
              <w:jc w:val="center"/>
              <w:rPr>
                <w:rFonts w:hint="eastAsia" w:ascii="仿宋" w:hAnsi="仿宋" w:eastAsia="仿宋" w:cs="仿宋"/>
                <w:color w:val="auto"/>
                <w:kern w:val="2"/>
                <w:sz w:val="28"/>
                <w:szCs w:val="28"/>
                <w:lang w:val="en-US" w:eastAsia="zh-CN" w:bidi="ar-SA"/>
              </w:rPr>
            </w:pPr>
          </w:p>
        </w:tc>
        <w:tc>
          <w:tcPr>
            <w:tcW w:w="572" w:type="pct"/>
            <w:noWrap w:val="0"/>
            <w:vAlign w:val="center"/>
          </w:tcPr>
          <w:p w14:paraId="4D69942B">
            <w:pPr>
              <w:widowControl w:val="0"/>
              <w:spacing w:line="240" w:lineRule="auto"/>
              <w:ind w:firstLine="480"/>
              <w:jc w:val="center"/>
              <w:rPr>
                <w:rFonts w:hint="eastAsia" w:ascii="仿宋" w:hAnsi="仿宋" w:eastAsia="仿宋" w:cs="仿宋"/>
                <w:color w:val="auto"/>
                <w:kern w:val="2"/>
                <w:sz w:val="28"/>
                <w:szCs w:val="28"/>
                <w:lang w:val="en-US" w:eastAsia="zh-CN" w:bidi="ar-SA"/>
              </w:rPr>
            </w:pPr>
          </w:p>
        </w:tc>
        <w:tc>
          <w:tcPr>
            <w:tcW w:w="795" w:type="pct"/>
            <w:noWrap w:val="0"/>
            <w:vAlign w:val="center"/>
          </w:tcPr>
          <w:p w14:paraId="79A40D66">
            <w:pPr>
              <w:widowControl w:val="0"/>
              <w:spacing w:line="240" w:lineRule="auto"/>
              <w:ind w:firstLine="480"/>
              <w:jc w:val="both"/>
              <w:rPr>
                <w:rFonts w:hint="eastAsia" w:ascii="仿宋" w:hAnsi="仿宋" w:eastAsia="仿宋" w:cs="仿宋"/>
                <w:color w:val="auto"/>
                <w:kern w:val="2"/>
                <w:sz w:val="28"/>
                <w:szCs w:val="28"/>
                <w:lang w:val="en-US" w:eastAsia="zh-CN" w:bidi="ar-SA"/>
              </w:rPr>
            </w:pPr>
          </w:p>
        </w:tc>
        <w:tc>
          <w:tcPr>
            <w:tcW w:w="778" w:type="pct"/>
            <w:noWrap w:val="0"/>
            <w:vAlign w:val="center"/>
          </w:tcPr>
          <w:p w14:paraId="283B5C91">
            <w:pPr>
              <w:widowControl w:val="0"/>
              <w:spacing w:line="240" w:lineRule="auto"/>
              <w:ind w:firstLine="480"/>
              <w:jc w:val="center"/>
              <w:rPr>
                <w:rFonts w:hint="eastAsia" w:ascii="仿宋" w:hAnsi="仿宋" w:eastAsia="仿宋" w:cs="仿宋"/>
                <w:color w:val="auto"/>
                <w:kern w:val="2"/>
                <w:sz w:val="28"/>
                <w:szCs w:val="28"/>
                <w:lang w:val="en-US" w:eastAsia="zh-CN" w:bidi="ar-SA"/>
              </w:rPr>
            </w:pPr>
          </w:p>
        </w:tc>
      </w:tr>
    </w:tbl>
    <w:p w14:paraId="38EF409C">
      <w:pPr>
        <w:widowControl w:val="0"/>
        <w:spacing w:line="240" w:lineRule="auto"/>
        <w:ind w:firstLine="64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产品应当符合国家或行业规范规定的标准及乙方提供产品文件所述和宣传的标准。</w:t>
      </w:r>
    </w:p>
    <w:p w14:paraId="7E7C380F">
      <w:pPr>
        <w:widowControl w:val="0"/>
        <w:spacing w:line="240" w:lineRule="auto"/>
        <w:ind w:firstLine="640"/>
        <w:jc w:val="both"/>
        <w:rPr>
          <w:rFonts w:hint="default" w:ascii="仿宋" w:hAnsi="仿宋" w:eastAsia="仿宋" w:cs="仿宋"/>
          <w:kern w:val="2"/>
          <w:sz w:val="28"/>
          <w:szCs w:val="28"/>
          <w:u w:val="none"/>
          <w:lang w:val="en-US" w:eastAsia="zh-CN" w:bidi="ar-SA"/>
        </w:rPr>
      </w:pPr>
      <w:r>
        <w:rPr>
          <w:rFonts w:hint="eastAsia" w:ascii="仿宋" w:hAnsi="仿宋" w:eastAsia="仿宋" w:cs="仿宋"/>
          <w:kern w:val="2"/>
          <w:sz w:val="28"/>
          <w:szCs w:val="28"/>
          <w:lang w:val="en-US" w:eastAsia="zh-CN" w:bidi="ar-SA"/>
        </w:rPr>
        <w:t>二、成交折扣：</w:t>
      </w:r>
      <w:r>
        <w:rPr>
          <w:rFonts w:hint="eastAsia" w:ascii="仿宋" w:hAnsi="仿宋" w:eastAsia="仿宋" w:cs="仿宋"/>
          <w:kern w:val="2"/>
          <w:sz w:val="28"/>
          <w:szCs w:val="28"/>
          <w:u w:val="single"/>
          <w:lang w:val="en-US" w:eastAsia="zh-CN" w:bidi="ar-SA"/>
        </w:rPr>
        <w:t xml:space="preserve">         </w:t>
      </w:r>
      <w:r>
        <w:rPr>
          <w:rFonts w:hint="eastAsia" w:ascii="仿宋" w:hAnsi="仿宋" w:eastAsia="仿宋" w:cs="仿宋"/>
          <w:kern w:val="2"/>
          <w:sz w:val="28"/>
          <w:szCs w:val="28"/>
          <w:u w:val="none"/>
          <w:lang w:val="en-US" w:eastAsia="zh-CN" w:bidi="ar-SA"/>
        </w:rPr>
        <w:t>。</w:t>
      </w:r>
    </w:p>
    <w:p w14:paraId="32EC4D42">
      <w:pPr>
        <w:widowControl w:val="0"/>
        <w:spacing w:line="240" w:lineRule="auto"/>
        <w:ind w:firstLine="64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三、采购联系人：</w:t>
      </w:r>
    </w:p>
    <w:p w14:paraId="45890CEA">
      <w:pPr>
        <w:widowControl w:val="0"/>
        <w:spacing w:line="240" w:lineRule="auto"/>
        <w:ind w:firstLine="64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乙方联系人为：</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8"/>
          <w:lang w:val="en-US" w:eastAsia="zh-CN" w:bidi="ar-SA"/>
        </w:rPr>
        <w:t>，联系电话</w:t>
      </w:r>
      <w:r>
        <w:rPr>
          <w:rFonts w:hint="eastAsia" w:ascii="仿宋" w:hAnsi="仿宋" w:eastAsia="仿宋" w:cs="仿宋"/>
          <w:color w:val="auto"/>
          <w:kern w:val="2"/>
          <w:sz w:val="28"/>
          <w:szCs w:val="28"/>
          <w:u w:val="single"/>
          <w:lang w:val="en-US" w:eastAsia="zh-CN" w:bidi="ar-SA"/>
        </w:rPr>
        <w:t xml:space="preserve">            </w:t>
      </w:r>
      <w:r>
        <w:rPr>
          <w:rFonts w:hint="eastAsia" w:ascii="仿宋" w:hAnsi="仿宋" w:eastAsia="仿宋" w:cs="仿宋"/>
          <w:color w:val="auto"/>
          <w:kern w:val="2"/>
          <w:sz w:val="28"/>
          <w:szCs w:val="28"/>
          <w:lang w:val="en-US" w:eastAsia="zh-CN" w:bidi="ar-SA"/>
        </w:rPr>
        <w:t>。</w:t>
      </w:r>
    </w:p>
    <w:p w14:paraId="249679D2">
      <w:pPr>
        <w:widowControl w:val="0"/>
        <w:spacing w:line="240" w:lineRule="auto"/>
        <w:ind w:firstLine="64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上述联系人若有更换须经甲方同意，否则认为该联系人作出的决策为乙方决策。</w:t>
      </w:r>
    </w:p>
    <w:p w14:paraId="15661016">
      <w:pPr>
        <w:widowControl w:val="0"/>
        <w:spacing w:line="240" w:lineRule="auto"/>
        <w:ind w:firstLine="64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根据使用需要，甲方如需提前或推迟收货，甲方按照本合同约定的方式通知乙方，乙方应无条件配合，不得收取仓储费等任何费用。</w:t>
      </w:r>
    </w:p>
    <w:p w14:paraId="58CA8847">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四、包装</w:t>
      </w:r>
    </w:p>
    <w:p w14:paraId="63C30402">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乙方使用的包装箱为原厂包装，保证产品到达之后外观及各项功能完好，包装材料必须符合国家相关规定。否则，甲方有权拒绝接收并要求乙方调换，且调换造成的逾期责任由乙方自行承担。</w:t>
      </w:r>
    </w:p>
    <w:p w14:paraId="7FDC553D">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五、运输及风险</w:t>
      </w:r>
    </w:p>
    <w:p w14:paraId="2E28512D">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1.乙方应选择运输风险小、运费低、距离短的运输路线。</w:t>
      </w:r>
    </w:p>
    <w:p w14:paraId="2E97326E">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2.乙方自行选择运送方式并负责将产品运输到指定交货地点，并承担合同中约定的全部费用。</w:t>
      </w:r>
    </w:p>
    <w:p w14:paraId="58C18987">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3.运杂费包含在合同总金额内，包括乙方发货地至交货地之间所需的运输费、仓储费、装卸费、保险费、二次倒运费、现场保管费用等。</w:t>
      </w:r>
    </w:p>
    <w:p w14:paraId="39735E8A">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4.货物在交付甲方前，毁损、灭失的风险均由乙方全部承担。</w:t>
      </w:r>
    </w:p>
    <w:p w14:paraId="326370B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六、乙方的责任</w:t>
      </w:r>
    </w:p>
    <w:p w14:paraId="779A8335">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1.乙方作为甲方医用耗材供货单位，应按照甲方计划供货并免费提供货物配送及后续相关服务。</w:t>
      </w:r>
    </w:p>
    <w:p w14:paraId="1961B97D">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 乙方须向甲方提供本公司的合法有效证件（包括：营业执照、税务登记证、医疗器械经营许可证、法人授权委托书等有效证件），对所供应的医疗用品及耗材应提供生产企业营业执照、生产企业许可证、税务登记证、医疗器械注册证、正规进货渠道证明等相关资质材料。</w:t>
      </w:r>
    </w:p>
    <w:p w14:paraId="7B67653D">
      <w:pPr>
        <w:widowControl w:val="0"/>
        <w:spacing w:line="240" w:lineRule="auto"/>
        <w:ind w:firstLine="560" w:firstLineChars="200"/>
        <w:jc w:val="both"/>
        <w:rPr>
          <w:rFonts w:hint="eastAsia" w:ascii="仿宋" w:hAnsi="仿宋" w:eastAsia="仿宋" w:cs="仿宋"/>
          <w:b/>
          <w:bCs/>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3.乙方的产品质量应当符合国家或行业规定的标准，并无任何瑕疵；乙方应按配置清单要求提供原装全新产品，对该产品按照生产厂家规定实行三包（即包修、包退、包换）。</w:t>
      </w:r>
    </w:p>
    <w:p w14:paraId="32FB1DA0">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4.乙方必须保证其所供应产品的质量。在接到甲方相关工作人员的电话后积极组织货源，48小时以内送到（特殊情况按约定时间配送），要求货票同行，否则不予办理入库手续。</w:t>
      </w:r>
    </w:p>
    <w:p w14:paraId="2A0BD061">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5.乙方应满足甲方合理的调换货要求，退换近效期产品，如交付品种、型号、规格、包装等不符合同约定的，由乙方负责无偿退换，由此产生的一切费用及给甲方造成的相关损失由乙方全部承担并赔偿相应损失。</w:t>
      </w:r>
    </w:p>
    <w:p w14:paraId="71750878">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6.如不能调换的，按不能交货处理，因此给甲方造成的所有经济损失乙方应予全额赔偿。</w:t>
      </w:r>
    </w:p>
    <w:p w14:paraId="7B6C43E4">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7.如因该产品本身的质量原因而在使用过程中造成的任何医疗事故纠纷，由乙方承担全部责任。</w:t>
      </w:r>
    </w:p>
    <w:p w14:paraId="4797160A">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8.根据甲方要求，高值耗材需要提供跟台服务（免费提供专用工具）及联络专家提供技术服务。</w:t>
      </w:r>
    </w:p>
    <w:p w14:paraId="68E2CA47">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9.乙方保证提供的耗材为原厂原装全新产品，符合原厂提供的产品说明书和技术标准。</w:t>
      </w:r>
    </w:p>
    <w:p w14:paraId="6F97C17A">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10.知识产权归属和处理方式：（1）乙方应保证在本项目中使用的任何技术、产品和服务（包括部分使用），不会产生因第三方提出侵犯其专利权、商标权或其它知识产权而引起的法律和经济纠纷，如因专利权、商标权或其它知识产权而引起法律和经济纠纷，由乙方承担所有相关责任。甲方享有本项目实施过程中产生的知识成果及知识产权。</w:t>
      </w:r>
    </w:p>
    <w:p w14:paraId="3398B0E3">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乙方将在采购项目实施过程中采用自有或者第三方知识成果的，使用该知识成果后，乙方需提供开发接口和开发手册等技术资料，并承诺提供无限期支持，甲方享有使用权（含甲方委托第三方在该项目后续开发的使用权）。</w:t>
      </w:r>
    </w:p>
    <w:p w14:paraId="46267A64">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（3）如采用乙方所不拥有的知识产权，则在投标报价中必须包括合法使用该知识产权的相关费用。</w:t>
      </w:r>
    </w:p>
    <w:p w14:paraId="1427081C">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七、甲方的责任</w:t>
      </w:r>
    </w:p>
    <w:p w14:paraId="089B77E2">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1.乙方所提供的产品为一次性使用产品，甲方不得重复使用。</w:t>
      </w:r>
    </w:p>
    <w:p w14:paraId="294DDE22">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2.在合同履行期间，甲方按照“六个月循环</w:t>
      </w:r>
      <w:bookmarkStart w:id="0" w:name="_GoBack"/>
      <w:bookmarkEnd w:id="0"/>
      <w:r>
        <w:rPr>
          <w:rFonts w:hint="eastAsia" w:ascii="仿宋" w:hAnsi="仿宋" w:eastAsia="仿宋" w:cs="仿宋"/>
          <w:color w:val="auto"/>
          <w:kern w:val="2"/>
          <w:sz w:val="28"/>
          <w:szCs w:val="28"/>
          <w:lang w:val="en-US" w:eastAsia="zh-CN" w:bidi="ar-SA"/>
        </w:rPr>
        <w:t>账期”进行付款，即乙方每个月按实际验收入库的医用耗材数量，开具增值税普通发票给甲方，甲方第七个月支付第一个月结算的货</w:t>
      </w:r>
      <w:r>
        <w:rPr>
          <w:rFonts w:hint="eastAsia" w:ascii="仿宋" w:hAnsi="仿宋" w:eastAsia="仿宋" w:cs="仿宋"/>
          <w:color w:val="auto"/>
          <w:kern w:val="2"/>
          <w:sz w:val="28"/>
          <w:szCs w:val="28"/>
          <w:highlight w:val="none"/>
          <w:lang w:val="en-US" w:eastAsia="zh-CN" w:bidi="ar-SA"/>
        </w:rPr>
        <w:t>款，以此类推。</w:t>
      </w:r>
    </w:p>
    <w:p w14:paraId="25768BB7">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3.双方开票信息：</w:t>
      </w:r>
    </w:p>
    <w:p w14:paraId="2840C67A">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 xml:space="preserve">3.1乙方： </w:t>
      </w:r>
    </w:p>
    <w:p w14:paraId="3340068A">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帐户名：</w:t>
      </w:r>
    </w:p>
    <w:p w14:paraId="7B46D1D8">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账号：</w:t>
      </w:r>
    </w:p>
    <w:p w14:paraId="64A76109">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开户银行：</w:t>
      </w:r>
    </w:p>
    <w:p w14:paraId="01A5BA2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1B8F310E">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3.2甲方:</w:t>
      </w:r>
    </w:p>
    <w:p w14:paraId="54F94409">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账户名:陕西省康复医院（陕西省残疾人康复中心）</w:t>
      </w:r>
    </w:p>
    <w:p w14:paraId="400601A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纳税人识别号：126100004352035792</w:t>
      </w:r>
    </w:p>
    <w:p w14:paraId="52C42DA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开户行：中国银行西安紫薇支行</w:t>
      </w:r>
    </w:p>
    <w:p w14:paraId="33D5B163">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账号:102401765337</w:t>
      </w:r>
    </w:p>
    <w:p w14:paraId="3C61CEB5">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乙方要如实开具发票，不得变更开票内容，乙方开具发票出现税务争议时，乙方需承担税款、滞纳金、罚款等赔偿责任以及其他相关责任。乙方迟延开具发票、无法开具发票或开具的发票金额低于约定金额的，甲方有权相应地迟延付款、暂不付款或按低于约定金额的发票金额来付款，并对此不承担任何责任。</w:t>
      </w:r>
    </w:p>
    <w:p w14:paraId="35C87080">
      <w:pPr>
        <w:widowControl w:val="0"/>
        <w:spacing w:line="240" w:lineRule="auto"/>
        <w:ind w:firstLine="548" w:firstLineChars="196"/>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八、违约责任</w:t>
      </w:r>
    </w:p>
    <w:p w14:paraId="74EB9CED">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1.乙方供应的医疗用品及耗材因质量问题引起的纠纷，乙方必须承担全部责任并为甲方挽回不良影响；引发甲方经济损失的由乙方负责赔偿; 引发医疗事故的按有关法律规定，乙方承担相应的法律责任。对于非产品质量问题引发的医疗纠纷，乙方应积极协助甲方妥善处理。</w:t>
      </w:r>
    </w:p>
    <w:p w14:paraId="7A81D115">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2.任一方不履行本协议项下约定义务或者履行义务不符合约定的，守约方有权选择解除本协议或者违约方应当承担继续履行、采取补救措施或者赔偿损失等违约责任。</w:t>
      </w:r>
    </w:p>
    <w:p w14:paraId="724710C8">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如一方违反本协议约定，应赔偿对方因此而产生的损失，包括但不限于直接损失、间接损失、预期利益，以及为维权支出的调查费、律师费、诉讼费、仲裁费、公证费、保全费、保全保险费、鉴定费、执行费、住宿差旅费等诉讼成本。</w:t>
      </w:r>
    </w:p>
    <w:p w14:paraId="0CFDB97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九、特别约定</w:t>
      </w:r>
    </w:p>
    <w:p w14:paraId="2BA70F7F">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1.新供医疗用品及耗材试用期限为3个月，如临床科室普遍反映所供材料存在质量问题或因供货不及时等原因影响甲方临床正常使用的，则终止该品种供应，带来的损失乙方应承担相应责任。</w:t>
      </w:r>
    </w:p>
    <w:p w14:paraId="30AF1000">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2.如遇国家政策调整或合同与政策相悖，本合同则做相应调整或自动终止。</w:t>
      </w:r>
    </w:p>
    <w:p w14:paraId="6F3CF747">
      <w:pPr>
        <w:widowControl w:val="0"/>
        <w:spacing w:line="240" w:lineRule="auto"/>
        <w:ind w:firstLine="560" w:firstLineChars="200"/>
        <w:jc w:val="both"/>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lang w:val="en-US" w:eastAsia="zh-CN" w:bidi="ar-SA"/>
        </w:rPr>
        <w:t>3.</w:t>
      </w:r>
      <w:r>
        <w:rPr>
          <w:rFonts w:hint="eastAsia" w:ascii="仿宋" w:hAnsi="仿宋" w:eastAsia="仿宋" w:cs="仿宋"/>
          <w:color w:val="000000"/>
          <w:kern w:val="2"/>
          <w:sz w:val="28"/>
          <w:szCs w:val="28"/>
          <w:lang w:val="en-US" w:eastAsia="zh-CN" w:bidi="ar-SA"/>
        </w:rPr>
        <w:t>本合同为固定单价合同，如政府</w:t>
      </w:r>
      <w:r>
        <w:rPr>
          <w:rFonts w:hint="eastAsia" w:ascii="仿宋" w:hAnsi="仿宋" w:eastAsia="仿宋" w:cs="仿宋"/>
          <w:color w:val="000000"/>
          <w:kern w:val="2"/>
          <w:sz w:val="28"/>
          <w:szCs w:val="28"/>
          <w:highlight w:val="none"/>
          <w:lang w:val="en-US" w:eastAsia="zh-CN" w:bidi="ar-SA"/>
        </w:rPr>
        <w:t>统一采购招标，则价格无条件在政府指导价限定范围内，按市场规律调整；若调整后价格高于中标价，按中标金额执行</w:t>
      </w:r>
      <w:r>
        <w:rPr>
          <w:rFonts w:hint="eastAsia" w:ascii="仿宋" w:hAnsi="仿宋" w:eastAsia="仿宋" w:cs="仿宋"/>
          <w:color w:val="auto"/>
          <w:kern w:val="2"/>
          <w:sz w:val="28"/>
          <w:szCs w:val="28"/>
          <w:highlight w:val="none"/>
          <w:lang w:val="en-US" w:eastAsia="zh-CN" w:bidi="ar-SA"/>
        </w:rPr>
        <w:t>。</w:t>
      </w:r>
    </w:p>
    <w:p w14:paraId="09480D75">
      <w:pPr>
        <w:widowControl w:val="0"/>
        <w:spacing w:line="240" w:lineRule="auto"/>
        <w:ind w:firstLine="560" w:firstLineChars="200"/>
        <w:jc w:val="both"/>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4.交货地点：陕西省康复医院指定地点。</w:t>
      </w:r>
    </w:p>
    <w:p w14:paraId="65571B09">
      <w:pPr>
        <w:wordWrap/>
        <w:autoSpaceDE/>
        <w:autoSpaceDN/>
        <w:spacing w:line="240" w:lineRule="auto"/>
        <w:ind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5.合同履行期限：自合同签订之日起，一年。</w:t>
      </w:r>
    </w:p>
    <w:p w14:paraId="1C80E5B2">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十、不可抗力</w:t>
      </w:r>
    </w:p>
    <w:p w14:paraId="591F0478">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若一方违约在先，不得以此后发生的不可抗力为由免除其责任。</w:t>
      </w:r>
    </w:p>
    <w:p w14:paraId="6317E877">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十一、通知</w:t>
      </w:r>
    </w:p>
    <w:p w14:paraId="0345D76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一方发给另一方的通知、信件或其他文件应为书面形式，按本合同所示地址投送。上述文件应由专人传递或通过传真传送或电子邮箱送达，如由专人传送，则于送达至指定专人接收之日视为正式送交；如以传真发送，则以传真接收人收到该通知之日为准；如由电子邮箱送达，则以发出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5284BB1A">
      <w:pPr>
        <w:widowControl w:val="0"/>
        <w:spacing w:line="240" w:lineRule="auto"/>
        <w:ind w:left="5760" w:hanging="5040" w:hangingChars="18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甲方：陕西省康复医院          乙方：</w:t>
      </w:r>
    </w:p>
    <w:p w14:paraId="7352B987">
      <w:pPr>
        <w:widowControl w:val="0"/>
        <w:spacing w:line="240" w:lineRule="auto"/>
        <w:ind w:left="5760" w:hanging="5040" w:hangingChars="1800"/>
        <w:jc w:val="left"/>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地址：西安市电子二路52号     地址：</w:t>
      </w:r>
    </w:p>
    <w:p w14:paraId="57B2E235">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电子邮箱：1909560684@qq.com   电子邮箱</w:t>
      </w:r>
    </w:p>
    <w:p w14:paraId="05FDCC72">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收件人：采购办                收件人：</w:t>
      </w:r>
    </w:p>
    <w:p w14:paraId="2FC28D7F">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联系方式：029-89288722        联系方式：</w:t>
      </w:r>
    </w:p>
    <w:p w14:paraId="3BAE669D">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十二、争议解决</w:t>
      </w:r>
    </w:p>
    <w:p w14:paraId="6E6B6607">
      <w:pPr>
        <w:widowControl w:val="0"/>
        <w:spacing w:line="240" w:lineRule="auto"/>
        <w:ind w:firstLine="560" w:firstLineChars="200"/>
        <w:jc w:val="both"/>
        <w:rPr>
          <w:rFonts w:hint="eastAsia" w:ascii="仿宋" w:hAnsi="仿宋" w:eastAsia="仿宋" w:cs="仿宋"/>
          <w:color w:val="auto"/>
          <w:kern w:val="2"/>
          <w:sz w:val="28"/>
          <w:szCs w:val="28"/>
          <w:u w:val="single"/>
          <w:lang w:val="en-US" w:eastAsia="zh-CN" w:bidi="ar-SA"/>
        </w:rPr>
      </w:pPr>
      <w:r>
        <w:rPr>
          <w:rFonts w:hint="eastAsia" w:ascii="仿宋" w:hAnsi="仿宋" w:eastAsia="仿宋" w:cs="仿宋"/>
          <w:color w:val="auto"/>
          <w:kern w:val="2"/>
          <w:sz w:val="28"/>
          <w:szCs w:val="28"/>
          <w:lang w:val="en-US" w:eastAsia="zh-CN" w:bidi="ar-SA"/>
        </w:rPr>
        <w:t>本合同在履行过程中发生的与本合同有关的任何争议，由甲、乙双方先行友好协商解决，协商不成的，选择：</w:t>
      </w:r>
      <w:r>
        <w:rPr>
          <w:rFonts w:hint="eastAsia" w:ascii="仿宋" w:hAnsi="仿宋" w:eastAsia="仿宋" w:cs="仿宋"/>
          <w:color w:val="auto"/>
          <w:kern w:val="2"/>
          <w:sz w:val="28"/>
          <w:szCs w:val="28"/>
          <w:u w:val="single"/>
          <w:lang w:val="en-US" w:eastAsia="zh-CN" w:bidi="ar-SA"/>
        </w:rPr>
        <w:t xml:space="preserve"> 1 </w:t>
      </w:r>
    </w:p>
    <w:p w14:paraId="577F4D9E">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1.向甲方所在地人民法院提起诉讼。</w:t>
      </w:r>
    </w:p>
    <w:p w14:paraId="48387DA7">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2.向西安仲裁委员会申请仲裁。</w:t>
      </w:r>
    </w:p>
    <w:p w14:paraId="3CECD9F0">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十三、其他约定</w:t>
      </w:r>
    </w:p>
    <w:p w14:paraId="62095549">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1.以下资料为本合同不可分割部分，与本合同具有同等法律效力：</w:t>
      </w:r>
    </w:p>
    <w:p w14:paraId="1C2C2E03">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1.1本合同所涉产品的国家标准及乙方宣传标准。</w:t>
      </w:r>
    </w:p>
    <w:p w14:paraId="38E7A10E">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1.2本产品的详细资料。</w:t>
      </w:r>
    </w:p>
    <w:p w14:paraId="2D66376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2.本合同未尽事宜，由甲、乙双方另行签订补充协议，补充协议作为合同附件与本合同具有同等法律效力。</w:t>
      </w:r>
    </w:p>
    <w:p w14:paraId="225C5566">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3.本合同自甲、乙双方签字并加盖公章之日起生效。</w:t>
      </w:r>
    </w:p>
    <w:p w14:paraId="3A464D22">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十四、本合同一式肆份，甲方执叁份、乙方执壹份，具有同等法律效力。</w:t>
      </w:r>
    </w:p>
    <w:p w14:paraId="04B9CE3D">
      <w:pPr>
        <w:widowControl w:val="0"/>
        <w:spacing w:line="240" w:lineRule="auto"/>
        <w:ind w:firstLine="560" w:firstLineChars="200"/>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（以下无正文）</w:t>
      </w:r>
    </w:p>
    <w:p w14:paraId="25B3AC34">
      <w:pPr>
        <w:widowControl w:val="0"/>
        <w:spacing w:line="240" w:lineRule="auto"/>
        <w:ind w:left="6080" w:hanging="5320" w:hangingChars="1900"/>
        <w:jc w:val="both"/>
        <w:rPr>
          <w:rFonts w:hint="eastAsia" w:ascii="仿宋" w:hAnsi="仿宋" w:eastAsia="仿宋" w:cs="仿宋"/>
          <w:color w:val="auto"/>
          <w:kern w:val="2"/>
          <w:sz w:val="28"/>
          <w:szCs w:val="28"/>
          <w:lang w:val="en-US" w:eastAsia="zh-CN" w:bidi="ar-SA"/>
        </w:rPr>
      </w:pPr>
    </w:p>
    <w:p w14:paraId="77F9E133">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甲方：陕西省康复医院            乙方：</w:t>
      </w:r>
    </w:p>
    <w:p w14:paraId="13CC351F">
      <w:pPr>
        <w:widowControl w:val="0"/>
        <w:spacing w:line="240" w:lineRule="auto"/>
        <w:jc w:val="left"/>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地址：西安雁塔区电子二路52号   地址:</w:t>
      </w:r>
    </w:p>
    <w:p w14:paraId="1AFF0525">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电话：029-89288722              电话：</w:t>
      </w:r>
    </w:p>
    <w:p w14:paraId="2D5A7D91">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法定代表人：                    法定代表人：</w:t>
      </w:r>
    </w:p>
    <w:p w14:paraId="73BBAA00">
      <w:pPr>
        <w:widowControl w:val="0"/>
        <w:spacing w:line="240" w:lineRule="auto"/>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或委托人签字：                  或委托人签字：</w:t>
      </w:r>
    </w:p>
    <w:p w14:paraId="655AACE5">
      <w:pPr>
        <w:rPr>
          <w:rFonts w:hint="eastAsia" w:ascii="宋体" w:hAnsi="宋体" w:eastAsia="宋体" w:cs="宋体"/>
          <w:lang w:val="en-US" w:eastAsia="zh-Hans"/>
        </w:rPr>
      </w:pPr>
      <w:r>
        <w:rPr>
          <w:rFonts w:hint="eastAsia" w:ascii="仿宋" w:hAnsi="仿宋" w:eastAsia="仿宋" w:cs="仿宋"/>
          <w:color w:val="auto"/>
          <w:sz w:val="28"/>
          <w:szCs w:val="28"/>
          <w:lang w:val="en-US" w:eastAsia="zh-Hans"/>
        </w:rPr>
        <w:t xml:space="preserve">年   月  日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val="en-US" w:eastAsia="zh-Hans"/>
        </w:rPr>
        <w:t xml:space="preserve">   年  月  日</w:t>
      </w:r>
    </w:p>
    <w:p w14:paraId="4B09795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81FD9"/>
    <w:multiLevelType w:val="singleLevel"/>
    <w:tmpl w:val="9E481FD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8BC239B"/>
    <w:rsid w:val="62CB3117"/>
    <w:rsid w:val="63210AF6"/>
    <w:rsid w:val="64DF3A6C"/>
    <w:rsid w:val="7BF70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 w:type="paragraph" w:customStyle="1" w:styleId="1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3306</Words>
  <Characters>3415</Characters>
  <Lines>0</Lines>
  <Paragraphs>0</Paragraphs>
  <TotalTime>1</TotalTime>
  <ScaleCrop>false</ScaleCrop>
  <LinksUpToDate>false</LinksUpToDate>
  <CharactersWithSpaces>3603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H</cp:lastModifiedBy>
  <dcterms:modified xsi:type="dcterms:W3CDTF">2025-09-29T12:44:06Z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1C5C188EE19943F0A7F30E53E3656961_12</vt:lpwstr>
  </property>
  <property fmtid="{D5CDD505-2E9C-101B-9397-08002B2CF9AE}" pid="4" name="KSOTemplateDocerSaveRecord">
    <vt:lpwstr>eyJoZGlkIjoiNWVlZWQ2MGQxNmE1ODQyMmRiYjA3Yzk4MTMyMWVjOGQiLCJ1c2VySWQiOiI1MjUwOTc0MjQifQ==</vt:lpwstr>
  </property>
</Properties>
</file>