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35FDC">
      <w:pPr>
        <w:widowControl w:val="0"/>
        <w:spacing w:line="336" w:lineRule="auto"/>
        <w:jc w:val="center"/>
        <w:rPr>
          <w:rFonts w:ascii="仿宋" w:hAnsi="仿宋" w:eastAsia="仿宋" w:cs="MingLiU_HKSCS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实质性商务部分偏离表</w:t>
      </w:r>
    </w:p>
    <w:p w14:paraId="2A3D0782">
      <w:pPr>
        <w:widowControl w:val="0"/>
        <w:spacing w:line="336" w:lineRule="auto"/>
        <w:ind w:firstLine="280" w:firstLineChars="100"/>
        <w:jc w:val="left"/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项目名称：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ab/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ab/>
      </w:r>
    </w:p>
    <w:p w14:paraId="69584700">
      <w:pPr>
        <w:widowControl w:val="0"/>
        <w:spacing w:line="336" w:lineRule="auto"/>
        <w:ind w:firstLine="280" w:firstLineChars="100"/>
        <w:jc w:val="left"/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 xml:space="preserve">项目编号： 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 xml:space="preserve">                              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包号：</w:t>
      </w:r>
    </w:p>
    <w:tbl>
      <w:tblPr>
        <w:tblStyle w:val="6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2635"/>
        <w:gridCol w:w="2790"/>
        <w:gridCol w:w="1135"/>
        <w:gridCol w:w="979"/>
      </w:tblGrid>
      <w:tr w14:paraId="2CB58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3" w:type="pct"/>
            <w:noWrap w:val="0"/>
            <w:vAlign w:val="center"/>
          </w:tcPr>
          <w:p w14:paraId="7CC35941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547" w:type="pct"/>
            <w:noWrap w:val="0"/>
            <w:vAlign w:val="center"/>
          </w:tcPr>
          <w:p w14:paraId="309A824A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招标文件的</w:t>
            </w:r>
          </w:p>
          <w:p w14:paraId="3D17D196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商务部分</w:t>
            </w:r>
          </w:p>
        </w:tc>
        <w:tc>
          <w:tcPr>
            <w:tcW w:w="1638" w:type="pct"/>
            <w:noWrap w:val="0"/>
            <w:vAlign w:val="center"/>
          </w:tcPr>
          <w:p w14:paraId="0B74743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投标文件的</w:t>
            </w:r>
          </w:p>
          <w:p w14:paraId="7217B0AA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商务部分</w:t>
            </w:r>
          </w:p>
        </w:tc>
        <w:tc>
          <w:tcPr>
            <w:tcW w:w="666" w:type="pct"/>
            <w:noWrap w:val="0"/>
            <w:vAlign w:val="center"/>
          </w:tcPr>
          <w:p w14:paraId="4D1F9369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偏离</w:t>
            </w:r>
          </w:p>
        </w:tc>
        <w:tc>
          <w:tcPr>
            <w:tcW w:w="574" w:type="pct"/>
            <w:noWrap w:val="0"/>
            <w:vAlign w:val="center"/>
          </w:tcPr>
          <w:p w14:paraId="2EC25151">
            <w:pPr>
              <w:widowControl w:val="0"/>
              <w:spacing w:line="336" w:lineRule="auto"/>
              <w:jc w:val="center"/>
              <w:rPr>
                <w:rFonts w:ascii="仿宋" w:hAnsi="仿宋" w:eastAsia="仿宋" w:cs="MingLiU_HKSCS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说明</w:t>
            </w:r>
          </w:p>
        </w:tc>
      </w:tr>
      <w:tr w14:paraId="22AC9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3" w:type="pct"/>
            <w:noWrap w:val="0"/>
            <w:vAlign w:val="center"/>
          </w:tcPr>
          <w:p w14:paraId="26928284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547" w:type="pct"/>
            <w:noWrap w:val="0"/>
            <w:vAlign w:val="center"/>
          </w:tcPr>
          <w:p w14:paraId="0FC6D4D1">
            <w:pPr>
              <w:widowControl w:val="0"/>
              <w:spacing w:line="336" w:lineRule="auto"/>
              <w:jc w:val="center"/>
              <w:rPr>
                <w:rFonts w:ascii="仿宋" w:hAnsi="仿宋" w:eastAsia="仿宋" w:cs="Courier New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8" w:type="pct"/>
            <w:noWrap w:val="0"/>
            <w:vAlign w:val="center"/>
          </w:tcPr>
          <w:p w14:paraId="14AC69C8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6" w:type="pct"/>
            <w:noWrap w:val="0"/>
            <w:vAlign w:val="center"/>
          </w:tcPr>
          <w:p w14:paraId="0EF663A5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4" w:type="pct"/>
            <w:noWrap w:val="0"/>
            <w:vAlign w:val="center"/>
          </w:tcPr>
          <w:p w14:paraId="6296F425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C439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3" w:type="pct"/>
            <w:noWrap w:val="0"/>
            <w:vAlign w:val="center"/>
          </w:tcPr>
          <w:p w14:paraId="33C84D9B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547" w:type="pct"/>
            <w:noWrap w:val="0"/>
            <w:vAlign w:val="center"/>
          </w:tcPr>
          <w:p w14:paraId="566C4BD8">
            <w:pPr>
              <w:widowControl w:val="0"/>
              <w:spacing w:line="336" w:lineRule="auto"/>
              <w:jc w:val="center"/>
              <w:rPr>
                <w:rFonts w:ascii="仿宋" w:hAnsi="仿宋" w:eastAsia="仿宋" w:cs="Courier New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8" w:type="pct"/>
            <w:noWrap w:val="0"/>
            <w:vAlign w:val="center"/>
          </w:tcPr>
          <w:p w14:paraId="032516A8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6" w:type="pct"/>
            <w:noWrap w:val="0"/>
            <w:vAlign w:val="center"/>
          </w:tcPr>
          <w:p w14:paraId="6749B4B3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4" w:type="pct"/>
            <w:noWrap w:val="0"/>
            <w:vAlign w:val="center"/>
          </w:tcPr>
          <w:p w14:paraId="313BBF04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DB20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3" w:type="pct"/>
            <w:noWrap w:val="0"/>
            <w:vAlign w:val="center"/>
          </w:tcPr>
          <w:p w14:paraId="5E511480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547" w:type="pct"/>
            <w:noWrap w:val="0"/>
            <w:vAlign w:val="center"/>
          </w:tcPr>
          <w:p w14:paraId="730729BE">
            <w:pPr>
              <w:widowControl w:val="0"/>
              <w:spacing w:line="336" w:lineRule="auto"/>
              <w:jc w:val="center"/>
              <w:rPr>
                <w:rFonts w:ascii="仿宋" w:hAnsi="仿宋" w:eastAsia="仿宋" w:cs="Courier New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8" w:type="pct"/>
            <w:noWrap w:val="0"/>
            <w:vAlign w:val="center"/>
          </w:tcPr>
          <w:p w14:paraId="2D290C75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6" w:type="pct"/>
            <w:noWrap w:val="0"/>
            <w:vAlign w:val="center"/>
          </w:tcPr>
          <w:p w14:paraId="2B94FE27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4" w:type="pct"/>
            <w:noWrap w:val="0"/>
            <w:vAlign w:val="center"/>
          </w:tcPr>
          <w:p w14:paraId="58902DB5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7F6C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3" w:type="pct"/>
            <w:noWrap w:val="0"/>
            <w:vAlign w:val="center"/>
          </w:tcPr>
          <w:p w14:paraId="6AF0D9CA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…</w:t>
            </w:r>
          </w:p>
        </w:tc>
        <w:tc>
          <w:tcPr>
            <w:tcW w:w="1547" w:type="pct"/>
            <w:noWrap w:val="0"/>
            <w:vAlign w:val="center"/>
          </w:tcPr>
          <w:p w14:paraId="53386610">
            <w:pPr>
              <w:widowControl w:val="0"/>
              <w:spacing w:line="336" w:lineRule="auto"/>
              <w:jc w:val="center"/>
              <w:rPr>
                <w:rFonts w:ascii="仿宋" w:hAnsi="仿宋" w:eastAsia="仿宋" w:cs="Courier New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8" w:type="pct"/>
            <w:noWrap w:val="0"/>
            <w:vAlign w:val="center"/>
          </w:tcPr>
          <w:p w14:paraId="180EE75D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6" w:type="pct"/>
            <w:noWrap w:val="0"/>
            <w:vAlign w:val="center"/>
          </w:tcPr>
          <w:p w14:paraId="2D881760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4" w:type="pct"/>
            <w:noWrap w:val="0"/>
            <w:vAlign w:val="center"/>
          </w:tcPr>
          <w:p w14:paraId="58114372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3812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3" w:type="pct"/>
            <w:noWrap w:val="0"/>
            <w:vAlign w:val="center"/>
          </w:tcPr>
          <w:p w14:paraId="18C49EC1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N</w:t>
            </w:r>
          </w:p>
        </w:tc>
        <w:tc>
          <w:tcPr>
            <w:tcW w:w="1547" w:type="pct"/>
            <w:noWrap w:val="0"/>
            <w:vAlign w:val="center"/>
          </w:tcPr>
          <w:p w14:paraId="249CE33D">
            <w:pPr>
              <w:widowControl w:val="0"/>
              <w:spacing w:line="336" w:lineRule="auto"/>
              <w:jc w:val="center"/>
              <w:rPr>
                <w:rFonts w:ascii="仿宋" w:hAnsi="仿宋" w:eastAsia="仿宋" w:cs="Courier New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8" w:type="pct"/>
            <w:noWrap w:val="0"/>
            <w:vAlign w:val="center"/>
          </w:tcPr>
          <w:p w14:paraId="16704D7C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66" w:type="pct"/>
            <w:noWrap w:val="0"/>
            <w:vAlign w:val="center"/>
          </w:tcPr>
          <w:p w14:paraId="06BB6F6D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4" w:type="pct"/>
            <w:noWrap w:val="0"/>
            <w:vAlign w:val="center"/>
          </w:tcPr>
          <w:p w14:paraId="3D4DD730">
            <w:pPr>
              <w:widowControl w:val="0"/>
              <w:spacing w:line="336" w:lineRule="auto"/>
              <w:jc w:val="center"/>
              <w:rPr>
                <w:rFonts w:ascii="仿宋" w:hAnsi="仿宋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7AE1A7E9">
      <w:pPr>
        <w:widowControl w:val="0"/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说明：</w:t>
      </w:r>
    </w:p>
    <w:p w14:paraId="59EF8D38">
      <w:pPr>
        <w:widowControl w:val="0"/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1、填写招标文件</w:t>
      </w:r>
      <w:r>
        <w:rPr>
          <w:rFonts w:hint="eastAsia" w:ascii="仿宋" w:hAnsi="仿宋" w:eastAsia="仿宋" w:cs="Times New Roman"/>
          <w:b/>
          <w:bCs/>
          <w:color w:val="auto"/>
          <w:kern w:val="2"/>
          <w:sz w:val="28"/>
          <w:szCs w:val="28"/>
          <w:lang w:val="en-US" w:eastAsia="zh-CN" w:bidi="ar-SA"/>
        </w:rPr>
        <w:t>3.4商务要求中“交货时间、交货地点、支付约定、质量保修范围和保修期、违约责任与解决争议的方</w:t>
      </w:r>
      <w:bookmarkStart w:id="0" w:name="_GoBack"/>
      <w:bookmarkEnd w:id="0"/>
      <w:r>
        <w:rPr>
          <w:rFonts w:hint="eastAsia" w:ascii="仿宋" w:hAnsi="仿宋" w:eastAsia="仿宋" w:cs="Times New Roman"/>
          <w:b/>
          <w:bCs/>
          <w:color w:val="auto"/>
          <w:kern w:val="2"/>
          <w:sz w:val="28"/>
          <w:szCs w:val="28"/>
          <w:lang w:val="en-US" w:eastAsia="zh-CN" w:bidi="ar-SA"/>
        </w:rPr>
        <w:t>法、3.5其他要求第3条”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内容。</w:t>
      </w:r>
    </w:p>
    <w:p w14:paraId="4FE6681F">
      <w:pPr>
        <w:widowControl w:val="0"/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2、在偏离项，必须注明“正偏离”“负偏离”或“完全响应”，并予以说明。</w:t>
      </w:r>
    </w:p>
    <w:p w14:paraId="4313A10A">
      <w:pPr>
        <w:widowControl w:val="0"/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</w:pPr>
    </w:p>
    <w:p w14:paraId="32E6B9DF">
      <w:pPr>
        <w:widowControl w:val="0"/>
        <w:spacing w:line="336" w:lineRule="auto"/>
        <w:ind w:firstLine="560" w:firstLineChars="200"/>
        <w:jc w:val="both"/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</w:pPr>
    </w:p>
    <w:p w14:paraId="1DA90521">
      <w:pPr>
        <w:widowControl w:val="0"/>
        <w:spacing w:line="336" w:lineRule="auto"/>
        <w:ind w:firstLine="560" w:firstLineChars="200"/>
        <w:jc w:val="both"/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投标人名称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公章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)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：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____________________</w:t>
      </w:r>
    </w:p>
    <w:p w14:paraId="0EBA17E5">
      <w:pPr>
        <w:widowControl w:val="0"/>
        <w:spacing w:line="336" w:lineRule="auto"/>
        <w:ind w:firstLine="560" w:firstLineChars="200"/>
        <w:jc w:val="both"/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日期：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______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年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____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月</w:t>
      </w:r>
      <w:r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____</w:t>
      </w: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日</w:t>
      </w:r>
    </w:p>
    <w:p w14:paraId="1D8AA62C">
      <w:pPr>
        <w:widowControl w:val="0"/>
        <w:spacing w:line="336" w:lineRule="auto"/>
        <w:ind w:firstLine="560" w:firstLineChars="200"/>
        <w:jc w:val="both"/>
        <w:rPr>
          <w:rFonts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说明：授权用投标专用章的，与公章具有相同法律效力。</w:t>
      </w:r>
    </w:p>
    <w:p w14:paraId="239B28F7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93664D6"/>
    <w:rsid w:val="1E6B3DC1"/>
    <w:rsid w:val="224152BD"/>
    <w:rsid w:val="27A835D4"/>
    <w:rsid w:val="345A40E4"/>
    <w:rsid w:val="3E3C5333"/>
    <w:rsid w:val="43537220"/>
    <w:rsid w:val="4A9E7328"/>
    <w:rsid w:val="4D9A0BC6"/>
    <w:rsid w:val="5A806B4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235</Characters>
  <Lines>0</Lines>
  <Paragraphs>0</Paragraphs>
  <TotalTime>0</TotalTime>
  <ScaleCrop>false</ScaleCrop>
  <LinksUpToDate>false</LinksUpToDate>
  <CharactersWithSpaces>277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H</cp:lastModifiedBy>
  <dcterms:modified xsi:type="dcterms:W3CDTF">2025-09-29T12:30:59Z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