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6B024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highlight w:val="none"/>
        </w:rPr>
      </w:pPr>
      <w:bookmarkStart w:id="0" w:name="_Toc28521"/>
      <w:r>
        <w:rPr>
          <w:rFonts w:hint="eastAsia" w:ascii="宋体" w:hAnsi="宋体" w:eastAsia="宋体" w:cs="宋体"/>
          <w:b/>
          <w:sz w:val="36"/>
          <w:highlight w:val="none"/>
        </w:rPr>
        <w:t>第七章 拟签订合同文本</w:t>
      </w:r>
      <w:bookmarkEnd w:id="0"/>
    </w:p>
    <w:p w14:paraId="029C99C8">
      <w:pPr>
        <w:widowControl/>
        <w:ind w:firstLine="723"/>
        <w:jc w:val="center"/>
        <w:outlineLvl w:val="1"/>
        <w:rPr>
          <w:rFonts w:hint="eastAsia" w:ascii="宋体" w:hAnsi="宋体" w:eastAsia="宋体" w:cs="Times New Roman"/>
          <w:kern w:val="0"/>
          <w:sz w:val="20"/>
          <w:szCs w:val="20"/>
          <w:highlight w:val="none"/>
          <w:lang w:eastAsia="zh-CN"/>
        </w:rPr>
      </w:pPr>
      <w:r>
        <w:rPr>
          <w:rFonts w:ascii="宋体" w:hAnsi="宋体" w:eastAsia="宋体" w:cs="Times New Roman"/>
          <w:b/>
          <w:kern w:val="0"/>
          <w:sz w:val="36"/>
          <w:szCs w:val="20"/>
          <w:highlight w:val="none"/>
          <w:lang w:eastAsia="zh-Hans"/>
        </w:rPr>
        <w:t>拟签订合同文本</w:t>
      </w:r>
      <w:r>
        <w:rPr>
          <w:rFonts w:hint="eastAsia" w:ascii="宋体" w:hAnsi="宋体" w:eastAsia="宋体" w:cs="Times New Roman"/>
          <w:b/>
          <w:kern w:val="0"/>
          <w:sz w:val="36"/>
          <w:szCs w:val="20"/>
          <w:highlight w:val="none"/>
          <w:lang w:eastAsia="zh-CN"/>
        </w:rPr>
        <w:t>【</w:t>
      </w:r>
      <w:r>
        <w:rPr>
          <w:rFonts w:hint="eastAsia" w:ascii="宋体" w:hAnsi="宋体" w:eastAsia="宋体" w:cs="Times New Roman"/>
          <w:b/>
          <w:kern w:val="0"/>
          <w:sz w:val="36"/>
          <w:szCs w:val="20"/>
          <w:highlight w:val="none"/>
          <w:lang w:val="en-US" w:eastAsia="zh-CN"/>
        </w:rPr>
        <w:t>适用于采购包1、采购包2</w:t>
      </w:r>
      <w:r>
        <w:rPr>
          <w:rFonts w:hint="eastAsia" w:ascii="宋体" w:hAnsi="宋体" w:eastAsia="宋体" w:cs="Times New Roman"/>
          <w:b/>
          <w:kern w:val="0"/>
          <w:sz w:val="36"/>
          <w:szCs w:val="20"/>
          <w:highlight w:val="none"/>
          <w:lang w:eastAsia="zh-CN"/>
        </w:rPr>
        <w:t>】</w:t>
      </w:r>
    </w:p>
    <w:p w14:paraId="7FC11D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仿宋"/>
          <w:sz w:val="24"/>
          <w:szCs w:val="24"/>
          <w:highlight w:val="none"/>
        </w:rPr>
      </w:pPr>
      <w:r>
        <w:rPr>
          <w:rFonts w:hint="eastAsia" w:ascii="宋体" w:hAnsi="宋体" w:eastAsia="宋体" w:cs="仿宋"/>
          <w:sz w:val="24"/>
          <w:szCs w:val="24"/>
          <w:highlight w:val="none"/>
        </w:rPr>
        <w:t>（本格式条款供采购人和中标供应商双方签订合同参考，最终以采购人实际签订的合同为准）</w:t>
      </w:r>
    </w:p>
    <w:p w14:paraId="1F4A91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5AB5A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8EBDD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84452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463DE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  <w:t>西 安 理 工 大 学 采 购 合 同</w:t>
      </w:r>
    </w:p>
    <w:p w14:paraId="46EAFD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</w:pPr>
    </w:p>
    <w:p w14:paraId="3F034B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</w:pPr>
    </w:p>
    <w:p w14:paraId="61D7C5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</w:pPr>
    </w:p>
    <w:p w14:paraId="3F54EB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</w:pPr>
    </w:p>
    <w:p w14:paraId="05D9A7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</w:pPr>
    </w:p>
    <w:p w14:paraId="2AF0D6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  <w:highlight w:val="none"/>
        </w:rPr>
      </w:pPr>
    </w:p>
    <w:tbl>
      <w:tblPr>
        <w:tblStyle w:val="4"/>
        <w:tblW w:w="70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1"/>
      </w:tblGrid>
      <w:tr w14:paraId="5A7D0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11" w:type="dxa"/>
          </w:tcPr>
          <w:p w14:paraId="3EB3E4CB">
            <w:pP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合同名称：</w:t>
            </w:r>
          </w:p>
          <w:p w14:paraId="5518A465">
            <w:pPr>
              <w:rPr>
                <w:rFonts w:hint="eastAsia" w:ascii="宋体" w:hAnsi="宋体" w:eastAsia="宋体" w:cs="宋体"/>
                <w:kern w:val="0"/>
                <w:sz w:val="52"/>
                <w:szCs w:val="5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合同编号：</w:t>
            </w:r>
          </w:p>
        </w:tc>
      </w:tr>
    </w:tbl>
    <w:p w14:paraId="2EA20CE5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tbl>
      <w:tblPr>
        <w:tblStyle w:val="4"/>
        <w:tblW w:w="8914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9"/>
        <w:gridCol w:w="4555"/>
      </w:tblGrid>
      <w:tr w14:paraId="051ECDC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auto" w:sz="4" w:space="0"/>
            </w:tcBorders>
            <w:vAlign w:val="center"/>
          </w:tcPr>
          <w:p w14:paraId="242283A4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甲方：西安理工大学        </w:t>
            </w:r>
          </w:p>
        </w:tc>
        <w:tc>
          <w:tcPr>
            <w:tcW w:w="4555" w:type="dxa"/>
            <w:tcBorders>
              <w:top w:val="single" w:color="auto" w:sz="4" w:space="0"/>
            </w:tcBorders>
            <w:vAlign w:val="center"/>
          </w:tcPr>
          <w:p w14:paraId="4D14996F">
            <w:pPr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乙方：</w:t>
            </w:r>
          </w:p>
        </w:tc>
      </w:tr>
      <w:tr w14:paraId="63A6187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69714D62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信用代码：</w:t>
            </w:r>
          </w:p>
        </w:tc>
        <w:tc>
          <w:tcPr>
            <w:tcW w:w="4555" w:type="dxa"/>
            <w:vAlign w:val="center"/>
          </w:tcPr>
          <w:p w14:paraId="3D681EED">
            <w:pPr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信用代码：</w:t>
            </w:r>
          </w:p>
        </w:tc>
      </w:tr>
      <w:tr w14:paraId="05541E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5F4B603F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地址：西安市金花南路5号</w:t>
            </w:r>
          </w:p>
        </w:tc>
        <w:tc>
          <w:tcPr>
            <w:tcW w:w="4555" w:type="dxa"/>
            <w:vAlign w:val="center"/>
          </w:tcPr>
          <w:p w14:paraId="737AE429">
            <w:pPr>
              <w:snapToGrid w:val="0"/>
              <w:jc w:val="left"/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2204F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vAlign w:val="center"/>
          </w:tcPr>
          <w:p w14:paraId="2007DC3D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采购合同章：</w:t>
            </w:r>
          </w:p>
        </w:tc>
        <w:tc>
          <w:tcPr>
            <w:tcW w:w="4555" w:type="dxa"/>
            <w:vAlign w:val="center"/>
          </w:tcPr>
          <w:p w14:paraId="08D3C630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合同章/公章：</w:t>
            </w:r>
          </w:p>
        </w:tc>
      </w:tr>
      <w:tr w14:paraId="4AFF71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3A05FFF6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555" w:type="dxa"/>
            <w:vAlign w:val="center"/>
          </w:tcPr>
          <w:p w14:paraId="1DD175D5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 w14:paraId="31965C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 w14:paraId="34B4B6E8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555" w:type="dxa"/>
            <w:vAlign w:val="center"/>
          </w:tcPr>
          <w:p w14:paraId="45321993">
            <w:pPr>
              <w:snapToGrid w:val="0"/>
              <w:ind w:left="480" w:hanging="480" w:hangingChars="20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开户银行：</w:t>
            </w:r>
          </w:p>
        </w:tc>
      </w:tr>
      <w:tr w14:paraId="405EFA4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bottom w:val="single" w:color="auto" w:sz="4" w:space="0"/>
            </w:tcBorders>
            <w:vAlign w:val="center"/>
          </w:tcPr>
          <w:p w14:paraId="40CCC9B3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支付章：</w:t>
            </w:r>
            <w:r>
              <w:rPr>
                <w:rFonts w:hint="eastAsia" w:ascii="宋体" w:hAnsi="宋体" w:eastAsia="宋体" w:cs="宋体"/>
                <w:i/>
                <w:iCs/>
                <w:color w:val="BFBFBF"/>
                <w:kern w:val="0"/>
                <w:sz w:val="24"/>
                <w:szCs w:val="24"/>
                <w:highlight w:val="none"/>
              </w:rPr>
              <w:t>此处盖章作为财务支付凭证</w:t>
            </w:r>
          </w:p>
        </w:tc>
        <w:tc>
          <w:tcPr>
            <w:tcW w:w="4555" w:type="dxa"/>
            <w:tcBorders>
              <w:bottom w:val="single" w:color="auto" w:sz="4" w:space="0"/>
            </w:tcBorders>
            <w:vAlign w:val="center"/>
          </w:tcPr>
          <w:p w14:paraId="60939DF4">
            <w:pPr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帐号：</w:t>
            </w:r>
          </w:p>
        </w:tc>
      </w:tr>
    </w:tbl>
    <w:p w14:paraId="412FADD6">
      <w:pPr>
        <w:wordWrap w:val="0"/>
        <w:spacing w:before="312" w:beforeLines="10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西安理工大学签订日期：202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  月  日</w:t>
      </w:r>
    </w:p>
    <w:p w14:paraId="25F7F02C">
      <w:pPr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发票日期应大于签订日期</w:t>
      </w:r>
    </w:p>
    <w:p w14:paraId="127AE03D">
      <w:pPr>
        <w:rPr>
          <w:rFonts w:ascii="仿宋_GB2312" w:hAnsi="Times New Roman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ascii="仿宋_GB2312" w:hAnsi="Times New Roman" w:eastAsia="仿宋_GB2312" w:cs="仿宋_GB2312"/>
          <w:b/>
          <w:bCs/>
          <w:kern w:val="0"/>
          <w:sz w:val="32"/>
          <w:szCs w:val="32"/>
          <w:highlight w:val="none"/>
        </w:rPr>
        <w:br w:type="page"/>
      </w:r>
    </w:p>
    <w:p w14:paraId="033EF089">
      <w:pPr>
        <w:jc w:val="center"/>
        <w:rPr>
          <w:rFonts w:hint="eastAsia" w:ascii="仿宋_GB2312" w:hAnsi="Times New Roman" w:eastAsia="仿宋_GB2312" w:cs="仿宋_GB2312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外文文摘索引数据库（SCIE、JCR、CSCD）及IEL数据库采购</w:t>
      </w:r>
    </w:p>
    <w:p w14:paraId="42C88C12">
      <w:pPr>
        <w:jc w:val="center"/>
        <w:rPr>
          <w:rFonts w:ascii="仿宋_GB2312" w:eastAsia="仿宋_GB2312" w:cs="Times New Roman"/>
          <w:b/>
          <w:bCs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仿宋_GB2312"/>
          <w:b/>
          <w:bCs/>
          <w:kern w:val="0"/>
          <w:sz w:val="32"/>
          <w:szCs w:val="32"/>
          <w:highlight w:val="none"/>
        </w:rPr>
        <w:t>订购合同</w:t>
      </w:r>
    </w:p>
    <w:p w14:paraId="7AD44447">
      <w:pPr>
        <w:pStyle w:val="2"/>
        <w:spacing w:line="300" w:lineRule="auto"/>
        <w:rPr>
          <w:rFonts w:cs="Times New Roman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根据《中华人民共和国民法典》《中华人民共和国政府采购法》等相关法规，西安理工大学与中国图书进出口（集团）有限公司本着友好平等协商、互惠互利的原则，维护双方合法权益，达成如下协议。</w:t>
      </w:r>
    </w:p>
    <w:p w14:paraId="3558A405">
      <w:pPr>
        <w:pStyle w:val="2"/>
        <w:spacing w:line="300" w:lineRule="auto"/>
        <w:ind w:firstLine="0" w:firstLineChars="0"/>
        <w:rPr>
          <w:rFonts w:cs="Times New Roman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一、标的物及价款：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97"/>
        <w:gridCol w:w="1184"/>
        <w:gridCol w:w="1047"/>
        <w:gridCol w:w="938"/>
        <w:gridCol w:w="3084"/>
      </w:tblGrid>
      <w:tr w14:paraId="1CB70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47" w:type="dxa"/>
            <w:vAlign w:val="center"/>
          </w:tcPr>
          <w:p w14:paraId="05FFF6F7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97" w:type="dxa"/>
            <w:vAlign w:val="center"/>
          </w:tcPr>
          <w:p w14:paraId="37344C70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标的物名称</w:t>
            </w:r>
          </w:p>
        </w:tc>
        <w:tc>
          <w:tcPr>
            <w:tcW w:w="1184" w:type="dxa"/>
            <w:vAlign w:val="center"/>
          </w:tcPr>
          <w:p w14:paraId="47E7E5D3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047" w:type="dxa"/>
            <w:vAlign w:val="center"/>
          </w:tcPr>
          <w:p w14:paraId="1A73D5CC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38" w:type="dxa"/>
            <w:vAlign w:val="center"/>
          </w:tcPr>
          <w:p w14:paraId="7C14B0DA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084" w:type="dxa"/>
            <w:vAlign w:val="center"/>
          </w:tcPr>
          <w:p w14:paraId="735639EB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人民币价格（RMB）</w:t>
            </w:r>
          </w:p>
        </w:tc>
      </w:tr>
      <w:tr w14:paraId="744BC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747" w:type="dxa"/>
            <w:vAlign w:val="center"/>
          </w:tcPr>
          <w:p w14:paraId="3E7A5645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97" w:type="dxa"/>
            <w:vAlign w:val="center"/>
          </w:tcPr>
          <w:p w14:paraId="5E79059B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84" w:type="dxa"/>
            <w:vAlign w:val="center"/>
          </w:tcPr>
          <w:p w14:paraId="0B9C8125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</w:tcPr>
          <w:p w14:paraId="3CDFAA4B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7855B9CC">
            <w:pPr>
              <w:jc w:val="center"/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084" w:type="dxa"/>
          </w:tcPr>
          <w:p w14:paraId="6570F545"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</w:tr>
      <w:tr w14:paraId="06A7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897" w:type="dxa"/>
            <w:gridSpan w:val="6"/>
            <w:vAlign w:val="center"/>
          </w:tcPr>
          <w:p w14:paraId="418A97B8">
            <w:pPr>
              <w:rPr>
                <w:rFonts w:asci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总价（人民币大写</w:t>
            </w:r>
            <w:r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）：</w:t>
            </w:r>
            <w:r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 xml:space="preserve">  合计（小写）　</w:t>
            </w:r>
            <w:r>
              <w:rPr>
                <w:rFonts w:ascii="宋体" w:hAnsi="宋体" w:cs="宋体"/>
                <w:b/>
                <w:bCs/>
                <w:sz w:val="24"/>
                <w:szCs w:val="24"/>
                <w:highlight w:val="none"/>
              </w:rPr>
              <w:t>: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 xml:space="preserve">  元</w:t>
            </w:r>
          </w:p>
        </w:tc>
      </w:tr>
      <w:tr w14:paraId="57115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897" w:type="dxa"/>
            <w:gridSpan w:val="6"/>
            <w:vAlign w:val="center"/>
          </w:tcPr>
          <w:p w14:paraId="0A8FCD4E">
            <w:pPr>
              <w:spacing w:line="360" w:lineRule="auto"/>
              <w:rPr>
                <w:rFonts w:asciiTheme="minorEastAsia" w:hAnsi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highlight w:val="none"/>
              </w:rPr>
              <w:t>注：1.以上各项均包含材料费、安装费等，进口、报关、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highlight w:val="none"/>
                <w:lang w:val="en-US" w:eastAsia="zh-Hans"/>
              </w:rPr>
              <w:t>代理服务费及中标费用</w:t>
            </w: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highlight w:val="none"/>
              </w:rPr>
              <w:t>结汇及开票等事宜，均由乙方负责安排，费用由乙方承担；</w:t>
            </w:r>
          </w:p>
          <w:p w14:paraId="0D7C4BE1">
            <w:pPr>
              <w:spacing w:line="360" w:lineRule="auto"/>
              <w:ind w:firstLine="480" w:firstLineChars="200"/>
              <w:rPr>
                <w:rFonts w:asciiTheme="minorEastAsia" w:hAnsi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highlight w:val="none"/>
              </w:rPr>
              <w:t>2.美元价格按照DRAA采购价格为准；</w:t>
            </w:r>
          </w:p>
        </w:tc>
      </w:tr>
    </w:tbl>
    <w:p w14:paraId="4171C4FD">
      <w:pPr>
        <w:pStyle w:val="2"/>
        <w:spacing w:line="300" w:lineRule="auto"/>
        <w:ind w:firstLine="0" w:firstLineChars="0"/>
        <w:rPr>
          <w:rFonts w:cs="Times New Roman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二、履约地点：西安理工大学图书馆</w:t>
      </w:r>
    </w:p>
    <w:p w14:paraId="568D2446">
      <w:pPr>
        <w:pStyle w:val="2"/>
        <w:spacing w:line="300" w:lineRule="auto"/>
        <w:ind w:left="0" w:leftChars="0" w:firstLine="0" w:firstLineChars="0"/>
        <w:rPr>
          <w:rFonts w:hint="default" w:eastAsia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auto"/>
          <w:sz w:val="24"/>
          <w:szCs w:val="24"/>
          <w:highlight w:val="none"/>
        </w:rPr>
        <w:t>三、服务期限：</w:t>
      </w:r>
      <w:r>
        <w:rPr>
          <w:rFonts w:hint="eastAsia" w:eastAsia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</w:t>
      </w:r>
    </w:p>
    <w:p w14:paraId="421FF0A3">
      <w:pPr>
        <w:pStyle w:val="2"/>
        <w:spacing w:line="300" w:lineRule="auto"/>
        <w:ind w:firstLine="0" w:firstLineChars="0"/>
        <w:rPr>
          <w:rFonts w:cs="Times New Roman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四、履约方式</w:t>
      </w:r>
      <w:r>
        <w:rPr>
          <w:rFonts w:hint="eastAsia" w:eastAsia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数据库服务部署可正常使用并验收合格</w:t>
      </w:r>
      <w:r>
        <w:rPr>
          <w:rFonts w:hint="eastAsia"/>
          <w:color w:val="auto"/>
          <w:sz w:val="24"/>
          <w:szCs w:val="24"/>
          <w:highlight w:val="none"/>
        </w:rPr>
        <w:t>。</w:t>
      </w:r>
    </w:p>
    <w:p w14:paraId="43F6ED22">
      <w:pPr>
        <w:pStyle w:val="2"/>
        <w:spacing w:line="300" w:lineRule="auto"/>
        <w:ind w:firstLine="0" w:firstLineChars="0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五、结算方式：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数据库服务部署可正常使用并验收合格后</w:t>
      </w:r>
      <w:r>
        <w:rPr>
          <w:rFonts w:hint="eastAsia"/>
          <w:color w:val="auto"/>
          <w:sz w:val="24"/>
          <w:szCs w:val="24"/>
          <w:highlight w:val="none"/>
        </w:rPr>
        <w:t>，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/>
          <w:color w:val="auto"/>
          <w:sz w:val="24"/>
          <w:szCs w:val="24"/>
          <w:highlight w:val="none"/>
        </w:rPr>
        <w:t>提供符合税务规定的全额发票，达到付款条件起 30 日内，支付合同总金额的100.00%。</w:t>
      </w:r>
    </w:p>
    <w:p w14:paraId="26428D7D">
      <w:pPr>
        <w:pStyle w:val="2"/>
        <w:spacing w:line="300" w:lineRule="auto"/>
        <w:ind w:firstLine="0" w:firstLineChars="0"/>
        <w:rPr>
          <w:rFonts w:cs="Times New Roman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六、违约责任：依据合同法相关条款执行或具体约定，具体约定的条款不能超出法规允许的范围。</w:t>
      </w:r>
    </w:p>
    <w:p w14:paraId="1AD18BC3">
      <w:pPr>
        <w:pStyle w:val="2"/>
        <w:spacing w:line="300" w:lineRule="auto"/>
        <w:ind w:firstLine="0" w:firstLineChars="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七、解决争议的方法：合同履行过程中出现争议时，由双方友好协商解决。协商不成，向甲方所在地有管辖权的人民法院提起诉讼。</w:t>
      </w:r>
    </w:p>
    <w:p w14:paraId="2E10A950">
      <w:pPr>
        <w:pStyle w:val="2"/>
        <w:spacing w:line="300" w:lineRule="auto"/>
        <w:ind w:firstLine="0" w:firstLineChars="0"/>
        <w:rPr>
          <w:rFonts w:cs="Times New Roman"/>
          <w:sz w:val="24"/>
          <w:szCs w:val="24"/>
          <w:highlight w:val="none"/>
        </w:rPr>
      </w:pPr>
      <w:r>
        <w:rPr>
          <w:rFonts w:hint="eastAsia" w:cs="Times New Roman"/>
          <w:sz w:val="24"/>
          <w:szCs w:val="24"/>
          <w:highlight w:val="none"/>
        </w:rPr>
        <w:t>注:</w:t>
      </w:r>
      <w:r>
        <w:rPr>
          <w:rFonts w:hint="eastAsia" w:eastAsia="宋体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highlight w:val="none"/>
        </w:rPr>
        <w:t>1，如因版权问题引起法律纠纷，与甲方无关，乙方承担所有责任并消除所有不良影响。</w:t>
      </w:r>
    </w:p>
    <w:p w14:paraId="392B70D1">
      <w:pPr>
        <w:pStyle w:val="2"/>
        <w:spacing w:line="300" w:lineRule="auto"/>
        <w:ind w:firstLine="420"/>
        <w:rPr>
          <w:rFonts w:hint="eastAsia" w:cs="Times New Roman"/>
          <w:sz w:val="24"/>
          <w:szCs w:val="24"/>
          <w:highlight w:val="none"/>
        </w:rPr>
      </w:pPr>
      <w:r>
        <w:rPr>
          <w:rFonts w:hint="eastAsia" w:cs="Times New Roman"/>
          <w:sz w:val="24"/>
          <w:szCs w:val="24"/>
          <w:highlight w:val="none"/>
        </w:rPr>
        <w:t>2，乙方提供的文献数据需符合有关部门意识形态管理的要求，若有不符，由此产生的责任由乙方承担。</w:t>
      </w:r>
    </w:p>
    <w:p w14:paraId="51E21695">
      <w:pPr>
        <w:pStyle w:val="2"/>
        <w:spacing w:line="300" w:lineRule="auto"/>
        <w:ind w:firstLine="0" w:firstLineChars="0"/>
        <w:rPr>
          <w:rFonts w:cs="Times New Roman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八、质量保证及质保期：质保期一年（与合同期限一致）。</w:t>
      </w:r>
    </w:p>
    <w:p w14:paraId="774FFD3C">
      <w:pPr>
        <w:spacing w:line="300" w:lineRule="auto"/>
        <w:rPr>
          <w:rFonts w:ascii="宋体" w:cs="宋体"/>
          <w:sz w:val="24"/>
          <w:szCs w:val="24"/>
          <w:highlight w:val="none"/>
        </w:rPr>
      </w:pPr>
      <w:r>
        <w:rPr>
          <w:rFonts w:hint="eastAsia" w:ascii="宋体" w:cs="宋体"/>
          <w:sz w:val="24"/>
          <w:szCs w:val="24"/>
          <w:highlight w:val="none"/>
        </w:rPr>
        <w:t>九、技术服务：见附件</w:t>
      </w:r>
    </w:p>
    <w:p w14:paraId="5EDF044F">
      <w:pPr>
        <w:spacing w:line="300" w:lineRule="auto"/>
        <w:rPr>
          <w:rFonts w:ascii="宋体" w:cs="宋体"/>
          <w:sz w:val="24"/>
          <w:szCs w:val="24"/>
          <w:highlight w:val="none"/>
        </w:rPr>
      </w:pPr>
      <w:r>
        <w:rPr>
          <w:rFonts w:hint="eastAsia" w:ascii="宋体" w:cs="宋体"/>
          <w:sz w:val="24"/>
          <w:szCs w:val="24"/>
          <w:highlight w:val="none"/>
        </w:rPr>
        <w:t>十、附则</w:t>
      </w:r>
    </w:p>
    <w:p w14:paraId="221FA0A7">
      <w:pPr>
        <w:spacing w:line="300" w:lineRule="auto"/>
        <w:rPr>
          <w:rFonts w:ascii="宋体" w:cs="宋体"/>
          <w:sz w:val="24"/>
          <w:szCs w:val="24"/>
          <w:highlight w:val="none"/>
        </w:rPr>
      </w:pPr>
      <w:r>
        <w:rPr>
          <w:rFonts w:hint="eastAsia" w:ascii="宋体" w:cs="宋体"/>
          <w:sz w:val="24"/>
          <w:szCs w:val="24"/>
          <w:highlight w:val="none"/>
        </w:rPr>
        <w:t>（1）本合同的执行不因合同双方任何人事变动而失效。</w:t>
      </w:r>
    </w:p>
    <w:p w14:paraId="75767A99">
      <w:pPr>
        <w:spacing w:line="300" w:lineRule="auto"/>
        <w:rPr>
          <w:rFonts w:ascii="宋体" w:cs="宋体"/>
          <w:sz w:val="24"/>
          <w:szCs w:val="24"/>
          <w:highlight w:val="none"/>
        </w:rPr>
      </w:pPr>
      <w:r>
        <w:rPr>
          <w:rFonts w:hint="eastAsia" w:ascii="宋体" w:cs="宋体"/>
          <w:sz w:val="24"/>
          <w:szCs w:val="24"/>
          <w:highlight w:val="none"/>
        </w:rPr>
        <w:t>（2）甲、乙双方不得将合同内容、用户情况及购置价格等泄露给第三方。</w:t>
      </w:r>
    </w:p>
    <w:p w14:paraId="03F22916">
      <w:pPr>
        <w:spacing w:line="300" w:lineRule="auto"/>
        <w:rPr>
          <w:rFonts w:ascii="宋体" w:cs="宋体"/>
          <w:sz w:val="24"/>
          <w:szCs w:val="24"/>
          <w:highlight w:val="none"/>
        </w:rPr>
      </w:pPr>
      <w:r>
        <w:rPr>
          <w:rFonts w:hint="eastAsia" w:ascii="宋体" w:cs="宋体"/>
          <w:sz w:val="24"/>
          <w:szCs w:val="24"/>
          <w:highlight w:val="none"/>
        </w:rPr>
        <w:t>（3）合同一式伍份，甲方叁份，乙方贰份，具有同等法律效力。</w:t>
      </w:r>
    </w:p>
    <w:p w14:paraId="6B58541E">
      <w:pPr>
        <w:spacing w:line="300" w:lineRule="auto"/>
        <w:rPr>
          <w:rFonts w:hint="eastAsia" w:ascii="宋体" w:cs="宋体"/>
          <w:sz w:val="24"/>
          <w:szCs w:val="24"/>
          <w:highlight w:val="none"/>
        </w:rPr>
      </w:pPr>
      <w:r>
        <w:rPr>
          <w:rFonts w:hint="eastAsia" w:ascii="宋体" w:cs="宋体"/>
          <w:sz w:val="24"/>
          <w:szCs w:val="24"/>
          <w:highlight w:val="none"/>
        </w:rPr>
        <w:t>（4）本合同经双方授权代表签字盖章后生效。</w:t>
      </w:r>
    </w:p>
    <w:p w14:paraId="295FCF29">
      <w:pPr>
        <w:rPr>
          <w:rFonts w:hint="eastAsia" w:ascii="宋体" w:cs="宋体"/>
          <w:sz w:val="24"/>
          <w:szCs w:val="24"/>
          <w:highlight w:val="none"/>
        </w:rPr>
      </w:pPr>
      <w:r>
        <w:rPr>
          <w:rFonts w:hint="eastAsia" w:ascii="宋体" w:cs="宋体"/>
          <w:sz w:val="24"/>
          <w:szCs w:val="24"/>
          <w:highlight w:val="none"/>
        </w:rPr>
        <w:br w:type="page"/>
      </w:r>
    </w:p>
    <w:p w14:paraId="28B7930F">
      <w:pPr>
        <w:spacing w:line="300" w:lineRule="auto"/>
        <w:rPr>
          <w:rFonts w:hint="eastAsia" w:ascii="宋体" w:cs="宋体"/>
          <w:sz w:val="24"/>
          <w:szCs w:val="24"/>
          <w:highlight w:val="none"/>
        </w:rPr>
      </w:pPr>
    </w:p>
    <w:tbl>
      <w:tblPr>
        <w:tblStyle w:val="4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4"/>
        <w:gridCol w:w="4781"/>
      </w:tblGrid>
      <w:tr w14:paraId="25016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auto" w:sz="4" w:space="0"/>
            </w:tcBorders>
            <w:vAlign w:val="center"/>
          </w:tcPr>
          <w:p w14:paraId="0D9CDC8C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甲方：西安理工大学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        </w:t>
            </w:r>
          </w:p>
        </w:tc>
        <w:tc>
          <w:tcPr>
            <w:tcW w:w="4781" w:type="dxa"/>
            <w:tcBorders>
              <w:top w:val="single" w:color="auto" w:sz="4" w:space="0"/>
            </w:tcBorders>
            <w:vAlign w:val="center"/>
          </w:tcPr>
          <w:p w14:paraId="3DC66B2A">
            <w:pPr>
              <w:snapToGrid w:val="0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乙方：</w:t>
            </w:r>
          </w:p>
        </w:tc>
      </w:tr>
      <w:tr w14:paraId="720DB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vAlign w:val="center"/>
          </w:tcPr>
          <w:p w14:paraId="0E8BB428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信用代码：</w:t>
            </w:r>
          </w:p>
        </w:tc>
        <w:tc>
          <w:tcPr>
            <w:tcW w:w="4781" w:type="dxa"/>
            <w:vAlign w:val="center"/>
          </w:tcPr>
          <w:p w14:paraId="09C622B1">
            <w:pPr>
              <w:spacing w:line="460" w:lineRule="exact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信用代码：</w:t>
            </w:r>
          </w:p>
        </w:tc>
      </w:tr>
      <w:tr w14:paraId="40F06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vAlign w:val="center"/>
          </w:tcPr>
          <w:p w14:paraId="566FE321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地址：西安市金花南路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4781" w:type="dxa"/>
            <w:vAlign w:val="center"/>
          </w:tcPr>
          <w:p w14:paraId="60999E23">
            <w:pPr>
              <w:snapToGrid w:val="0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地址：</w:t>
            </w:r>
          </w:p>
        </w:tc>
      </w:tr>
      <w:tr w14:paraId="24F70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vAlign w:val="center"/>
          </w:tcPr>
          <w:p w14:paraId="6693267C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59D0019E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帐号：</w:t>
            </w:r>
          </w:p>
        </w:tc>
        <w:tc>
          <w:tcPr>
            <w:tcW w:w="4781" w:type="dxa"/>
            <w:vAlign w:val="center"/>
          </w:tcPr>
          <w:p w14:paraId="605FCF3B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7D03F9A4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帐号：</w:t>
            </w:r>
          </w:p>
        </w:tc>
      </w:tr>
      <w:tr w14:paraId="4F545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vAlign w:val="center"/>
          </w:tcPr>
          <w:p w14:paraId="12DCA38D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采购合同章：</w:t>
            </w:r>
          </w:p>
        </w:tc>
        <w:tc>
          <w:tcPr>
            <w:tcW w:w="4781" w:type="dxa"/>
            <w:vAlign w:val="center"/>
          </w:tcPr>
          <w:p w14:paraId="7E55F266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合同章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公章：</w:t>
            </w:r>
          </w:p>
        </w:tc>
      </w:tr>
      <w:tr w14:paraId="0D62D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vAlign w:val="center"/>
          </w:tcPr>
          <w:p w14:paraId="7D2B34E7">
            <w:pPr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法人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委托代理人签字：</w:t>
            </w:r>
          </w:p>
        </w:tc>
        <w:tc>
          <w:tcPr>
            <w:tcW w:w="4781" w:type="dxa"/>
            <w:vAlign w:val="center"/>
          </w:tcPr>
          <w:p w14:paraId="30C5F5D2">
            <w:pPr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法人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委托代理人签字：</w:t>
            </w:r>
          </w:p>
        </w:tc>
      </w:tr>
      <w:tr w14:paraId="0FA0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vAlign w:val="center"/>
          </w:tcPr>
          <w:p w14:paraId="0B75E5A8">
            <w:pPr>
              <w:snapToGrid w:val="0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781" w:type="dxa"/>
            <w:vAlign w:val="center"/>
          </w:tcPr>
          <w:p w14:paraId="28E185EA">
            <w:pPr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电话：</w:t>
            </w:r>
          </w:p>
        </w:tc>
      </w:tr>
      <w:tr w14:paraId="421A9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bottom w:val="single" w:color="auto" w:sz="4" w:space="0"/>
            </w:tcBorders>
            <w:vAlign w:val="center"/>
          </w:tcPr>
          <w:p w14:paraId="5125C844">
            <w:pPr>
              <w:snapToGrid w:val="0"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签订日期：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年  月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4781" w:type="dxa"/>
            <w:tcBorders>
              <w:bottom w:val="single" w:color="auto" w:sz="4" w:space="0"/>
            </w:tcBorders>
            <w:vAlign w:val="center"/>
          </w:tcPr>
          <w:p w14:paraId="78B98B34">
            <w:pPr>
              <w:wordWrap w:val="0"/>
              <w:snapToGrid w:val="0"/>
              <w:jc w:val="right"/>
              <w:rPr>
                <w:rFonts w:ascii="宋体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签订日期：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年  月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highlight w:val="none"/>
              </w:rPr>
              <w:t>日</w:t>
            </w:r>
          </w:p>
        </w:tc>
      </w:tr>
    </w:tbl>
    <w:p w14:paraId="2FD9A8E3">
      <w:pPr>
        <w:rPr>
          <w:rFonts w:hint="eastAsia" w:cs="Times New Roman"/>
          <w:b/>
          <w:bCs/>
          <w:highlight w:val="none"/>
        </w:rPr>
      </w:pPr>
      <w:r>
        <w:rPr>
          <w:rFonts w:hint="eastAsia" w:cs="Times New Roman"/>
          <w:b/>
          <w:bCs/>
          <w:highlight w:val="none"/>
        </w:rPr>
        <w:br w:type="page"/>
      </w:r>
    </w:p>
    <w:p w14:paraId="358BAD36">
      <w:pPr>
        <w:spacing w:line="360" w:lineRule="auto"/>
        <w:rPr>
          <w:rFonts w:ascii="宋体" w:hAnsi="宋体"/>
          <w:b/>
          <w:bCs/>
          <w:highlight w:val="none"/>
        </w:rPr>
      </w:pPr>
      <w:r>
        <w:rPr>
          <w:rFonts w:hint="eastAsia" w:cs="Times New Roman"/>
          <w:b/>
          <w:bCs/>
          <w:highlight w:val="none"/>
        </w:rPr>
        <w:t>附件：技术要求及服务等（与合同正文具有同等法律效力）</w:t>
      </w:r>
    </w:p>
    <w:p w14:paraId="5B9D8CE4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napToGrid/>
        <w:spacing w:line="360" w:lineRule="auto"/>
        <w:ind w:leftChars="0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采购包1：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服务时间：SCIE：2026年01月01日-2026年12月31日、JCR：2025年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11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月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日-2026年1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月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日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、CSCD：2026年01月01日-2026年12月31日</w:t>
      </w:r>
    </w:p>
    <w:p w14:paraId="063B2CA7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napToGrid/>
        <w:spacing w:line="360" w:lineRule="auto"/>
        <w:ind w:leftChars="0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支持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提供的校园网IP下全年无间断检索、下载等功能，支持校园网外VPN隧道访问。</w:t>
      </w:r>
    </w:p>
    <w:p w14:paraId="7AD0D408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napToGrid/>
        <w:spacing w:line="360" w:lineRule="auto"/>
        <w:ind w:leftChars="0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提供在线查阅符合counter标准的使用统计报告。</w:t>
      </w:r>
    </w:p>
    <w:p w14:paraId="003861C7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napToGrid/>
        <w:spacing w:line="360" w:lineRule="auto"/>
        <w:ind w:leftChars="0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如出现使用故障，7*24小时内响应，保证24小时内解决问题；如未能按期解决故障问题，加倍顺延数据库服务时间。</w:t>
      </w:r>
    </w:p>
    <w:p w14:paraId="26C00E99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napToGrid/>
        <w:spacing w:line="360" w:lineRule="auto"/>
        <w:ind w:leftChars="0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提供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两次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面授讲座等形式的培训和技术支持；</w:t>
      </w:r>
    </w:p>
    <w:p w14:paraId="37605602">
      <w:pPr>
        <w:spacing w:line="360" w:lineRule="auto"/>
        <w:rPr>
          <w:rFonts w:hint="default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最终成交价格包含代理服务费及中标费用等。</w:t>
      </w:r>
    </w:p>
    <w:p w14:paraId="522E5F5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0" w:firstLineChars="0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采购包2：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1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提供《IEL数据库》20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26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年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月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1日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至20</w:t>
      </w:r>
      <w:r>
        <w:rPr>
          <w:rFonts w:hint="default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2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年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12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月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31日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网络使用权。</w:t>
      </w:r>
    </w:p>
    <w:p w14:paraId="33FECF8C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napToGrid/>
        <w:spacing w:line="360" w:lineRule="auto"/>
        <w:ind w:leftChars="0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支持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提供的校园网IP下全年无间断检索、下载等功能，支持校园网外VPN隧道访问。</w:t>
      </w:r>
    </w:p>
    <w:p w14:paraId="313F67E2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napToGrid/>
        <w:spacing w:line="360" w:lineRule="auto"/>
        <w:ind w:leftChars="0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提供在线查阅符合counter标准的使用统计报告。</w:t>
      </w:r>
    </w:p>
    <w:p w14:paraId="167A94DD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napToGrid/>
        <w:spacing w:line="360" w:lineRule="auto"/>
        <w:ind w:leftChars="0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如出现使用故障，7*24小时内响应，保证24小时内解决问题；如未能按期解决故障问题，加倍顺延数据库服务时间。</w:t>
      </w:r>
    </w:p>
    <w:p w14:paraId="659C6A04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napToGrid/>
        <w:spacing w:line="360" w:lineRule="auto"/>
        <w:ind w:leftChars="0"/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提供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两次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面授讲座等形式的培训和技术支持；</w:t>
      </w:r>
    </w:p>
    <w:p w14:paraId="04EF81B7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beforeAutospacing="0" w:afterAutospacing="0" w:line="360" w:lineRule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szCs w:val="24"/>
          <w:highlight w:val="none"/>
          <w:lang w:val="en-US" w:eastAsia="zh-Hans"/>
        </w:rPr>
        <w:t>最终成交价格包含代理服务费及中标费用等。</w:t>
      </w:r>
    </w:p>
    <w:p w14:paraId="5BED2CEE">
      <w:bookmarkStart w:id="1" w:name="_GoBack"/>
      <w:bookmarkEnd w:id="1"/>
    </w:p>
    <w:sectPr>
      <w:footerReference r:id="rId5" w:type="default"/>
      <w:pgSz w:w="11906" w:h="16838"/>
      <w:pgMar w:top="1440" w:right="1800" w:bottom="1440" w:left="1800" w:header="851" w:footer="1134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1D994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340B9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340B9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06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99"/>
    <w:pPr>
      <w:spacing w:line="360" w:lineRule="auto"/>
      <w:ind w:firstLine="480" w:firstLineChars="200"/>
    </w:pPr>
    <w:rPr>
      <w:rFonts w:ascii="宋体" w:hAnsi="宋体" w:cs="宋体"/>
      <w:color w:val="000000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2025-09-29T08:11:07Z</dcterms:created>
  <dc:creator>Administrator</dc:creator>
  <cp:lastModifiedBy>秦商子</cp:lastModifiedBy>
  <dcterms:modified xsi:type="dcterms:W3CDTF">2025-09-29T08:11:33Z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eyJoZGlkIjoiMzY0NTMxOWJmMGJjZDI1NTRlMzc0ODgyZDBmNDY2MmYiLCJ1c2VySWQiOiIzNDAyMzA0NDAifQ==</vt:lpwstr>
  </property>
  <property fmtid="{D5CDD505-2E9C-101B-9397-08002B2CF9AE}" pid="4" name="ICV">
    <vt:lpwstr>48F46274CF1E474EA2DB605D0AE69CC9_12</vt:lpwstr>
  </property>
</Properties>
</file>