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5FEDD">
      <w:pPr>
        <w:shd w:val="clear" w:color="auto" w:fill="auto"/>
        <w:spacing w:line="360" w:lineRule="auto"/>
        <w:jc w:val="center"/>
        <w:outlineLvl w:val="0"/>
        <w:rPr>
          <w:rFonts w:hint="eastAsia" w:ascii="仿宋_GB2312" w:hAnsi="仿宋_GB2312" w:eastAsia="仿宋_GB2312" w:cs="仿宋_GB2312"/>
          <w:color w:val="auto"/>
          <w:sz w:val="32"/>
          <w:szCs w:val="32"/>
          <w:highlight w:val="none"/>
        </w:rPr>
      </w:pPr>
      <w:r>
        <w:rPr>
          <w:rStyle w:val="9"/>
          <w:rFonts w:hint="eastAsia" w:ascii="仿宋_GB2312" w:hAnsi="仿宋_GB2312" w:eastAsia="仿宋_GB2312" w:cs="仿宋_GB2312"/>
          <w:color w:val="auto"/>
          <w:szCs w:val="32"/>
          <w:highlight w:val="none"/>
        </w:rPr>
        <w:t>第</w:t>
      </w:r>
      <w:r>
        <w:rPr>
          <w:rStyle w:val="9"/>
          <w:rFonts w:hint="eastAsia" w:ascii="仿宋_GB2312" w:hAnsi="仿宋_GB2312" w:eastAsia="仿宋_GB2312" w:cs="仿宋_GB2312"/>
          <w:color w:val="auto"/>
          <w:szCs w:val="32"/>
          <w:highlight w:val="none"/>
          <w:lang w:val="en-US" w:eastAsia="zh-CN"/>
        </w:rPr>
        <w:t>7</w:t>
      </w:r>
      <w:r>
        <w:rPr>
          <w:rStyle w:val="9"/>
          <w:rFonts w:hint="eastAsia" w:ascii="仿宋_GB2312" w:hAnsi="仿宋_GB2312" w:eastAsia="仿宋_GB2312" w:cs="仿宋_GB2312"/>
          <w:color w:val="auto"/>
          <w:szCs w:val="32"/>
          <w:highlight w:val="none"/>
        </w:rPr>
        <w:t>章  拟签订的合同</w:t>
      </w:r>
      <w:bookmarkStart w:id="0" w:name="_Hlt487972895"/>
      <w:bookmarkEnd w:id="0"/>
      <w:bookmarkStart w:id="1" w:name="_Toc216513788"/>
      <w:bookmarkStart w:id="2" w:name="_Toc487900382"/>
      <w:r>
        <w:rPr>
          <w:rStyle w:val="9"/>
          <w:rFonts w:hint="eastAsia" w:ascii="仿宋_GB2312" w:hAnsi="仿宋_GB2312" w:eastAsia="仿宋_GB2312" w:cs="仿宋_GB2312"/>
          <w:color w:val="auto"/>
          <w:szCs w:val="32"/>
          <w:highlight w:val="none"/>
        </w:rPr>
        <w:t>文本</w:t>
      </w:r>
    </w:p>
    <w:bookmarkEnd w:id="1"/>
    <w:bookmarkEnd w:id="2"/>
    <w:p w14:paraId="7DA98C89">
      <w:pPr>
        <w:tabs>
          <w:tab w:val="left" w:pos="735"/>
        </w:tabs>
        <w:autoSpaceDE w:val="0"/>
        <w:autoSpaceDN w:val="0"/>
        <w:adjustRightInd w:val="0"/>
        <w:snapToGrid w:val="0"/>
        <w:spacing w:line="500" w:lineRule="exact"/>
        <w:ind w:firstLine="631"/>
        <w:rPr>
          <w:rFonts w:ascii="仿宋" w:hAnsi="仿宋" w:eastAsia="仿宋"/>
          <w:b/>
          <w:bCs/>
          <w:color w:val="auto"/>
          <w:sz w:val="24"/>
          <w:highlight w:val="none"/>
          <w:lang w:val="zh-CN"/>
        </w:rPr>
      </w:pPr>
      <w:r>
        <w:rPr>
          <w:rFonts w:hint="eastAsia" w:ascii="仿宋" w:hAnsi="仿宋" w:eastAsia="仿宋"/>
          <w:b/>
          <w:bCs/>
          <w:color w:val="auto"/>
          <w:sz w:val="24"/>
          <w:highlight w:val="none"/>
          <w:lang w:val="zh-CN"/>
        </w:rPr>
        <w:t>甲方：</w:t>
      </w:r>
      <w:r>
        <w:rPr>
          <w:rFonts w:hint="eastAsia" w:ascii="仿宋" w:hAnsi="仿宋" w:eastAsia="仿宋"/>
          <w:bCs/>
          <w:color w:val="auto"/>
          <w:sz w:val="24"/>
          <w:highlight w:val="none"/>
          <w:lang w:val="zh-CN"/>
        </w:rPr>
        <w:t>（采购人）</w:t>
      </w:r>
    </w:p>
    <w:p w14:paraId="068B1A08">
      <w:pPr>
        <w:tabs>
          <w:tab w:val="left" w:pos="735"/>
        </w:tabs>
        <w:autoSpaceDE w:val="0"/>
        <w:autoSpaceDN w:val="0"/>
        <w:adjustRightInd w:val="0"/>
        <w:snapToGrid w:val="0"/>
        <w:spacing w:line="500" w:lineRule="exact"/>
        <w:ind w:firstLine="631"/>
        <w:rPr>
          <w:rFonts w:ascii="仿宋" w:hAnsi="仿宋" w:eastAsia="仿宋"/>
          <w:bCs/>
          <w:color w:val="auto"/>
          <w:sz w:val="24"/>
          <w:highlight w:val="none"/>
          <w:lang w:val="zh-CN"/>
        </w:rPr>
      </w:pPr>
      <w:r>
        <w:rPr>
          <w:rFonts w:hint="eastAsia" w:ascii="仿宋" w:hAnsi="仿宋" w:eastAsia="仿宋"/>
          <w:b/>
          <w:bCs/>
          <w:color w:val="auto"/>
          <w:sz w:val="24"/>
          <w:highlight w:val="none"/>
          <w:lang w:val="zh-CN"/>
        </w:rPr>
        <w:t>乙方：</w:t>
      </w:r>
      <w:r>
        <w:rPr>
          <w:rFonts w:hint="eastAsia" w:ascii="仿宋" w:hAnsi="仿宋" w:eastAsia="仿宋"/>
          <w:bCs/>
          <w:color w:val="auto"/>
          <w:sz w:val="24"/>
          <w:highlight w:val="none"/>
          <w:lang w:val="zh-CN"/>
        </w:rPr>
        <w:t>（成交单位名称）</w:t>
      </w:r>
    </w:p>
    <w:p w14:paraId="33FEAF76">
      <w:pPr>
        <w:tabs>
          <w:tab w:val="left" w:pos="735"/>
        </w:tabs>
        <w:autoSpaceDE w:val="0"/>
        <w:autoSpaceDN w:val="0"/>
        <w:adjustRightInd w:val="0"/>
        <w:snapToGrid w:val="0"/>
        <w:spacing w:line="500" w:lineRule="exact"/>
        <w:ind w:firstLine="631"/>
        <w:outlineLvl w:val="1"/>
        <w:rPr>
          <w:rFonts w:ascii="仿宋" w:hAnsi="仿宋" w:eastAsia="仿宋"/>
          <w:b/>
          <w:bCs/>
          <w:color w:val="auto"/>
          <w:sz w:val="24"/>
          <w:highlight w:val="none"/>
          <w:lang w:val="zh-CN"/>
        </w:rPr>
      </w:pPr>
      <w:bookmarkStart w:id="3" w:name="_Toc12464"/>
      <w:r>
        <w:rPr>
          <w:rFonts w:hint="eastAsia" w:ascii="仿宋" w:hAnsi="仿宋" w:eastAsia="仿宋"/>
          <w:b/>
          <w:bCs/>
          <w:color w:val="auto"/>
          <w:sz w:val="24"/>
          <w:highlight w:val="none"/>
          <w:lang w:val="zh-CN"/>
        </w:rPr>
        <w:t>一、合同内容:</w:t>
      </w:r>
      <w:bookmarkEnd w:id="3"/>
    </w:p>
    <w:p w14:paraId="26D163B9">
      <w:pPr>
        <w:tabs>
          <w:tab w:val="left" w:pos="735"/>
        </w:tabs>
        <w:adjustRightInd w:val="0"/>
        <w:snapToGrid w:val="0"/>
        <w:spacing w:line="500" w:lineRule="exact"/>
        <w:ind w:firstLine="506" w:firstLineChars="210"/>
        <w:outlineLvl w:val="1"/>
        <w:rPr>
          <w:rFonts w:ascii="仿宋" w:hAnsi="仿宋" w:eastAsia="仿宋"/>
          <w:color w:val="auto"/>
          <w:sz w:val="24"/>
          <w:highlight w:val="none"/>
        </w:rPr>
      </w:pPr>
      <w:bookmarkStart w:id="4" w:name="_Toc15723"/>
      <w:r>
        <w:rPr>
          <w:rFonts w:hint="eastAsia" w:ascii="仿宋" w:hAnsi="仿宋" w:eastAsia="仿宋"/>
          <w:b/>
          <w:color w:val="auto"/>
          <w:sz w:val="24"/>
          <w:highlight w:val="none"/>
        </w:rPr>
        <w:t>二、合同价款</w:t>
      </w:r>
      <w:bookmarkEnd w:id="4"/>
    </w:p>
    <w:p w14:paraId="24E41427">
      <w:pPr>
        <w:adjustRightInd w:val="0"/>
        <w:snapToGrid w:val="0"/>
        <w:spacing w:line="5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1、合同总价：</w:t>
      </w:r>
    </w:p>
    <w:p w14:paraId="19EF3AEE">
      <w:pPr>
        <w:adjustRightInd w:val="0"/>
        <w:snapToGrid w:val="0"/>
        <w:spacing w:line="500" w:lineRule="exact"/>
        <w:ind w:firstLine="480" w:firstLineChars="200"/>
        <w:rPr>
          <w:rFonts w:ascii="仿宋" w:hAnsi="仿宋" w:eastAsia="仿宋"/>
          <w:color w:val="auto"/>
          <w:kern w:val="0"/>
          <w:sz w:val="24"/>
          <w:highlight w:val="none"/>
          <w:u w:val="single"/>
        </w:rPr>
      </w:pPr>
      <w:r>
        <w:rPr>
          <w:rFonts w:hint="eastAsia" w:ascii="仿宋" w:hAnsi="仿宋" w:eastAsia="仿宋"/>
          <w:color w:val="auto"/>
          <w:sz w:val="24"/>
          <w:highlight w:val="none"/>
        </w:rPr>
        <w:t>2、合同总价包括：完成</w:t>
      </w:r>
      <w:r>
        <w:rPr>
          <w:rFonts w:hint="eastAsia" w:ascii="仿宋" w:hAnsi="仿宋" w:eastAsia="仿宋"/>
          <w:color w:val="auto"/>
          <w:sz w:val="24"/>
          <w:highlight w:val="none"/>
          <w:lang w:val="en-US" w:eastAsia="zh-CN"/>
        </w:rPr>
        <w:t>采购</w:t>
      </w:r>
      <w:r>
        <w:rPr>
          <w:rFonts w:hint="eastAsia" w:ascii="仿宋" w:hAnsi="仿宋" w:eastAsia="仿宋"/>
          <w:color w:val="auto"/>
          <w:sz w:val="24"/>
          <w:highlight w:val="none"/>
        </w:rPr>
        <w:t>内容所需的全部税费。</w:t>
      </w:r>
    </w:p>
    <w:p w14:paraId="540FE16C">
      <w:pPr>
        <w:tabs>
          <w:tab w:val="left" w:pos="735"/>
        </w:tabs>
        <w:autoSpaceDE w:val="0"/>
        <w:autoSpaceDN w:val="0"/>
        <w:adjustRightInd w:val="0"/>
        <w:snapToGrid w:val="0"/>
        <w:spacing w:line="500" w:lineRule="exact"/>
        <w:ind w:firstLine="480" w:firstLineChars="200"/>
        <w:rPr>
          <w:rFonts w:ascii="仿宋" w:hAnsi="仿宋" w:eastAsia="仿宋"/>
          <w:bCs/>
          <w:color w:val="auto"/>
          <w:sz w:val="24"/>
          <w:highlight w:val="none"/>
          <w:lang w:val="zh-CN"/>
        </w:rPr>
      </w:pPr>
      <w:r>
        <w:rPr>
          <w:rFonts w:hint="eastAsia" w:ascii="仿宋" w:hAnsi="仿宋" w:eastAsia="仿宋"/>
          <w:color w:val="auto"/>
          <w:sz w:val="24"/>
          <w:highlight w:val="none"/>
        </w:rPr>
        <w:t>3、合同总价一次包死，不受市场价变化的影响。</w:t>
      </w:r>
    </w:p>
    <w:p w14:paraId="2809EDB3">
      <w:pPr>
        <w:tabs>
          <w:tab w:val="left" w:pos="735"/>
        </w:tabs>
        <w:autoSpaceDE w:val="0"/>
        <w:autoSpaceDN w:val="0"/>
        <w:adjustRightInd w:val="0"/>
        <w:snapToGrid w:val="0"/>
        <w:spacing w:line="500" w:lineRule="exact"/>
        <w:ind w:firstLine="631"/>
        <w:outlineLvl w:val="1"/>
        <w:rPr>
          <w:rFonts w:ascii="仿宋" w:hAnsi="仿宋" w:eastAsia="仿宋"/>
          <w:b/>
          <w:bCs/>
          <w:color w:val="auto"/>
          <w:sz w:val="24"/>
          <w:highlight w:val="none"/>
          <w:lang w:val="zh-CN"/>
        </w:rPr>
      </w:pPr>
      <w:bookmarkStart w:id="5" w:name="_Toc30584"/>
      <w:r>
        <w:rPr>
          <w:rFonts w:hint="eastAsia" w:ascii="仿宋" w:hAnsi="仿宋" w:eastAsia="仿宋"/>
          <w:b/>
          <w:bCs/>
          <w:color w:val="auto"/>
          <w:sz w:val="24"/>
          <w:highlight w:val="none"/>
          <w:lang w:val="zh-CN"/>
        </w:rPr>
        <w:t>三、合同结算</w:t>
      </w:r>
      <w:bookmarkEnd w:id="5"/>
    </w:p>
    <w:p w14:paraId="1984FFD3">
      <w:pPr>
        <w:tabs>
          <w:tab w:val="left" w:pos="735"/>
        </w:tabs>
        <w:autoSpaceDE w:val="0"/>
        <w:autoSpaceDN w:val="0"/>
        <w:adjustRightInd w:val="0"/>
        <w:snapToGrid w:val="0"/>
        <w:spacing w:line="500" w:lineRule="exact"/>
        <w:ind w:firstLine="631"/>
        <w:rPr>
          <w:rFonts w:ascii="仿宋" w:hAnsi="仿宋" w:eastAsia="仿宋"/>
          <w:color w:val="auto"/>
          <w:sz w:val="24"/>
          <w:highlight w:val="none"/>
        </w:rPr>
      </w:pPr>
      <w:r>
        <w:rPr>
          <w:rFonts w:hint="eastAsia" w:ascii="仿宋" w:hAnsi="仿宋" w:eastAsia="仿宋"/>
          <w:color w:val="auto"/>
          <w:sz w:val="24"/>
          <w:highlight w:val="none"/>
        </w:rPr>
        <w:t>1、付款比例：</w:t>
      </w:r>
    </w:p>
    <w:p w14:paraId="02694B19">
      <w:pPr>
        <w:widowControl/>
        <w:tabs>
          <w:tab w:val="left" w:pos="0"/>
        </w:tabs>
        <w:spacing w:line="360" w:lineRule="auto"/>
        <w:ind w:right="-1" w:firstLine="480" w:firstLineChars="200"/>
        <w:jc w:val="left"/>
        <w:rPr>
          <w:rFonts w:hint="eastAsia" w:ascii="宋体" w:hAnsi="宋体" w:cs="宋体"/>
          <w:bCs/>
          <w:color w:val="auto"/>
          <w:sz w:val="24"/>
          <w:highlight w:val="none"/>
        </w:rPr>
      </w:pPr>
      <w:r>
        <w:rPr>
          <w:rFonts w:ascii="仿宋" w:hAnsi="仿宋" w:eastAsia="仿宋"/>
          <w:color w:val="auto"/>
          <w:sz w:val="24"/>
          <w:highlight w:val="none"/>
        </w:rPr>
        <w:t>付款方式:</w:t>
      </w:r>
      <w:r>
        <w:rPr>
          <w:color w:val="auto"/>
          <w:highlight w:val="none"/>
        </w:rPr>
        <w:t xml:space="preserve"> </w:t>
      </w:r>
      <w:r>
        <w:rPr>
          <w:rFonts w:hint="eastAsia" w:ascii="仿宋" w:hAnsi="仿宋" w:eastAsia="仿宋"/>
          <w:color w:val="auto"/>
          <w:sz w:val="24"/>
          <w:highlight w:val="none"/>
        </w:rPr>
        <w:t>货物全部运到招标人指定地方，安装完毕并经终验合格后，招标人收到全额发票后支付百分之百（100%）货款</w:t>
      </w:r>
      <w:r>
        <w:rPr>
          <w:rFonts w:ascii="仿宋" w:hAnsi="仿宋" w:eastAsia="仿宋"/>
          <w:color w:val="auto"/>
          <w:sz w:val="24"/>
          <w:highlight w:val="none"/>
        </w:rPr>
        <w:t>。</w:t>
      </w:r>
    </w:p>
    <w:p w14:paraId="1352A575">
      <w:pPr>
        <w:autoSpaceDE w:val="0"/>
        <w:autoSpaceDN w:val="0"/>
        <w:adjustRightInd w:val="0"/>
        <w:snapToGrid w:val="0"/>
        <w:spacing w:line="500" w:lineRule="exact"/>
        <w:ind w:firstLine="645"/>
        <w:rPr>
          <w:rFonts w:ascii="仿宋" w:hAnsi="仿宋" w:eastAsia="仿宋"/>
          <w:color w:val="auto"/>
          <w:sz w:val="24"/>
          <w:highlight w:val="none"/>
        </w:rPr>
      </w:pPr>
      <w:r>
        <w:rPr>
          <w:rFonts w:ascii="仿宋" w:hAnsi="仿宋" w:eastAsia="仿宋"/>
          <w:color w:val="auto"/>
          <w:sz w:val="24"/>
          <w:highlight w:val="none"/>
        </w:rPr>
        <w:t>2、结算方式：银行转账。</w:t>
      </w:r>
    </w:p>
    <w:p w14:paraId="01D89119">
      <w:pPr>
        <w:autoSpaceDE w:val="0"/>
        <w:autoSpaceDN w:val="0"/>
        <w:adjustRightInd w:val="0"/>
        <w:snapToGrid w:val="0"/>
        <w:spacing w:line="500" w:lineRule="exact"/>
        <w:ind w:firstLine="645"/>
        <w:rPr>
          <w:rFonts w:ascii="仿宋" w:hAnsi="仿宋" w:eastAsia="仿宋"/>
          <w:color w:val="auto"/>
          <w:sz w:val="24"/>
          <w:highlight w:val="none"/>
        </w:rPr>
      </w:pPr>
      <w:r>
        <w:rPr>
          <w:rFonts w:hint="eastAsia" w:ascii="仿宋" w:hAnsi="仿宋" w:eastAsia="仿宋"/>
          <w:color w:val="auto"/>
          <w:sz w:val="24"/>
          <w:highlight w:val="none"/>
        </w:rPr>
        <w:t>3、结算单位：由</w:t>
      </w:r>
      <w:r>
        <w:rPr>
          <w:rFonts w:hint="eastAsia" w:ascii="仿宋" w:hAnsi="仿宋" w:eastAsia="仿宋"/>
          <w:color w:val="auto"/>
          <w:sz w:val="24"/>
          <w:highlight w:val="none"/>
          <w:u w:val="single"/>
        </w:rPr>
        <w:t xml:space="preserve"> 采购人 </w:t>
      </w:r>
      <w:r>
        <w:rPr>
          <w:rFonts w:hint="eastAsia" w:ascii="仿宋" w:hAnsi="仿宋" w:eastAsia="仿宋"/>
          <w:color w:val="auto"/>
          <w:sz w:val="24"/>
          <w:highlight w:val="none"/>
        </w:rPr>
        <w:t>负责结算，乙方开具合同总价数的全额发票交采购人。</w:t>
      </w:r>
    </w:p>
    <w:p w14:paraId="2796F797">
      <w:pPr>
        <w:tabs>
          <w:tab w:val="left" w:pos="735"/>
        </w:tabs>
        <w:autoSpaceDE w:val="0"/>
        <w:autoSpaceDN w:val="0"/>
        <w:adjustRightInd w:val="0"/>
        <w:snapToGrid w:val="0"/>
        <w:spacing w:line="500" w:lineRule="exact"/>
        <w:ind w:firstLine="631"/>
        <w:outlineLvl w:val="1"/>
        <w:rPr>
          <w:rFonts w:ascii="仿宋" w:hAnsi="仿宋" w:eastAsia="仿宋"/>
          <w:b/>
          <w:bCs/>
          <w:color w:val="auto"/>
          <w:sz w:val="24"/>
          <w:highlight w:val="none"/>
          <w:lang w:val="zh-CN"/>
        </w:rPr>
      </w:pPr>
      <w:bookmarkStart w:id="6" w:name="_Toc5700"/>
      <w:r>
        <w:rPr>
          <w:rFonts w:hint="eastAsia" w:ascii="仿宋" w:hAnsi="仿宋" w:eastAsia="仿宋"/>
          <w:b/>
          <w:bCs/>
          <w:color w:val="auto"/>
          <w:sz w:val="24"/>
          <w:highlight w:val="none"/>
          <w:lang w:val="zh-CN"/>
        </w:rPr>
        <w:t>四、交货条件:</w:t>
      </w:r>
      <w:bookmarkEnd w:id="6"/>
    </w:p>
    <w:p w14:paraId="05B1FBA2">
      <w:pPr>
        <w:tabs>
          <w:tab w:val="left" w:pos="735"/>
        </w:tabs>
        <w:autoSpaceDE w:val="0"/>
        <w:autoSpaceDN w:val="0"/>
        <w:adjustRightInd w:val="0"/>
        <w:snapToGrid w:val="0"/>
        <w:spacing w:line="500" w:lineRule="exact"/>
        <w:ind w:firstLine="631"/>
        <w:rPr>
          <w:rFonts w:ascii="仿宋" w:hAnsi="仿宋" w:eastAsia="仿宋"/>
          <w:color w:val="auto"/>
          <w:sz w:val="24"/>
          <w:highlight w:val="none"/>
        </w:rPr>
      </w:pPr>
      <w:r>
        <w:rPr>
          <w:rFonts w:hint="eastAsia" w:ascii="仿宋" w:hAnsi="仿宋" w:eastAsia="仿宋"/>
          <w:color w:val="auto"/>
          <w:sz w:val="24"/>
          <w:highlight w:val="none"/>
        </w:rPr>
        <w:t>1、交货地点：</w:t>
      </w:r>
      <w:r>
        <w:rPr>
          <w:rFonts w:hint="eastAsia" w:ascii="仿宋" w:hAnsi="仿宋" w:eastAsia="仿宋"/>
          <w:color w:val="auto"/>
          <w:sz w:val="24"/>
          <w:highlight w:val="none"/>
          <w:lang w:eastAsia="zh-CN"/>
        </w:rPr>
        <w:t>陕西财经职业技术学院</w:t>
      </w:r>
      <w:r>
        <w:rPr>
          <w:rFonts w:hint="eastAsia" w:ascii="仿宋" w:hAnsi="仿宋" w:eastAsia="仿宋"/>
          <w:color w:val="auto"/>
          <w:sz w:val="24"/>
          <w:highlight w:val="none"/>
        </w:rPr>
        <w:t>指定地点</w:t>
      </w:r>
    </w:p>
    <w:p w14:paraId="30BD0C16">
      <w:pPr>
        <w:autoSpaceDE w:val="0"/>
        <w:autoSpaceDN w:val="0"/>
        <w:adjustRightInd w:val="0"/>
        <w:snapToGrid w:val="0"/>
        <w:spacing w:line="500" w:lineRule="exact"/>
        <w:ind w:firstLine="645"/>
        <w:rPr>
          <w:rFonts w:hint="eastAsia" w:ascii="仿宋" w:hAnsi="仿宋" w:eastAsia="仿宋"/>
          <w:b w:val="0"/>
          <w:bCs w:val="0"/>
          <w:color w:val="auto"/>
          <w:sz w:val="24"/>
          <w:highlight w:val="none"/>
          <w:lang w:val="en-US" w:eastAsia="zh-CN"/>
        </w:rPr>
      </w:pPr>
      <w:r>
        <w:rPr>
          <w:rFonts w:ascii="仿宋" w:hAnsi="仿宋" w:eastAsia="仿宋"/>
          <w:b w:val="0"/>
          <w:bCs w:val="0"/>
          <w:color w:val="auto"/>
          <w:sz w:val="24"/>
          <w:highlight w:val="none"/>
        </w:rPr>
        <w:t>2、交货期：</w:t>
      </w:r>
      <w:r>
        <w:rPr>
          <w:rFonts w:hint="eastAsia" w:ascii="仿宋" w:hAnsi="仿宋" w:eastAsia="仿宋"/>
          <w:b w:val="0"/>
          <w:bCs w:val="0"/>
          <w:color w:val="auto"/>
          <w:sz w:val="24"/>
          <w:highlight w:val="none"/>
        </w:rPr>
        <w:t>合同签订之日起</w:t>
      </w:r>
      <w:r>
        <w:rPr>
          <w:rFonts w:hint="eastAsia" w:ascii="仿宋" w:hAnsi="仿宋" w:eastAsia="仿宋"/>
          <w:b w:val="0"/>
          <w:bCs w:val="0"/>
          <w:color w:val="auto"/>
          <w:sz w:val="24"/>
          <w:highlight w:val="none"/>
          <w:lang w:val="en-US" w:eastAsia="zh-CN"/>
        </w:rPr>
        <w:t>2个月</w:t>
      </w:r>
      <w:r>
        <w:rPr>
          <w:rFonts w:hint="eastAsia" w:ascii="仿宋" w:hAnsi="仿宋" w:eastAsia="仿宋"/>
          <w:b w:val="0"/>
          <w:bCs w:val="0"/>
          <w:color w:val="auto"/>
          <w:sz w:val="24"/>
          <w:highlight w:val="none"/>
        </w:rPr>
        <w:t>内完成</w:t>
      </w:r>
      <w:r>
        <w:rPr>
          <w:rFonts w:hint="eastAsia" w:ascii="仿宋" w:hAnsi="仿宋" w:eastAsia="仿宋"/>
          <w:b w:val="0"/>
          <w:bCs w:val="0"/>
          <w:color w:val="auto"/>
          <w:sz w:val="24"/>
          <w:highlight w:val="none"/>
          <w:lang w:val="en-US" w:eastAsia="zh-CN"/>
        </w:rPr>
        <w:t>。</w:t>
      </w:r>
    </w:p>
    <w:p w14:paraId="3799DFC7">
      <w:pPr>
        <w:adjustRightInd w:val="0"/>
        <w:snapToGrid w:val="0"/>
        <w:spacing w:line="360" w:lineRule="auto"/>
        <w:ind w:firstLine="646"/>
        <w:outlineLvl w:val="1"/>
        <w:rPr>
          <w:rFonts w:ascii="仿宋" w:hAnsi="仿宋" w:eastAsia="仿宋"/>
          <w:b/>
          <w:color w:val="auto"/>
          <w:sz w:val="24"/>
          <w:highlight w:val="none"/>
        </w:rPr>
      </w:pPr>
      <w:bookmarkStart w:id="7" w:name="_Toc18940"/>
      <w:r>
        <w:rPr>
          <w:rFonts w:hint="eastAsia" w:ascii="仿宋" w:hAnsi="仿宋" w:eastAsia="仿宋"/>
          <w:b/>
          <w:color w:val="auto"/>
          <w:sz w:val="24"/>
          <w:highlight w:val="none"/>
        </w:rPr>
        <w:t>五、运输</w:t>
      </w:r>
      <w:bookmarkEnd w:id="7"/>
    </w:p>
    <w:p w14:paraId="1E635057">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1、乙方负责所有货物的运输。确保货物安全、完整到达使用地点，运杂费用包含在总价内，包括货物从供货地点到使用地点的运输费、保险费、搬运费等。</w:t>
      </w:r>
    </w:p>
    <w:p w14:paraId="5A0D0FCD">
      <w:pPr>
        <w:adjustRightInd w:val="0"/>
        <w:snapToGrid w:val="0"/>
        <w:spacing w:line="360" w:lineRule="auto"/>
        <w:ind w:firstLine="645"/>
        <w:rPr>
          <w:rFonts w:hint="eastAsia" w:ascii="仿宋" w:hAnsi="仿宋" w:eastAsia="仿宋"/>
          <w:color w:val="auto"/>
          <w:sz w:val="24"/>
          <w:highlight w:val="none"/>
        </w:rPr>
      </w:pPr>
      <w:r>
        <w:rPr>
          <w:rFonts w:hint="eastAsia" w:ascii="仿宋" w:hAnsi="仿宋" w:eastAsia="仿宋"/>
          <w:color w:val="auto"/>
          <w:sz w:val="24"/>
          <w:highlight w:val="none"/>
        </w:rPr>
        <w:t>2、所有货物在运输、搬运、安装的过程中，造成甲方损失的，由乙方为甲方修复或更新。</w:t>
      </w:r>
    </w:p>
    <w:p w14:paraId="4EC4159A">
      <w:pPr>
        <w:adjustRightInd w:val="0"/>
        <w:snapToGrid w:val="0"/>
        <w:spacing w:line="360" w:lineRule="auto"/>
        <w:ind w:firstLine="645"/>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3、涉及的商品包装和快递包装，均应符合《商品包装政府采购需求标准（试行）》《快递包装政府采购需求标准（试行）》的要求，包装应适应于远距离运输、防潮、防震、防锈和防野蛮装卸，以确保货物安全无损运抵指定地点。</w:t>
      </w:r>
    </w:p>
    <w:p w14:paraId="3A927A43">
      <w:pPr>
        <w:adjustRightInd w:val="0"/>
        <w:snapToGrid w:val="0"/>
        <w:spacing w:line="360" w:lineRule="auto"/>
        <w:ind w:firstLine="645"/>
        <w:outlineLvl w:val="1"/>
        <w:rPr>
          <w:rFonts w:ascii="仿宋" w:hAnsi="仿宋" w:eastAsia="仿宋"/>
          <w:b/>
          <w:color w:val="auto"/>
          <w:sz w:val="24"/>
          <w:highlight w:val="none"/>
        </w:rPr>
      </w:pPr>
      <w:bookmarkStart w:id="8" w:name="_Toc22957"/>
      <w:r>
        <w:rPr>
          <w:rFonts w:hint="eastAsia" w:ascii="仿宋" w:hAnsi="仿宋" w:eastAsia="仿宋"/>
          <w:b/>
          <w:color w:val="auto"/>
          <w:sz w:val="24"/>
          <w:highlight w:val="none"/>
        </w:rPr>
        <w:t>六、</w:t>
      </w:r>
      <w:bookmarkEnd w:id="8"/>
      <w:r>
        <w:rPr>
          <w:rFonts w:hint="eastAsia" w:ascii="仿宋" w:hAnsi="仿宋" w:eastAsia="仿宋"/>
          <w:b/>
          <w:color w:val="auto"/>
          <w:sz w:val="24"/>
          <w:highlight w:val="none"/>
        </w:rPr>
        <w:t>质量保修范围和保修期</w:t>
      </w:r>
    </w:p>
    <w:p w14:paraId="34911444">
      <w:pPr>
        <w:adjustRightInd w:val="0"/>
        <w:snapToGrid w:val="0"/>
        <w:spacing w:line="360" w:lineRule="auto"/>
        <w:ind w:firstLine="645"/>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1、</w:t>
      </w:r>
      <w:r>
        <w:rPr>
          <w:rFonts w:hint="eastAsia" w:ascii="仿宋" w:hAnsi="仿宋" w:eastAsia="仿宋"/>
          <w:color w:val="auto"/>
          <w:sz w:val="24"/>
          <w:highlight w:val="none"/>
        </w:rPr>
        <w:t>自验收合格之日起，质保</w:t>
      </w:r>
      <w:r>
        <w:rPr>
          <w:rFonts w:hint="eastAsia" w:ascii="仿宋" w:hAnsi="仿宋" w:eastAsia="仿宋"/>
          <w:color w:val="auto"/>
          <w:sz w:val="24"/>
          <w:highlight w:val="none"/>
          <w:u w:val="single"/>
          <w:lang w:val="en-US" w:eastAsia="zh-CN"/>
        </w:rPr>
        <w:t xml:space="preserve">      </w:t>
      </w:r>
      <w:r>
        <w:rPr>
          <w:rFonts w:hint="eastAsia" w:ascii="仿宋" w:hAnsi="仿宋" w:eastAsia="仿宋"/>
          <w:color w:val="auto"/>
          <w:sz w:val="24"/>
          <w:highlight w:val="none"/>
        </w:rPr>
        <w:t>年。</w:t>
      </w:r>
    </w:p>
    <w:p w14:paraId="144F0BB9">
      <w:pPr>
        <w:adjustRightInd w:val="0"/>
        <w:snapToGrid w:val="0"/>
        <w:spacing w:line="360" w:lineRule="auto"/>
        <w:ind w:firstLine="645"/>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2、</w:t>
      </w:r>
      <w:r>
        <w:rPr>
          <w:rFonts w:hint="eastAsia" w:ascii="仿宋" w:hAnsi="仿宋" w:eastAsia="仿宋"/>
          <w:color w:val="auto"/>
          <w:sz w:val="24"/>
          <w:highlight w:val="none"/>
        </w:rPr>
        <w:t>维修响应时间：乙方接到故障报告后在2小时内响应，</w:t>
      </w:r>
      <w:r>
        <w:rPr>
          <w:rFonts w:hint="eastAsia" w:ascii="仿宋" w:hAnsi="仿宋" w:eastAsia="仿宋"/>
          <w:color w:val="auto"/>
          <w:sz w:val="24"/>
          <w:highlight w:val="none"/>
          <w:lang w:val="en-US" w:eastAsia="zh-CN"/>
        </w:rPr>
        <w:t>8</w:t>
      </w:r>
      <w:r>
        <w:rPr>
          <w:rFonts w:hint="eastAsia" w:ascii="仿宋" w:hAnsi="仿宋" w:eastAsia="仿宋"/>
          <w:color w:val="auto"/>
          <w:sz w:val="24"/>
          <w:highlight w:val="none"/>
        </w:rPr>
        <w:t>小时内到达现场（包括所</w:t>
      </w:r>
      <w:r>
        <w:rPr>
          <w:rFonts w:hint="eastAsia" w:ascii="仿宋" w:hAnsi="仿宋" w:eastAsia="仿宋"/>
          <w:color w:val="auto"/>
          <w:sz w:val="24"/>
          <w:highlight w:val="none"/>
          <w:lang w:val="en-US" w:eastAsia="zh-CN"/>
        </w:rPr>
        <w:t>有</w:t>
      </w:r>
      <w:r>
        <w:rPr>
          <w:rFonts w:hint="eastAsia" w:ascii="仿宋" w:hAnsi="仿宋" w:eastAsia="仿宋"/>
          <w:color w:val="auto"/>
          <w:sz w:val="24"/>
          <w:highlight w:val="none"/>
        </w:rPr>
        <w:t>节假日）。</w:t>
      </w:r>
    </w:p>
    <w:p w14:paraId="51F71639">
      <w:pPr>
        <w:adjustRightInd w:val="0"/>
        <w:snapToGrid w:val="0"/>
        <w:spacing w:line="360" w:lineRule="auto"/>
        <w:ind w:firstLine="645"/>
        <w:outlineLvl w:val="1"/>
        <w:rPr>
          <w:rFonts w:ascii="仿宋" w:hAnsi="仿宋" w:eastAsia="仿宋"/>
          <w:b/>
          <w:color w:val="auto"/>
          <w:sz w:val="24"/>
          <w:highlight w:val="none"/>
        </w:rPr>
      </w:pPr>
      <w:bookmarkStart w:id="9" w:name="_Toc22654"/>
      <w:r>
        <w:rPr>
          <w:rFonts w:hint="eastAsia" w:ascii="仿宋" w:hAnsi="仿宋" w:eastAsia="仿宋"/>
          <w:b/>
          <w:color w:val="auto"/>
          <w:sz w:val="24"/>
          <w:highlight w:val="none"/>
        </w:rPr>
        <w:t>七、技术服务</w:t>
      </w:r>
      <w:bookmarkEnd w:id="9"/>
    </w:p>
    <w:p w14:paraId="209DE11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1、对技术服务的要求：</w:t>
      </w:r>
    </w:p>
    <w:p w14:paraId="498375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2、技术资料：</w:t>
      </w:r>
    </w:p>
    <w:p w14:paraId="1F0152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2-1、产品合格证及检验报告；</w:t>
      </w:r>
    </w:p>
    <w:p w14:paraId="278EF7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2-2、产品使用说明书（中文）；</w:t>
      </w:r>
    </w:p>
    <w:p w14:paraId="083A750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2-3、中国商品检验局出具的商检合格证明；</w:t>
      </w:r>
    </w:p>
    <w:p w14:paraId="2029577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2-4、其它资料。</w:t>
      </w:r>
    </w:p>
    <w:p w14:paraId="04A041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3、技术培训：</w:t>
      </w:r>
    </w:p>
    <w:p w14:paraId="745BF9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3-1、培训内容：</w:t>
      </w:r>
    </w:p>
    <w:p w14:paraId="788DB5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3-2、培训地点：</w:t>
      </w:r>
    </w:p>
    <w:p w14:paraId="4C361DC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3-3、培训时间：</w:t>
      </w:r>
    </w:p>
    <w:p w14:paraId="16CF89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olor w:val="auto"/>
          <w:sz w:val="24"/>
          <w:highlight w:val="none"/>
        </w:rPr>
      </w:pPr>
      <w:r>
        <w:rPr>
          <w:rFonts w:hint="eastAsia" w:ascii="仿宋" w:hAnsi="仿宋" w:eastAsia="仿宋"/>
          <w:color w:val="auto"/>
          <w:sz w:val="24"/>
          <w:highlight w:val="none"/>
        </w:rPr>
        <w:t>3-4、培训人数：</w:t>
      </w:r>
    </w:p>
    <w:p w14:paraId="6CC5365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olor w:val="auto"/>
          <w:sz w:val="24"/>
          <w:highlight w:val="none"/>
        </w:rPr>
      </w:pPr>
      <w:r>
        <w:rPr>
          <w:rFonts w:hint="eastAsia" w:ascii="仿宋" w:hAnsi="仿宋" w:eastAsia="仿宋"/>
          <w:color w:val="auto"/>
          <w:sz w:val="24"/>
          <w:highlight w:val="none"/>
        </w:rPr>
        <w:t>4、售后服务</w:t>
      </w:r>
    </w:p>
    <w:p w14:paraId="3D6320F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olor w:val="auto"/>
          <w:sz w:val="24"/>
          <w:highlight w:val="none"/>
          <w:lang w:eastAsia="zh-CN"/>
        </w:rPr>
      </w:pPr>
      <w:r>
        <w:rPr>
          <w:rFonts w:hint="eastAsia" w:ascii="仿宋" w:hAnsi="仿宋" w:eastAsia="仿宋"/>
          <w:color w:val="auto"/>
          <w:sz w:val="24"/>
          <w:highlight w:val="none"/>
        </w:rPr>
        <w:t>4-1、乙方在接到甲方保修电话故障通知后在</w:t>
      </w:r>
      <w:r>
        <w:rPr>
          <w:rFonts w:hint="eastAsia" w:ascii="仿宋" w:hAnsi="仿宋" w:eastAsia="仿宋"/>
          <w:color w:val="auto"/>
          <w:sz w:val="24"/>
          <w:highlight w:val="none"/>
          <w:u w:val="single"/>
          <w:lang w:val="en-US" w:eastAsia="zh-CN"/>
        </w:rPr>
        <w:t>2</w:t>
      </w:r>
      <w:r>
        <w:rPr>
          <w:rFonts w:hint="eastAsia" w:ascii="仿宋" w:hAnsi="仿宋" w:eastAsia="仿宋"/>
          <w:color w:val="auto"/>
          <w:sz w:val="24"/>
          <w:highlight w:val="none"/>
        </w:rPr>
        <w:t>小时内</w:t>
      </w:r>
      <w:r>
        <w:rPr>
          <w:rFonts w:hint="eastAsia" w:ascii="仿宋" w:hAnsi="仿宋" w:eastAsia="仿宋"/>
          <w:color w:val="auto"/>
          <w:sz w:val="24"/>
          <w:highlight w:val="none"/>
          <w:lang w:val="en-US" w:eastAsia="zh-CN"/>
        </w:rPr>
        <w:t>响应，</w:t>
      </w:r>
      <w:r>
        <w:rPr>
          <w:rFonts w:hint="eastAsia" w:ascii="仿宋" w:hAnsi="仿宋" w:eastAsia="仿宋"/>
          <w:color w:val="auto"/>
          <w:sz w:val="24"/>
          <w:highlight w:val="none"/>
          <w:u w:val="single"/>
          <w:lang w:val="en-US" w:eastAsia="zh-CN"/>
        </w:rPr>
        <w:t>8</w:t>
      </w:r>
      <w:r>
        <w:rPr>
          <w:rFonts w:hint="eastAsia" w:ascii="仿宋" w:hAnsi="仿宋" w:eastAsia="仿宋"/>
          <w:color w:val="auto"/>
          <w:sz w:val="24"/>
          <w:highlight w:val="none"/>
        </w:rPr>
        <w:t>小时内派出合格的维修人员到达现场进行维修服务，承担相应费用</w:t>
      </w:r>
      <w:r>
        <w:rPr>
          <w:rFonts w:hint="eastAsia" w:ascii="仿宋" w:hAnsi="仿宋" w:eastAsia="仿宋"/>
          <w:color w:val="auto"/>
          <w:sz w:val="24"/>
          <w:highlight w:val="none"/>
          <w:lang w:eastAsia="zh-CN"/>
        </w:rPr>
        <w:t>。</w:t>
      </w:r>
    </w:p>
    <w:p w14:paraId="1C915A52">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4-2、如果乙方在收到通知后2天内没有弥补缺陷，甲方可采取必要的补救措施，但其风险和费用将由乙方承担，甲方根据合同规定对乙方行使的其它权力不受影响。甲方亦可从</w:t>
      </w:r>
      <w:r>
        <w:rPr>
          <w:rFonts w:hint="eastAsia" w:ascii="仿宋" w:hAnsi="仿宋" w:eastAsia="仿宋"/>
          <w:color w:val="auto"/>
          <w:sz w:val="24"/>
          <w:highlight w:val="none"/>
          <w:lang w:val="en-US" w:eastAsia="zh-CN"/>
        </w:rPr>
        <w:t>合同总价款</w:t>
      </w:r>
      <w:r>
        <w:rPr>
          <w:rFonts w:hint="eastAsia" w:ascii="仿宋" w:hAnsi="仿宋" w:eastAsia="仿宋"/>
          <w:color w:val="auto"/>
          <w:sz w:val="24"/>
          <w:highlight w:val="none"/>
        </w:rPr>
        <w:t>中扣回索赔金额。</w:t>
      </w:r>
    </w:p>
    <w:p w14:paraId="01567798">
      <w:pPr>
        <w:snapToGrid w:val="0"/>
        <w:spacing w:line="360" w:lineRule="auto"/>
        <w:ind w:left="645"/>
        <w:rPr>
          <w:rFonts w:ascii="仿宋" w:hAnsi="仿宋" w:eastAsia="仿宋"/>
          <w:color w:val="auto"/>
          <w:sz w:val="24"/>
          <w:highlight w:val="none"/>
        </w:rPr>
      </w:pPr>
      <w:r>
        <w:rPr>
          <w:rFonts w:hint="eastAsia" w:ascii="仿宋" w:hAnsi="仿宋" w:eastAsia="仿宋"/>
          <w:color w:val="auto"/>
          <w:sz w:val="24"/>
          <w:highlight w:val="none"/>
        </w:rPr>
        <w:t>5、伴随服务</w:t>
      </w:r>
    </w:p>
    <w:p w14:paraId="0A855451">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5-1、乙方应随同每套货物提供相应的中文的技术文件。</w:t>
      </w:r>
    </w:p>
    <w:p w14:paraId="2AE5478A">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5-1-1、完整的操作使用手册和维护、修理技术文件，图纸、保修卡等。</w:t>
      </w:r>
    </w:p>
    <w:p w14:paraId="7244EEC5">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5-1-2、制造厂的检验、测试报告、检验合格证书，计量合格等级证书，质量保证书等文件须随产品装箱提供。</w:t>
      </w:r>
    </w:p>
    <w:p w14:paraId="15A69817">
      <w:pPr>
        <w:snapToGrid w:val="0"/>
        <w:spacing w:line="360" w:lineRule="auto"/>
        <w:ind w:firstLine="480" w:firstLineChars="200"/>
        <w:rPr>
          <w:rFonts w:hint="eastAsia" w:ascii="仿宋" w:hAnsi="仿宋" w:eastAsia="仿宋"/>
          <w:color w:val="auto"/>
          <w:sz w:val="24"/>
          <w:highlight w:val="none"/>
          <w:lang w:eastAsia="zh-CN"/>
        </w:rPr>
      </w:pPr>
      <w:r>
        <w:rPr>
          <w:rFonts w:hint="eastAsia" w:ascii="仿宋" w:hAnsi="仿宋" w:eastAsia="仿宋"/>
          <w:color w:val="auto"/>
          <w:sz w:val="24"/>
          <w:highlight w:val="none"/>
        </w:rPr>
        <w:t>5-1-3、</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提供以下技术资料两套（其费用应包括在</w:t>
      </w:r>
      <w:r>
        <w:rPr>
          <w:rFonts w:hint="eastAsia" w:ascii="仿宋" w:hAnsi="仿宋" w:eastAsia="仿宋" w:cs="仿宋"/>
          <w:color w:val="auto"/>
          <w:sz w:val="24"/>
          <w:szCs w:val="24"/>
          <w:highlight w:val="none"/>
          <w:lang w:val="en-US" w:eastAsia="zh-CN"/>
        </w:rPr>
        <w:t>合同总价</w:t>
      </w:r>
      <w:r>
        <w:rPr>
          <w:rFonts w:hint="eastAsia" w:ascii="仿宋" w:hAnsi="仿宋" w:eastAsia="仿宋" w:cs="仿宋"/>
          <w:color w:val="auto"/>
          <w:sz w:val="24"/>
          <w:szCs w:val="24"/>
          <w:highlight w:val="none"/>
        </w:rPr>
        <w:t>内），提供产品检验合格证书、质量保证书等文件</w:t>
      </w:r>
      <w:r>
        <w:rPr>
          <w:rFonts w:hint="eastAsia" w:ascii="仿宋" w:hAnsi="仿宋" w:eastAsia="仿宋" w:cs="仿宋"/>
          <w:color w:val="auto"/>
          <w:sz w:val="24"/>
          <w:szCs w:val="24"/>
          <w:highlight w:val="none"/>
          <w:lang w:eastAsia="zh-CN"/>
        </w:rPr>
        <w:t>。</w:t>
      </w:r>
    </w:p>
    <w:p w14:paraId="519B44CA">
      <w:pPr>
        <w:snapToGrid w:val="0"/>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lang w:val="en-US" w:eastAsia="zh-CN"/>
        </w:rPr>
        <w:t>5-1-4、</w:t>
      </w:r>
      <w:r>
        <w:rPr>
          <w:rFonts w:hint="eastAsia" w:ascii="仿宋" w:hAnsi="仿宋" w:eastAsia="仿宋"/>
          <w:color w:val="auto"/>
          <w:sz w:val="24"/>
          <w:highlight w:val="none"/>
        </w:rPr>
        <w:t>必须的其它技术资料。</w:t>
      </w:r>
    </w:p>
    <w:p w14:paraId="39F1CFF1">
      <w:pPr>
        <w:snapToGrid w:val="0"/>
        <w:spacing w:line="360" w:lineRule="auto"/>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5-2、伴随服务的费用已含在合同价中，不单独进行支付。</w:t>
      </w:r>
    </w:p>
    <w:p w14:paraId="59B0D449">
      <w:pPr>
        <w:adjustRightInd w:val="0"/>
        <w:snapToGrid w:val="0"/>
        <w:spacing w:line="360" w:lineRule="auto"/>
        <w:ind w:firstLine="645"/>
        <w:outlineLvl w:val="1"/>
        <w:rPr>
          <w:rFonts w:ascii="仿宋" w:hAnsi="仿宋" w:eastAsia="仿宋"/>
          <w:b/>
          <w:color w:val="auto"/>
          <w:sz w:val="24"/>
          <w:highlight w:val="none"/>
        </w:rPr>
      </w:pPr>
      <w:bookmarkStart w:id="10" w:name="_Toc1803"/>
      <w:r>
        <w:rPr>
          <w:rFonts w:hint="eastAsia" w:ascii="仿宋" w:hAnsi="仿宋" w:eastAsia="仿宋"/>
          <w:b/>
          <w:color w:val="auto"/>
          <w:sz w:val="24"/>
          <w:highlight w:val="none"/>
        </w:rPr>
        <w:t>八、</w:t>
      </w:r>
      <w:bookmarkEnd w:id="10"/>
      <w:r>
        <w:rPr>
          <w:rFonts w:hint="eastAsia" w:ascii="仿宋" w:hAnsi="仿宋" w:eastAsia="仿宋"/>
          <w:b/>
          <w:color w:val="auto"/>
          <w:sz w:val="24"/>
          <w:highlight w:val="none"/>
        </w:rPr>
        <w:t>验收交付标准和方法</w:t>
      </w:r>
    </w:p>
    <w:p w14:paraId="208ABA46">
      <w:pPr>
        <w:tabs>
          <w:tab w:val="left" w:pos="8400"/>
        </w:tabs>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1、</w:t>
      </w:r>
      <w:r>
        <w:rPr>
          <w:rFonts w:hint="eastAsia" w:ascii="仿宋" w:hAnsi="仿宋" w:eastAsia="仿宋"/>
          <w:color w:val="auto"/>
          <w:sz w:val="24"/>
          <w:highlight w:val="none"/>
        </w:rPr>
        <w:t>乙方提供的设备要求：自出厂日期当月起2年内的全新设备。（到货时验收出厂日期，日期不符合甲方有权拒收）。</w:t>
      </w:r>
    </w:p>
    <w:p w14:paraId="31F9EBB9">
      <w:pPr>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2、</w:t>
      </w:r>
      <w:r>
        <w:rPr>
          <w:rFonts w:hint="eastAsia" w:ascii="仿宋" w:hAnsi="仿宋" w:eastAsia="仿宋" w:cs="仿宋"/>
          <w:color w:val="auto"/>
          <w:sz w:val="24"/>
          <w:szCs w:val="24"/>
          <w:highlight w:val="none"/>
        </w:rPr>
        <w:t>在货物到达</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后，在</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相关管理人员在场的情况下双方进行初步验收，开箱清点、确认规格、型号和数量等。由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承担因此发生的一切费用</w:t>
      </w:r>
      <w:r>
        <w:rPr>
          <w:rFonts w:hint="eastAsia" w:ascii="仿宋" w:hAnsi="仿宋" w:eastAsia="仿宋"/>
          <w:color w:val="auto"/>
          <w:sz w:val="24"/>
          <w:highlight w:val="none"/>
        </w:rPr>
        <w:t>。</w:t>
      </w:r>
    </w:p>
    <w:p w14:paraId="3325FEFB">
      <w:pPr>
        <w:snapToGrid w:val="0"/>
        <w:spacing w:line="360" w:lineRule="auto"/>
        <w:ind w:right="-94" w:rightChars="0" w:firstLine="480" w:firstLineChars="200"/>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3、</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期间</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应派遣服务工程师参加全过程的服务,派遣服务工程师的有关费</w:t>
      </w:r>
      <w:r>
        <w:rPr>
          <w:rFonts w:hint="eastAsia" w:ascii="仿宋" w:hAnsi="仿宋" w:eastAsia="仿宋" w:cs="仿宋"/>
          <w:color w:val="auto"/>
          <w:sz w:val="24"/>
          <w:szCs w:val="24"/>
          <w:highlight w:val="none"/>
          <w:lang w:val="en-US" w:eastAsia="zh-CN"/>
        </w:rPr>
        <w:t>用</w:t>
      </w:r>
      <w:r>
        <w:rPr>
          <w:rFonts w:hint="eastAsia" w:ascii="仿宋" w:hAnsi="仿宋" w:eastAsia="仿宋" w:cs="仿宋"/>
          <w:color w:val="auto"/>
          <w:sz w:val="24"/>
          <w:szCs w:val="24"/>
          <w:highlight w:val="none"/>
        </w:rPr>
        <w:t>由其自行承担。</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rPr>
        <w:t>超时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须赔偿</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由此造成的损失（标准参照日常运行收入双方商议）</w:t>
      </w:r>
      <w:r>
        <w:rPr>
          <w:rFonts w:hint="eastAsia" w:ascii="仿宋" w:hAnsi="仿宋" w:eastAsia="仿宋"/>
          <w:color w:val="auto"/>
          <w:sz w:val="24"/>
          <w:highlight w:val="none"/>
          <w:lang w:val="en-US" w:eastAsia="zh-CN"/>
        </w:rPr>
        <w:t>。</w:t>
      </w:r>
    </w:p>
    <w:p w14:paraId="48BBE987">
      <w:pPr>
        <w:spacing w:line="360" w:lineRule="auto"/>
        <w:ind w:firstLine="480" w:firstLineChars="200"/>
        <w:rPr>
          <w:rFonts w:hint="eastAsia" w:ascii="仿宋" w:hAnsi="仿宋" w:eastAsia="仿宋"/>
          <w:color w:val="auto"/>
          <w:sz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安装调试后设备的各种性能和参数应满足招标文件相关规定的技术要求</w:t>
      </w:r>
      <w:r>
        <w:rPr>
          <w:rFonts w:hint="eastAsia" w:ascii="仿宋" w:hAnsi="仿宋" w:eastAsia="仿宋" w:cs="仿宋"/>
          <w:color w:val="auto"/>
          <w:sz w:val="24"/>
          <w:szCs w:val="24"/>
          <w:highlight w:val="none"/>
          <w:lang w:eastAsia="zh-CN"/>
        </w:rPr>
        <w:t>。</w:t>
      </w:r>
    </w:p>
    <w:p w14:paraId="489A22C1">
      <w:pPr>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5、</w:t>
      </w:r>
      <w:r>
        <w:rPr>
          <w:rFonts w:hint="eastAsia" w:ascii="仿宋" w:hAnsi="仿宋" w:eastAsia="仿宋"/>
          <w:color w:val="auto"/>
          <w:sz w:val="24"/>
          <w:highlight w:val="none"/>
        </w:rPr>
        <w:t>甲方确认乙方的自检内容后，进行最终验收，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lang w:val="en-US" w:eastAsia="zh-CN"/>
        </w:rPr>
        <w:t>须</w:t>
      </w:r>
      <w:r>
        <w:rPr>
          <w:rFonts w:hint="eastAsia" w:ascii="仿宋" w:hAnsi="仿宋" w:eastAsia="仿宋" w:cs="仿宋"/>
          <w:color w:val="auto"/>
          <w:sz w:val="24"/>
          <w:szCs w:val="24"/>
          <w:highlight w:val="none"/>
        </w:rPr>
        <w:t>协助</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完成验收工作并承担由此产生的一切费用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同时</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提供相应验收资质文件</w:t>
      </w:r>
      <w:r>
        <w:rPr>
          <w:rFonts w:hint="eastAsia" w:ascii="仿宋" w:hAnsi="仿宋" w:eastAsia="仿宋" w:cs="仿宋"/>
          <w:color w:val="auto"/>
          <w:sz w:val="24"/>
          <w:szCs w:val="24"/>
          <w:highlight w:val="none"/>
          <w:lang w:eastAsia="zh-CN"/>
        </w:rPr>
        <w:t>，</w:t>
      </w:r>
      <w:r>
        <w:rPr>
          <w:rFonts w:hint="eastAsia" w:ascii="仿宋" w:hAnsi="仿宋" w:eastAsia="仿宋"/>
          <w:color w:val="auto"/>
          <w:sz w:val="24"/>
          <w:highlight w:val="none"/>
        </w:rPr>
        <w:t>验收合格后，填写验收单作为对货物的最终认可</w:t>
      </w:r>
      <w:r>
        <w:rPr>
          <w:rFonts w:hint="eastAsia" w:ascii="仿宋" w:hAnsi="仿宋" w:eastAsia="仿宋"/>
          <w:color w:val="auto"/>
          <w:sz w:val="24"/>
          <w:highlight w:val="none"/>
          <w:lang w:eastAsia="zh-CN"/>
        </w:rPr>
        <w:t>，</w:t>
      </w:r>
      <w:r>
        <w:rPr>
          <w:rFonts w:hint="eastAsia" w:ascii="仿宋" w:hAnsi="仿宋" w:eastAsia="仿宋" w:cs="仿宋"/>
          <w:color w:val="auto"/>
          <w:sz w:val="24"/>
          <w:szCs w:val="24"/>
          <w:highlight w:val="none"/>
        </w:rPr>
        <w:t>设备及相关资料交付</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保管</w:t>
      </w:r>
      <w:r>
        <w:rPr>
          <w:rFonts w:hint="eastAsia" w:ascii="仿宋" w:hAnsi="仿宋" w:eastAsia="仿宋"/>
          <w:color w:val="auto"/>
          <w:sz w:val="24"/>
          <w:highlight w:val="none"/>
        </w:rPr>
        <w:t>。</w:t>
      </w:r>
    </w:p>
    <w:p w14:paraId="29505582">
      <w:pPr>
        <w:snapToGrid w:val="0"/>
        <w:spacing w:line="360" w:lineRule="auto"/>
        <w:ind w:right="-9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6、</w:t>
      </w:r>
      <w:r>
        <w:rPr>
          <w:rFonts w:hint="eastAsia" w:ascii="仿宋" w:hAnsi="仿宋" w:eastAsia="仿宋"/>
          <w:color w:val="auto"/>
          <w:sz w:val="24"/>
          <w:highlight w:val="none"/>
        </w:rPr>
        <w:t>乙方向甲方提交货物实施过程中的所有资料，以便甲方日后管理和维护。</w:t>
      </w:r>
    </w:p>
    <w:p w14:paraId="20EB126D">
      <w:pPr>
        <w:snapToGrid w:val="0"/>
        <w:spacing w:line="360" w:lineRule="auto"/>
        <w:ind w:right="-314" w:rightChars="0"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7、</w:t>
      </w:r>
      <w:r>
        <w:rPr>
          <w:rFonts w:hint="eastAsia" w:ascii="仿宋" w:hAnsi="仿宋" w:eastAsia="仿宋"/>
          <w:color w:val="auto"/>
          <w:sz w:val="24"/>
          <w:highlight w:val="none"/>
        </w:rPr>
        <w:t>若合同设备外箱包装受损、包装箱件数不符、设备有质量或技术问题，乙方应按照甲方要求，采取补足、更换或退货处理措施，并承担由此发生的一切损失和费用。</w:t>
      </w:r>
    </w:p>
    <w:p w14:paraId="02B6A381">
      <w:pPr>
        <w:snapToGrid w:val="0"/>
        <w:spacing w:line="360" w:lineRule="auto"/>
        <w:ind w:right="893"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lang w:val="en-US" w:eastAsia="zh-CN"/>
        </w:rPr>
        <w:t>8、</w:t>
      </w:r>
      <w:r>
        <w:rPr>
          <w:rFonts w:hint="eastAsia" w:ascii="仿宋" w:hAnsi="仿宋" w:eastAsia="仿宋"/>
          <w:color w:val="auto"/>
          <w:sz w:val="24"/>
          <w:highlight w:val="none"/>
        </w:rPr>
        <w:t>验收依据：合同正文、合同附件、招标文件、投标文件。</w:t>
      </w:r>
    </w:p>
    <w:p w14:paraId="3853A6F3">
      <w:pPr>
        <w:snapToGrid w:val="0"/>
        <w:spacing w:line="360" w:lineRule="auto"/>
        <w:ind w:right="-314" w:rightChars="0" w:firstLine="480" w:firstLineChars="200"/>
        <w:rPr>
          <w:rFonts w:hint="eastAsia"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 xml:space="preserve">9、技术履约验收内容：参照招标文件、投标文件技术参数部分和国家、地方所关标准 。    </w:t>
      </w:r>
    </w:p>
    <w:p w14:paraId="03E42695">
      <w:pPr>
        <w:snapToGrid w:val="0"/>
        <w:spacing w:line="360" w:lineRule="auto"/>
        <w:ind w:right="-94" w:rightChars="0" w:firstLine="480" w:firstLineChars="200"/>
        <w:rPr>
          <w:rFonts w:hint="default" w:ascii="仿宋" w:hAnsi="仿宋" w:eastAsia="仿宋"/>
          <w:color w:val="auto"/>
          <w:sz w:val="24"/>
          <w:highlight w:val="none"/>
          <w:lang w:val="en-US" w:eastAsia="zh-CN"/>
        </w:rPr>
      </w:pPr>
      <w:r>
        <w:rPr>
          <w:rFonts w:hint="eastAsia" w:ascii="仿宋" w:hAnsi="仿宋" w:eastAsia="仿宋"/>
          <w:color w:val="auto"/>
          <w:sz w:val="24"/>
          <w:highlight w:val="none"/>
          <w:lang w:val="en-US" w:eastAsia="zh-CN"/>
        </w:rPr>
        <w:t>10、商务履约验收内容：参照投标文件商务</w:t>
      </w:r>
      <w:bookmarkStart w:id="14" w:name="_GoBack"/>
      <w:bookmarkEnd w:id="14"/>
      <w:r>
        <w:rPr>
          <w:rFonts w:hint="eastAsia" w:ascii="仿宋" w:hAnsi="仿宋" w:eastAsia="仿宋"/>
          <w:color w:val="auto"/>
          <w:sz w:val="24"/>
          <w:highlight w:val="none"/>
          <w:lang w:val="en-US" w:eastAsia="zh-CN"/>
        </w:rPr>
        <w:t>响应内容及甲方相关要求。</w:t>
      </w:r>
    </w:p>
    <w:p w14:paraId="2C4E93BE">
      <w:pPr>
        <w:adjustRightInd w:val="0"/>
        <w:snapToGrid w:val="0"/>
        <w:spacing w:line="360" w:lineRule="auto"/>
        <w:ind w:left="645"/>
        <w:outlineLvl w:val="1"/>
        <w:rPr>
          <w:rFonts w:ascii="仿宋" w:hAnsi="仿宋" w:eastAsia="仿宋"/>
          <w:b/>
          <w:color w:val="auto"/>
          <w:sz w:val="24"/>
          <w:highlight w:val="none"/>
        </w:rPr>
      </w:pPr>
      <w:bookmarkStart w:id="11" w:name="_Toc7253"/>
      <w:r>
        <w:rPr>
          <w:rFonts w:hint="eastAsia" w:ascii="仿宋" w:hAnsi="仿宋" w:eastAsia="仿宋"/>
          <w:b/>
          <w:color w:val="auto"/>
          <w:sz w:val="24"/>
          <w:highlight w:val="none"/>
        </w:rPr>
        <w:t>九、</w:t>
      </w:r>
      <w:bookmarkEnd w:id="11"/>
      <w:r>
        <w:rPr>
          <w:rFonts w:hint="eastAsia" w:ascii="仿宋" w:hAnsi="仿宋" w:eastAsia="仿宋"/>
          <w:b/>
          <w:color w:val="auto"/>
          <w:sz w:val="24"/>
          <w:highlight w:val="none"/>
        </w:rPr>
        <w:t>违约责任与解决争议的方法</w:t>
      </w:r>
    </w:p>
    <w:p w14:paraId="5155DD79">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 xml:space="preserve"> （一）违约责任:</w:t>
      </w:r>
    </w:p>
    <w:p w14:paraId="119C61F6">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1、按《中华人民共和国政府采购法》、《中华人民共和国民法典》中的相关条款执行。</w:t>
      </w:r>
    </w:p>
    <w:p w14:paraId="137B8400">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2、乙方逾期交货，每逾期一天应支付合同总额0.5%的违约金，直至交货为止。逾期交货超过20天，甲方有权终止合同。</w:t>
      </w:r>
    </w:p>
    <w:p w14:paraId="297260D8">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3、未按合同要求提供货物或质量不能满足要求，乙方必须无条件更换，提高技术，完善质量，否则，甲方有权终止合同。</w:t>
      </w:r>
    </w:p>
    <w:p w14:paraId="6A55AAF4">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（二）解决争议的方法:</w:t>
      </w:r>
    </w:p>
    <w:p w14:paraId="59045DAC">
      <w:p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本合同在履行过程中发生的争议，由甲、乙双方当事人协商解决，协商不成的提交甲方所在地人民法院起诉。</w:t>
      </w:r>
    </w:p>
    <w:p w14:paraId="335961C3">
      <w:pPr>
        <w:numPr>
          <w:ilvl w:val="0"/>
          <w:numId w:val="1"/>
        </w:numPr>
        <w:adjustRightInd w:val="0"/>
        <w:snapToGrid w:val="0"/>
        <w:spacing w:line="360" w:lineRule="auto"/>
        <w:ind w:firstLine="645"/>
        <w:rPr>
          <w:rFonts w:hint="eastAsia" w:ascii="仿宋" w:hAnsi="仿宋" w:eastAsia="仿宋" w:cs="Times New Roman"/>
          <w:color w:val="auto"/>
          <w:kern w:val="2"/>
          <w:sz w:val="24"/>
          <w:szCs w:val="24"/>
          <w:highlight w:val="none"/>
          <w:lang w:val="en-US" w:eastAsia="zh-CN" w:bidi="ar-SA"/>
        </w:rPr>
      </w:pPr>
      <w:r>
        <w:rPr>
          <w:rFonts w:hint="eastAsia" w:ascii="仿宋" w:hAnsi="仿宋" w:eastAsia="仿宋" w:cs="Times New Roman"/>
          <w:color w:val="auto"/>
          <w:kern w:val="2"/>
          <w:sz w:val="24"/>
          <w:szCs w:val="24"/>
          <w:highlight w:val="none"/>
          <w:lang w:val="en-US" w:eastAsia="zh-CN" w:bidi="ar-SA"/>
        </w:rPr>
        <w:t>合同其他条款：</w:t>
      </w:r>
    </w:p>
    <w:p w14:paraId="32A03008">
      <w:pPr>
        <w:numPr>
          <w:ilvl w:val="0"/>
          <w:numId w:val="0"/>
        </w:numPr>
        <w:adjustRightInd w:val="0"/>
        <w:snapToGrid w:val="0"/>
        <w:spacing w:line="360" w:lineRule="auto"/>
        <w:ind w:firstLine="720" w:firstLineChars="300"/>
        <w:rPr>
          <w:rFonts w:ascii="仿宋" w:hAnsi="仿宋" w:eastAsia="仿宋"/>
          <w:color w:val="auto"/>
          <w:sz w:val="24"/>
          <w:highlight w:val="none"/>
        </w:rPr>
      </w:pPr>
      <w:r>
        <w:rPr>
          <w:rFonts w:hint="eastAsia" w:ascii="仿宋" w:hAnsi="仿宋" w:eastAsia="仿宋" w:cs="Times New Roman"/>
          <w:color w:val="auto"/>
          <w:kern w:val="2"/>
          <w:sz w:val="24"/>
          <w:szCs w:val="24"/>
          <w:highlight w:val="none"/>
          <w:lang w:val="en-US" w:eastAsia="zh-CN" w:bidi="ar-SA"/>
        </w:rPr>
        <w:t>如遇不可抗力导致无法履行合同约定的内容，甲方有权终止或修改合同。</w:t>
      </w:r>
    </w:p>
    <w:p w14:paraId="1A918767">
      <w:pPr>
        <w:adjustRightInd w:val="0"/>
        <w:snapToGrid w:val="0"/>
        <w:spacing w:line="360" w:lineRule="auto"/>
        <w:ind w:firstLine="645"/>
        <w:outlineLvl w:val="1"/>
        <w:rPr>
          <w:rFonts w:ascii="仿宋" w:hAnsi="仿宋" w:eastAsia="仿宋"/>
          <w:b/>
          <w:color w:val="auto"/>
          <w:sz w:val="24"/>
          <w:highlight w:val="none"/>
        </w:rPr>
      </w:pPr>
      <w:bookmarkStart w:id="12" w:name="_Toc21462"/>
      <w:r>
        <w:rPr>
          <w:rFonts w:hint="eastAsia" w:ascii="仿宋" w:hAnsi="仿宋" w:eastAsia="仿宋"/>
          <w:b/>
          <w:color w:val="auto"/>
          <w:sz w:val="24"/>
          <w:highlight w:val="none"/>
        </w:rPr>
        <w:t>十、合同组成</w:t>
      </w:r>
      <w:bookmarkEnd w:id="12"/>
    </w:p>
    <w:p w14:paraId="53955849">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1、中标通知书</w:t>
      </w:r>
    </w:p>
    <w:p w14:paraId="384AFF23">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2、合同文件</w:t>
      </w:r>
    </w:p>
    <w:p w14:paraId="521C2A14">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3、国家相关规范及标准</w:t>
      </w:r>
    </w:p>
    <w:p w14:paraId="703833AE">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4、供货产品技术规格及参数表</w:t>
      </w:r>
    </w:p>
    <w:p w14:paraId="650CD06A">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5、招标文件</w:t>
      </w:r>
    </w:p>
    <w:p w14:paraId="155BC0AE">
      <w:pPr>
        <w:adjustRightInd w:val="0"/>
        <w:snapToGrid w:val="0"/>
        <w:spacing w:line="360" w:lineRule="auto"/>
        <w:ind w:firstLine="645"/>
        <w:rPr>
          <w:rFonts w:ascii="仿宋" w:hAnsi="仿宋" w:eastAsia="仿宋"/>
          <w:color w:val="auto"/>
          <w:sz w:val="24"/>
          <w:highlight w:val="none"/>
        </w:rPr>
      </w:pPr>
      <w:r>
        <w:rPr>
          <w:rFonts w:hint="eastAsia" w:ascii="仿宋" w:hAnsi="仿宋" w:eastAsia="仿宋"/>
          <w:color w:val="auto"/>
          <w:sz w:val="24"/>
          <w:highlight w:val="none"/>
        </w:rPr>
        <w:t>6、投标文件</w:t>
      </w:r>
    </w:p>
    <w:p w14:paraId="66E56245">
      <w:pPr>
        <w:widowControl/>
        <w:autoSpaceDE w:val="0"/>
        <w:autoSpaceDN w:val="0"/>
        <w:snapToGrid w:val="0"/>
        <w:spacing w:line="360" w:lineRule="auto"/>
        <w:ind w:right="893" w:firstLine="472" w:firstLineChars="196"/>
        <w:textAlignment w:val="bottom"/>
        <w:outlineLvl w:val="1"/>
        <w:rPr>
          <w:rFonts w:ascii="仿宋" w:hAnsi="仿宋" w:eastAsia="仿宋"/>
          <w:b/>
          <w:color w:val="auto"/>
          <w:kern w:val="0"/>
          <w:sz w:val="24"/>
          <w:highlight w:val="none"/>
        </w:rPr>
      </w:pPr>
      <w:bookmarkStart w:id="13" w:name="_Toc30891"/>
      <w:r>
        <w:rPr>
          <w:rFonts w:hint="eastAsia" w:ascii="仿宋" w:hAnsi="仿宋" w:eastAsia="仿宋"/>
          <w:b/>
          <w:color w:val="auto"/>
          <w:kern w:val="0"/>
          <w:sz w:val="24"/>
          <w:highlight w:val="none"/>
        </w:rPr>
        <w:t>十一、合同生效及其它</w:t>
      </w:r>
      <w:bookmarkEnd w:id="13"/>
    </w:p>
    <w:p w14:paraId="22294F60">
      <w:pPr>
        <w:widowControl/>
        <w:autoSpaceDE w:val="0"/>
        <w:autoSpaceDN w:val="0"/>
        <w:snapToGrid w:val="0"/>
        <w:spacing w:line="360" w:lineRule="auto"/>
        <w:ind w:right="-110"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1、合同未尽事宜、由甲、乙双方协商，作为合同补充，与原合同具有同等法律效力。协商不成，可向</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人民法院提起诉讼；或双方协议向</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 xml:space="preserve">提起仲裁  </w:t>
      </w:r>
    </w:p>
    <w:p w14:paraId="21BF4D4E">
      <w:pPr>
        <w:widowControl/>
        <w:tabs>
          <w:tab w:val="left" w:pos="8391"/>
        </w:tabs>
        <w:autoSpaceDE w:val="0"/>
        <w:autoSpaceDN w:val="0"/>
        <w:snapToGrid w:val="0"/>
        <w:spacing w:line="360" w:lineRule="auto"/>
        <w:ind w:right="-69"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2、 本合同正本一式</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份，甲方、乙方双方分别执</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份，</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备案</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份。</w:t>
      </w:r>
    </w:p>
    <w:p w14:paraId="345F29C8">
      <w:pPr>
        <w:widowControl/>
        <w:tabs>
          <w:tab w:val="left" w:pos="8391"/>
        </w:tabs>
        <w:autoSpaceDE w:val="0"/>
        <w:autoSpaceDN w:val="0"/>
        <w:snapToGrid w:val="0"/>
        <w:spacing w:line="360" w:lineRule="auto"/>
        <w:ind w:right="-69"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3、合同经甲乙双方盖章、签字后生效，合同签订地点为</w:t>
      </w:r>
      <w:r>
        <w:rPr>
          <w:rFonts w:hint="eastAsia" w:ascii="仿宋" w:hAnsi="仿宋" w:eastAsia="仿宋"/>
          <w:color w:val="auto"/>
          <w:kern w:val="0"/>
          <w:sz w:val="24"/>
          <w:highlight w:val="none"/>
          <w:u w:val="single"/>
        </w:rPr>
        <w:t xml:space="preserve">   </w:t>
      </w:r>
      <w:r>
        <w:rPr>
          <w:rFonts w:hint="eastAsia" w:ascii="仿宋" w:hAnsi="仿宋" w:eastAsia="仿宋"/>
          <w:color w:val="auto"/>
          <w:kern w:val="0"/>
          <w:sz w:val="24"/>
          <w:highlight w:val="none"/>
        </w:rPr>
        <w:t>。</w:t>
      </w:r>
    </w:p>
    <w:p w14:paraId="4FCEE6C4">
      <w:pPr>
        <w:widowControl/>
        <w:tabs>
          <w:tab w:val="left" w:pos="8391"/>
        </w:tabs>
        <w:autoSpaceDE w:val="0"/>
        <w:autoSpaceDN w:val="0"/>
        <w:snapToGrid w:val="0"/>
        <w:spacing w:line="360" w:lineRule="auto"/>
        <w:ind w:right="-69"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4、生效时间：   年  月  日</w:t>
      </w:r>
    </w:p>
    <w:p w14:paraId="0F6D7A75">
      <w:pPr>
        <w:widowControl/>
        <w:tabs>
          <w:tab w:val="left" w:pos="8391"/>
        </w:tabs>
        <w:autoSpaceDE w:val="0"/>
        <w:autoSpaceDN w:val="0"/>
        <w:snapToGrid w:val="0"/>
        <w:spacing w:line="360" w:lineRule="auto"/>
        <w:ind w:right="-69" w:firstLine="840" w:firstLineChars="350"/>
        <w:textAlignment w:val="bottom"/>
        <w:rPr>
          <w:rFonts w:ascii="仿宋" w:hAnsi="仿宋" w:eastAsia="仿宋"/>
          <w:color w:val="auto"/>
          <w:kern w:val="0"/>
          <w:sz w:val="24"/>
          <w:highlight w:val="none"/>
        </w:rPr>
      </w:pPr>
    </w:p>
    <w:tbl>
      <w:tblPr>
        <w:tblStyle w:val="6"/>
        <w:tblW w:w="0" w:type="auto"/>
        <w:jc w:val="center"/>
        <w:tblLayout w:type="fixed"/>
        <w:tblCellMar>
          <w:top w:w="0" w:type="dxa"/>
          <w:left w:w="108" w:type="dxa"/>
          <w:bottom w:w="0" w:type="dxa"/>
          <w:right w:w="108" w:type="dxa"/>
        </w:tblCellMar>
      </w:tblPr>
      <w:tblGrid>
        <w:gridCol w:w="4643"/>
        <w:gridCol w:w="4643"/>
      </w:tblGrid>
      <w:tr w14:paraId="5ADB3158">
        <w:trPr>
          <w:jc w:val="center"/>
        </w:trPr>
        <w:tc>
          <w:tcPr>
            <w:tcW w:w="4643" w:type="dxa"/>
            <w:noWrap w:val="0"/>
            <w:vAlign w:val="top"/>
          </w:tcPr>
          <w:p w14:paraId="64F8440C">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甲方名称</w:t>
            </w:r>
            <w:r>
              <w:rPr>
                <w:rFonts w:hint="eastAsia" w:ascii="仿宋" w:hAnsi="仿宋" w:eastAsia="仿宋"/>
                <w:color w:val="auto"/>
                <w:spacing w:val="-20"/>
                <w:kern w:val="0"/>
                <w:sz w:val="24"/>
                <w:highlight w:val="none"/>
              </w:rPr>
              <w:t>（盖章）</w:t>
            </w:r>
            <w:r>
              <w:rPr>
                <w:rFonts w:hint="eastAsia" w:ascii="仿宋" w:hAnsi="仿宋" w:eastAsia="仿宋"/>
                <w:color w:val="auto"/>
                <w:kern w:val="0"/>
                <w:sz w:val="24"/>
                <w:highlight w:val="none"/>
              </w:rPr>
              <w:t>:</w:t>
            </w:r>
          </w:p>
          <w:p w14:paraId="1A42B3CF">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地址：</w:t>
            </w:r>
          </w:p>
          <w:p w14:paraId="53CA1D80">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代表人（签字）：</w:t>
            </w:r>
          </w:p>
          <w:p w14:paraId="2A4C9CBB">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电话：</w:t>
            </w:r>
          </w:p>
          <w:p w14:paraId="2D97F986">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开户银行：</w:t>
            </w:r>
          </w:p>
          <w:p w14:paraId="53C52367">
            <w:pPr>
              <w:widowControl/>
              <w:autoSpaceDE w:val="0"/>
              <w:autoSpaceDN w:val="0"/>
              <w:snapToGrid w:val="0"/>
              <w:spacing w:line="360" w:lineRule="auto"/>
              <w:ind w:right="-154" w:firstLine="480" w:firstLineChars="200"/>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帐号：</w:t>
            </w:r>
          </w:p>
        </w:tc>
        <w:tc>
          <w:tcPr>
            <w:tcW w:w="4643" w:type="dxa"/>
            <w:noWrap w:val="0"/>
            <w:vAlign w:val="top"/>
          </w:tcPr>
          <w:p w14:paraId="29753B0D">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乙方名称</w:t>
            </w:r>
            <w:r>
              <w:rPr>
                <w:rFonts w:hint="eastAsia" w:ascii="仿宋" w:hAnsi="仿宋" w:eastAsia="仿宋"/>
                <w:color w:val="auto"/>
                <w:spacing w:val="-20"/>
                <w:kern w:val="0"/>
                <w:sz w:val="24"/>
                <w:highlight w:val="none"/>
              </w:rPr>
              <w:t>（盖章）</w:t>
            </w:r>
            <w:r>
              <w:rPr>
                <w:rFonts w:hint="eastAsia" w:ascii="仿宋" w:hAnsi="仿宋" w:eastAsia="仿宋"/>
                <w:color w:val="auto"/>
                <w:kern w:val="0"/>
                <w:sz w:val="24"/>
                <w:highlight w:val="none"/>
              </w:rPr>
              <w:t>:</w:t>
            </w:r>
          </w:p>
          <w:p w14:paraId="34638126">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地址：</w:t>
            </w:r>
          </w:p>
          <w:p w14:paraId="2D0812C6">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代表人（签字）：</w:t>
            </w:r>
          </w:p>
          <w:p w14:paraId="125925D7">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电话：</w:t>
            </w:r>
          </w:p>
          <w:p w14:paraId="496F9382">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开户银行：</w:t>
            </w:r>
          </w:p>
          <w:p w14:paraId="56CB5526">
            <w:pPr>
              <w:widowControl/>
              <w:autoSpaceDE w:val="0"/>
              <w:autoSpaceDN w:val="0"/>
              <w:snapToGrid w:val="0"/>
              <w:spacing w:line="360" w:lineRule="auto"/>
              <w:ind w:right="-154"/>
              <w:textAlignment w:val="bottom"/>
              <w:rPr>
                <w:rFonts w:ascii="仿宋" w:hAnsi="仿宋" w:eastAsia="仿宋"/>
                <w:color w:val="auto"/>
                <w:kern w:val="0"/>
                <w:sz w:val="24"/>
                <w:highlight w:val="none"/>
              </w:rPr>
            </w:pPr>
            <w:r>
              <w:rPr>
                <w:rFonts w:hint="eastAsia" w:ascii="仿宋" w:hAnsi="仿宋" w:eastAsia="仿宋"/>
                <w:color w:val="auto"/>
                <w:kern w:val="0"/>
                <w:sz w:val="24"/>
                <w:highlight w:val="none"/>
              </w:rPr>
              <w:t>帐号：</w:t>
            </w:r>
          </w:p>
        </w:tc>
      </w:tr>
    </w:tbl>
    <w:p w14:paraId="57509263">
      <w:pPr>
        <w:rPr>
          <w:color w:val="auto"/>
          <w:highlight w:val="none"/>
        </w:rPr>
      </w:pPr>
    </w:p>
    <w:p w14:paraId="0B4D9BFE">
      <w:pPr>
        <w:rPr>
          <w:rFonts w:hint="default" w:eastAsiaTheme="minorEastAsia"/>
          <w:color w:val="auto"/>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DC40B4"/>
    <w:multiLevelType w:val="singleLevel"/>
    <w:tmpl w:val="6ADC40B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hOTgxNjg4ZmU1MDJjYTY0ZmM3NDAwMjc0YWJiOWIifQ=="/>
  </w:docVars>
  <w:rsids>
    <w:rsidRoot w:val="2EBF3D88"/>
    <w:rsid w:val="00BF706B"/>
    <w:rsid w:val="01D6466C"/>
    <w:rsid w:val="023D46EC"/>
    <w:rsid w:val="02447828"/>
    <w:rsid w:val="025C7268"/>
    <w:rsid w:val="026A0117"/>
    <w:rsid w:val="02850C9B"/>
    <w:rsid w:val="04B62533"/>
    <w:rsid w:val="04FC6AE0"/>
    <w:rsid w:val="079F55A8"/>
    <w:rsid w:val="08921A37"/>
    <w:rsid w:val="0AA172D2"/>
    <w:rsid w:val="0AB1211B"/>
    <w:rsid w:val="0B6B051B"/>
    <w:rsid w:val="0B710BCD"/>
    <w:rsid w:val="0C62485F"/>
    <w:rsid w:val="0DC96F40"/>
    <w:rsid w:val="0E861DFE"/>
    <w:rsid w:val="0F4C5F6E"/>
    <w:rsid w:val="0FCA5924"/>
    <w:rsid w:val="13AB626E"/>
    <w:rsid w:val="13BC5DB8"/>
    <w:rsid w:val="15DB5156"/>
    <w:rsid w:val="16CB1E6E"/>
    <w:rsid w:val="187D188E"/>
    <w:rsid w:val="189746FE"/>
    <w:rsid w:val="1A5D54D3"/>
    <w:rsid w:val="1BAD248A"/>
    <w:rsid w:val="1C351EF2"/>
    <w:rsid w:val="1EE6018D"/>
    <w:rsid w:val="1FB7D86A"/>
    <w:rsid w:val="1FF57F5C"/>
    <w:rsid w:val="1FFC578E"/>
    <w:rsid w:val="2175206B"/>
    <w:rsid w:val="218477E9"/>
    <w:rsid w:val="21F726B1"/>
    <w:rsid w:val="22764A0A"/>
    <w:rsid w:val="227971C3"/>
    <w:rsid w:val="24AF4B7D"/>
    <w:rsid w:val="272A091F"/>
    <w:rsid w:val="28074CD0"/>
    <w:rsid w:val="284952E9"/>
    <w:rsid w:val="290336EA"/>
    <w:rsid w:val="2B115775"/>
    <w:rsid w:val="2E3B56D4"/>
    <w:rsid w:val="2E556795"/>
    <w:rsid w:val="2EA66FF1"/>
    <w:rsid w:val="2EBF3D88"/>
    <w:rsid w:val="30446AC1"/>
    <w:rsid w:val="31FB7654"/>
    <w:rsid w:val="323B0398"/>
    <w:rsid w:val="32EC3440"/>
    <w:rsid w:val="33957634"/>
    <w:rsid w:val="339A4C4A"/>
    <w:rsid w:val="339B5C84"/>
    <w:rsid w:val="342A25E0"/>
    <w:rsid w:val="346D235F"/>
    <w:rsid w:val="36252EF1"/>
    <w:rsid w:val="37C329C2"/>
    <w:rsid w:val="38082ACA"/>
    <w:rsid w:val="393D67A4"/>
    <w:rsid w:val="3B581673"/>
    <w:rsid w:val="3C4B567C"/>
    <w:rsid w:val="3DD62556"/>
    <w:rsid w:val="3E014244"/>
    <w:rsid w:val="3FF12096"/>
    <w:rsid w:val="41250249"/>
    <w:rsid w:val="42181B5C"/>
    <w:rsid w:val="426A73C9"/>
    <w:rsid w:val="441427F7"/>
    <w:rsid w:val="46D947B7"/>
    <w:rsid w:val="47863A0C"/>
    <w:rsid w:val="47B7307F"/>
    <w:rsid w:val="47ED75E7"/>
    <w:rsid w:val="485B6C46"/>
    <w:rsid w:val="48657AC5"/>
    <w:rsid w:val="48677399"/>
    <w:rsid w:val="49BD7217"/>
    <w:rsid w:val="49CA5E32"/>
    <w:rsid w:val="49F61864"/>
    <w:rsid w:val="4A431740"/>
    <w:rsid w:val="4AF3760A"/>
    <w:rsid w:val="4C1F06B5"/>
    <w:rsid w:val="4C404189"/>
    <w:rsid w:val="4E1C6E78"/>
    <w:rsid w:val="4F912F4E"/>
    <w:rsid w:val="4F9D5652"/>
    <w:rsid w:val="4FD33566"/>
    <w:rsid w:val="50892B82"/>
    <w:rsid w:val="515B1A65"/>
    <w:rsid w:val="51894824"/>
    <w:rsid w:val="524F15CA"/>
    <w:rsid w:val="52972F71"/>
    <w:rsid w:val="52976ACB"/>
    <w:rsid w:val="53AA78AC"/>
    <w:rsid w:val="53C00A50"/>
    <w:rsid w:val="55DF4A13"/>
    <w:rsid w:val="560E354A"/>
    <w:rsid w:val="59350DEE"/>
    <w:rsid w:val="5A2A0227"/>
    <w:rsid w:val="5AFC1BC3"/>
    <w:rsid w:val="5B242EC8"/>
    <w:rsid w:val="5BB20480"/>
    <w:rsid w:val="5D99194B"/>
    <w:rsid w:val="5EB033F0"/>
    <w:rsid w:val="5FD40280"/>
    <w:rsid w:val="60C74A21"/>
    <w:rsid w:val="614222FA"/>
    <w:rsid w:val="615C33BC"/>
    <w:rsid w:val="61DF2ED9"/>
    <w:rsid w:val="6484198E"/>
    <w:rsid w:val="6523128F"/>
    <w:rsid w:val="65CC6636"/>
    <w:rsid w:val="66C0619B"/>
    <w:rsid w:val="66FC4A65"/>
    <w:rsid w:val="671169F6"/>
    <w:rsid w:val="679715F1"/>
    <w:rsid w:val="68330BEE"/>
    <w:rsid w:val="687C4343"/>
    <w:rsid w:val="68AF64C7"/>
    <w:rsid w:val="68DF5080"/>
    <w:rsid w:val="6A0E1913"/>
    <w:rsid w:val="6BAD2A66"/>
    <w:rsid w:val="6D1E3C1B"/>
    <w:rsid w:val="6EDF562C"/>
    <w:rsid w:val="6F6774F3"/>
    <w:rsid w:val="6FB6B723"/>
    <w:rsid w:val="70795253"/>
    <w:rsid w:val="70AA4B23"/>
    <w:rsid w:val="715440AF"/>
    <w:rsid w:val="729D1924"/>
    <w:rsid w:val="735D1958"/>
    <w:rsid w:val="73C31078"/>
    <w:rsid w:val="75295853"/>
    <w:rsid w:val="753C5586"/>
    <w:rsid w:val="75AD3D8E"/>
    <w:rsid w:val="76FF52C2"/>
    <w:rsid w:val="777FBAB3"/>
    <w:rsid w:val="77A90002"/>
    <w:rsid w:val="78793171"/>
    <w:rsid w:val="79907C4E"/>
    <w:rsid w:val="79BB0EF6"/>
    <w:rsid w:val="79D00993"/>
    <w:rsid w:val="7A7C363F"/>
    <w:rsid w:val="7A936D11"/>
    <w:rsid w:val="7ACF2745"/>
    <w:rsid w:val="7B0F21BC"/>
    <w:rsid w:val="7D577D55"/>
    <w:rsid w:val="7DB60E43"/>
    <w:rsid w:val="7EBED68F"/>
    <w:rsid w:val="7EF336E9"/>
    <w:rsid w:val="7FBF13CD"/>
    <w:rsid w:val="BFF5A139"/>
    <w:rsid w:val="F7FCFB56"/>
    <w:rsid w:val="FB3FC631"/>
    <w:rsid w:val="FD7057C6"/>
    <w:rsid w:val="FFAD5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1"/>
    </w:rPr>
  </w:style>
  <w:style w:type="paragraph" w:styleId="4">
    <w:name w:val="annotation text"/>
    <w:basedOn w:val="1"/>
    <w:qFormat/>
    <w:uiPriority w:val="0"/>
    <w:pPr>
      <w:jc w:val="left"/>
    </w:p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标题 1 Char"/>
    <w:link w:val="2"/>
    <w:qFormat/>
    <w:uiPriority w:val="9"/>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3007</Words>
  <Characters>3086</Characters>
  <Lines>0</Lines>
  <Paragraphs>0</Paragraphs>
  <TotalTime>137</TotalTime>
  <ScaleCrop>false</ScaleCrop>
  <LinksUpToDate>false</LinksUpToDate>
  <CharactersWithSpaces>3175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2025-07-21T16:18:00Z</dcterms:created>
  <dc:creator>Ywxxxxxx</dc:creator>
  <cp:lastModifiedBy>李火锅爱吃火锅</cp:lastModifiedBy>
  <dcterms:modified xsi:type="dcterms:W3CDTF">2025-09-03T10:02:58Z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7148208209CE4A27887D520D4020A0C6_13</vt:lpwstr>
  </property>
  <property fmtid="{D5CDD505-2E9C-101B-9397-08002B2CF9AE}" pid="4" name="KSOTemplateDocerSaveRecord">
    <vt:lpwstr>eyJoZGlkIjoiNTQzOTMzNjFjYWI2YTE4MzVmOGNjYWU2ZjFkYWNlMmEiLCJ1c2VySWQiOiIxMDIzNzM2NDI3In0=</vt:lpwstr>
  </property>
</Properties>
</file>