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版本号：SCZA2025-CS-2183-001R20250903001</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（服务类）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2025年农机安全免费管理项目(二次)</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SCZA2025-CS-2183-001R</w:t>
      </w:r>
      <w:r>
        <w:br/>
      </w:r>
      <w:r>
        <w:br/>
      </w:r>
      <w:r>
        <w:br/>
      </w:r>
    </w:p>
    <w:p>
      <w:pPr>
        <w:pStyle w:val="null3"/>
        <w:jc w:val="center"/>
        <w:outlineLvl w:val="2"/>
      </w:pPr>
      <w:r>
        <w:rPr>
          <w:rFonts w:ascii="仿宋_GB2312" w:hAnsi="仿宋_GB2312" w:cs="仿宋_GB2312" w:eastAsia="仿宋_GB2312"/>
          <w:sz w:val="28"/>
          <w:b/>
        </w:rPr>
        <w:t>陕西省农业机械化发展中心</w:t>
      </w:r>
    </w:p>
    <w:p>
      <w:pPr>
        <w:pStyle w:val="null3"/>
        <w:jc w:val="center"/>
        <w:outlineLvl w:val="2"/>
      </w:pPr>
      <w:r>
        <w:rPr>
          <w:rFonts w:ascii="仿宋_GB2312" w:hAnsi="仿宋_GB2312" w:cs="仿宋_GB2312" w:eastAsia="仿宋_GB2312"/>
          <w:sz w:val="28"/>
          <w:b/>
        </w:rPr>
        <w:t>陕西省采购招标有限责任公司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2025年09月03日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陕西省采购招标有限责任公司</w:t>
      </w:r>
      <w:r>
        <w:rPr>
          <w:rFonts w:ascii="仿宋_GB2312" w:hAnsi="仿宋_GB2312" w:cs="仿宋_GB2312" w:eastAsia="仿宋_GB2312"/>
        </w:rPr>
        <w:t>（以下简称“代理机构”）受</w:t>
      </w:r>
      <w:r>
        <w:rPr>
          <w:rFonts w:ascii="仿宋_GB2312" w:hAnsi="仿宋_GB2312" w:cs="仿宋_GB2312" w:eastAsia="仿宋_GB2312"/>
        </w:rPr>
        <w:t>陕西省农业机械化发展中心</w:t>
      </w:r>
      <w:r>
        <w:rPr>
          <w:rFonts w:ascii="仿宋_GB2312" w:hAnsi="仿宋_GB2312" w:cs="仿宋_GB2312" w:eastAsia="仿宋_GB2312"/>
        </w:rPr>
        <w:t>委托，拟对</w:t>
      </w:r>
      <w:r>
        <w:rPr>
          <w:rFonts w:ascii="仿宋_GB2312" w:hAnsi="仿宋_GB2312" w:cs="仿宋_GB2312" w:eastAsia="仿宋_GB2312"/>
        </w:rPr>
        <w:t>2025年农机安全免费管理项目(二次)</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一、项目编号：</w:t>
      </w:r>
      <w:r>
        <w:rPr>
          <w:rFonts w:ascii="仿宋_GB2312" w:hAnsi="仿宋_GB2312" w:cs="仿宋_GB2312" w:eastAsia="仿宋_GB2312"/>
          <w:sz w:val="28"/>
          <w:b/>
        </w:rPr>
        <w:t>SCZA2025-CS-2183-001R</w:t>
      </w:r>
    </w:p>
    <w:p>
      <w:pPr>
        <w:pStyle w:val="null3"/>
        <w:outlineLvl w:val="2"/>
      </w:pPr>
      <w:r>
        <w:rPr>
          <w:rFonts w:ascii="仿宋_GB2312" w:hAnsi="仿宋_GB2312" w:cs="仿宋_GB2312" w:eastAsia="仿宋_GB2312"/>
          <w:sz w:val="28"/>
          <w:b/>
        </w:rPr>
        <w:t>二、项目名称：</w:t>
      </w:r>
      <w:r>
        <w:rPr>
          <w:rFonts w:ascii="仿宋_GB2312" w:hAnsi="仿宋_GB2312" w:cs="仿宋_GB2312" w:eastAsia="仿宋_GB2312"/>
          <w:sz w:val="28"/>
          <w:b/>
        </w:rPr>
        <w:t>2025年农机安全免费管理项目(二次)</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2025年农机安全免费管理项目</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采购包1（2025年农机安全免费管理项目）：属于专门面向中小企业采购。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1、供应商特定资格条件：供应商在递交响应文件截止时间前被“信用中国 ”网站（www.creditchina.gov.cn）和中国政 府采购网（www.ccgp.gov.cn）上被列入失信 被执行人、重大税收违法失信主体、政府采购严重违法失信行为记录名单的，不得参加磋商</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jc w:val="left"/>
      </w:pPr>
      <w:r>
        <w:rPr>
          <w:rFonts w:ascii="仿宋_GB2312" w:hAnsi="仿宋_GB2312" w:cs="仿宋_GB2312" w:eastAsia="仿宋_GB2312"/>
        </w:rPr>
        <w:t xml:space="preserve"> 注：获取的磋商文件主体格式包括pdf、word两种格式版本，其中以pdf格式为准。</w:t>
      </w:r>
    </w:p>
    <w:p>
      <w:pPr>
        <w:pStyle w:val="null3"/>
        <w:outlineLvl w:val="2"/>
      </w:pPr>
      <w:r>
        <w:rPr>
          <w:rFonts w:ascii="仿宋_GB2312" w:hAnsi="仿宋_GB2312" w:cs="仿宋_GB2312" w:eastAsia="仿宋_GB2312"/>
          <w:sz w:val="28"/>
          <w:b/>
        </w:rPr>
        <w:t>八、首次响应文件提交截止时间及开启时间、地点、方式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成交结果、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陕西省农业机械化发展中心</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陕西省西安市含光路175号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郭永昌</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029-85238068</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陕西省采购招标有限责任公司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西安市高新区锦业路1号都市之门C座9层</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710075</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冶伟雄、白国锋</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029-85266644</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陕西省财政厅政府采购管理处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柴老师、杨老师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029-68936409、029-68936410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采购包1：500,000.00元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产品属于节能产品政府采购品目清单中应强制采购的产品范围，供应商应当提供国家确定的认证机构出具的、处于有效期之内的节能产品认证证书，否则作无效响应处理。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无</w:t>
            </w:r>
            <w:r>
              <w:rPr>
                <w:rFonts w:ascii="仿宋_GB2312" w:hAnsi="仿宋_GB2312" w:cs="仿宋_GB2312" w:eastAsia="仿宋_GB2312"/>
              </w:rPr>
              <w:t>产品属于环境标志产品政府采购品目清单中应优先采购的产品范围，评审得分相同的，按供应商提供的优先采购产品认证证书数量由多到少顺序排列。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采购包1保证金金额：8,000.00元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开户名称：陕西省采购招标有限责任公司</w:t>
            </w:r>
          </w:p>
          <w:p>
            <w:pPr>
              <w:pStyle w:val="null3"/>
            </w:pPr>
            <w:r>
              <w:rPr>
                <w:rFonts w:ascii="仿宋_GB2312" w:hAnsi="仿宋_GB2312" w:cs="仿宋_GB2312" w:eastAsia="仿宋_GB2312"/>
              </w:rPr>
              <w:t>开户银行：中国银行西安南郊支行营业部</w:t>
            </w:r>
          </w:p>
          <w:p>
            <w:pPr>
              <w:pStyle w:val="null3"/>
            </w:pPr>
            <w:r>
              <w:rPr>
                <w:rFonts w:ascii="仿宋_GB2312" w:hAnsi="仿宋_GB2312" w:cs="仿宋_GB2312" w:eastAsia="仿宋_GB2312"/>
              </w:rPr>
              <w:t>银行账号：102461183031</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提交首次响应文件的截止之日起不少于</w:t>
            </w:r>
            <w:r>
              <w:rPr>
                <w:rFonts w:ascii="仿宋_GB2312" w:hAnsi="仿宋_GB2312" w:cs="仿宋_GB2312" w:eastAsia="仿宋_GB2312"/>
              </w:rPr>
              <w:t>60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1.成交供应商在领取成交通知书前，须向采购代理机构支付成交服务费，服务费由采购人与采购代理机构约定：参照原《国家计委关于印发&lt;招标代理服务收费管理暂行办法&gt;的通知》（计价格[2002]1980号）规定标准（按标段）收取。 2.成交单位的代理服务费交纳信息 银行户名：陕西省采购招标有限责任公司 开户银行：中国光大银行西安友谊路支行 账号：78560188000095264 联系人：财务部 联系电话：029-85263975</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出现下列情形之一的，采购人或者代理机构应当中止电子化采购活动，并保留相关证明材料备查： </w:t>
            </w:r>
          </w:p>
          <w:p>
            <w:pPr>
              <w:pStyle w:val="null3"/>
            </w:pPr>
            <w:r>
              <w:rPr>
                <w:rFonts w:ascii="仿宋_GB2312" w:hAnsi="仿宋_GB2312" w:cs="仿宋_GB2312" w:eastAsia="仿宋_GB2312"/>
              </w:rPr>
              <w:t>（一）交易系统发生故障（包括感染病毒、应用或数据库出错）而无法正常使用的；</w:t>
            </w:r>
          </w:p>
          <w:p>
            <w:pPr>
              <w:pStyle w:val="null3"/>
            </w:pPr>
            <w:r>
              <w:rPr>
                <w:rFonts w:ascii="仿宋_GB2312" w:hAnsi="仿宋_GB2312" w:cs="仿宋_GB2312" w:eastAsia="仿宋_GB2312"/>
              </w:rPr>
              <w:t>（二）因组织场所停电、断网等原因，导致采购活动无法继续通过交易系统实施的；</w:t>
            </w:r>
          </w:p>
          <w:p>
            <w:pPr>
              <w:pStyle w:val="null3"/>
            </w:pPr>
            <w:r>
              <w:rPr>
                <w:rFonts w:ascii="仿宋_GB2312" w:hAnsi="仿宋_GB2312" w:cs="仿宋_GB2312" w:eastAsia="仿宋_GB2312"/>
              </w:rPr>
              <w:t>（三）其他无法保证电子化交易的公平、公正和安全的情况。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陕西省农业机械化发展中心</w:t>
      </w:r>
      <w:r>
        <w:rPr>
          <w:rFonts w:ascii="仿宋_GB2312" w:hAnsi="仿宋_GB2312" w:cs="仿宋_GB2312" w:eastAsia="仿宋_GB2312"/>
        </w:rPr>
        <w:t>和</w:t>
      </w:r>
      <w:r>
        <w:rPr>
          <w:rFonts w:ascii="仿宋_GB2312" w:hAnsi="仿宋_GB2312" w:cs="仿宋_GB2312" w:eastAsia="仿宋_GB2312"/>
        </w:rPr>
        <w:t>陕西省采购招标有限责任公司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陕西省农业机械化发展中心</w:t>
      </w:r>
      <w:r>
        <w:rPr>
          <w:rFonts w:ascii="仿宋_GB2312" w:hAnsi="仿宋_GB2312" w:cs="仿宋_GB2312" w:eastAsia="仿宋_GB2312"/>
        </w:rPr>
        <w:t>负责解释。除上述磋商文件内容，其他内容由</w:t>
      </w:r>
      <w:r>
        <w:rPr>
          <w:rFonts w:ascii="仿宋_GB2312" w:hAnsi="仿宋_GB2312" w:cs="仿宋_GB2312" w:eastAsia="仿宋_GB2312"/>
        </w:rPr>
        <w:t>陕西省采购招标有限责任公司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陕西省农业机械化发展中心</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陕西省采购招标有限责任公司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3"/>
      </w:pPr>
      <w:r>
        <w:rPr>
          <w:rFonts w:ascii="仿宋_GB2312" w:hAnsi="仿宋_GB2312" w:cs="仿宋_GB2312" w:eastAsia="仿宋_GB2312"/>
          <w:sz w:val="24"/>
          <w:b/>
        </w:rPr>
        <w:t xml:space="preserve"> 2.2.3响应费用（实质性要求）</w:t>
      </w:r>
    </w:p>
    <w:p>
      <w:pPr>
        <w:pStyle w:val="null3"/>
        <w:ind w:firstLine="480"/>
      </w:pPr>
      <w:r>
        <w:rPr>
          <w:rFonts w:ascii="仿宋_GB2312" w:hAnsi="仿宋_GB2312" w:cs="仿宋_GB2312" w:eastAsia="仿宋_GB2312"/>
        </w:rPr>
        <w:t>供应商应自行承担参加竞争性磋商采购活动的全部费用。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供应商准备响应文件和参加响应的依据，同时也是评审的重要依据。磋商文件用以阐明磋商项目所需的资质、技术、服务及报价等要求、磋商程序、有关规定和注意事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ind w:firstLine="480"/>
        <w:jc w:val="left"/>
      </w:pPr>
      <w:r>
        <w:rPr>
          <w:rFonts w:ascii="仿宋_GB2312" w:hAnsi="仿宋_GB2312" w:cs="仿宋_GB2312" w:eastAsia="仿宋_GB2312"/>
        </w:rPr>
        <w:t xml:space="preserve"> 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存在前述情形，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 xml:space="preserve"> 一、供应商的报价是供应商响应磋商项目要求的全部工作内容的价格体现，包括供应商完成本项目所需的一切费用。</w:t>
      </w:r>
    </w:p>
    <w:p>
      <w:pPr>
        <w:pStyle w:val="null3"/>
        <w:ind w:firstLine="480"/>
      </w:pPr>
      <w:r>
        <w:rPr>
          <w:rFonts w:ascii="仿宋_GB2312" w:hAnsi="仿宋_GB2312" w:cs="仿宋_GB2312" w:eastAsia="仿宋_GB2312"/>
        </w:rPr>
        <w:t xml:space="preserve"> 二、响应文件报价出现前后不一致的，按照磋商文件第六章磋商办法规定予以修正，修正后的报价经供应商通过项目电子化交易系统进行确认，并加盖供应商（法定名称）电子印章，供应商逾时确认的，其响应无效。</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三、供应商完成响应文件编制后，应按照响应文件第1章明确的签章要求，使用互认的证书及签章对响应文件进行电子签章和加密。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jc w:val="left"/>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成交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按合同约定执行</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八、未按照磋商文件确定的事项签订政府采购合同；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供应商有上述情形的，按照规定追究法律责任，具有前述一至十一条情形之一的，其响应文件无效，或取消被确认为成交供应商的资格或认定成交无效。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根据委托代理协议约定，供应商对采购文件中采购需求的询问、质疑由 </w:t>
      </w:r>
      <w:r>
        <w:rPr>
          <w:rFonts w:ascii="仿宋_GB2312" w:hAnsi="仿宋_GB2312" w:cs="仿宋_GB2312" w:eastAsia="仿宋_GB2312"/>
        </w:rPr>
        <w:t>陕西省采购招标有限责任公司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陕西省采购招标有限责任公司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陕西省采购招标有限责任公司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磋商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jc w:val="left"/>
      </w:pPr>
      <w:r>
        <w:rPr>
          <w:rFonts w:ascii="仿宋_GB2312" w:hAnsi="仿宋_GB2312" w:cs="仿宋_GB2312" w:eastAsia="仿宋_GB2312"/>
        </w:rPr>
        <w:t xml:space="preserve"> （一）对可以质疑的采购文件提出质疑的，为收到采购文件之日或者采购文件公告期限届满之日；</w:t>
      </w:r>
    </w:p>
    <w:p>
      <w:pPr>
        <w:pStyle w:val="null3"/>
        <w:ind w:firstLine="480"/>
        <w:jc w:val="left"/>
      </w:pPr>
      <w:r>
        <w:rPr>
          <w:rFonts w:ascii="仿宋_GB2312" w:hAnsi="仿宋_GB2312" w:cs="仿宋_GB2312" w:eastAsia="仿宋_GB2312"/>
        </w:rPr>
        <w:t>（二）对采购过程提出质疑的，为各采购程序环节结束之日；</w:t>
      </w:r>
    </w:p>
    <w:p>
      <w:pPr>
        <w:pStyle w:val="null3"/>
        <w:ind w:firstLine="480"/>
        <w:jc w:val="left"/>
      </w:pPr>
      <w:r>
        <w:rPr>
          <w:rFonts w:ascii="仿宋_GB2312" w:hAnsi="仿宋_GB2312" w:cs="仿宋_GB2312" w:eastAsia="仿宋_GB2312"/>
        </w:rPr>
        <w:t xml:space="preserve"> （三）对中标或者成交结果提出质疑的，为中标或者成交结果公告期限届满之日。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ind w:firstLine="480"/>
      </w:pPr>
      <w:r>
        <w:rPr>
          <w:rFonts w:ascii="仿宋_GB2312" w:hAnsi="仿宋_GB2312" w:cs="仿宋_GB2312" w:eastAsia="仿宋_GB2312"/>
        </w:rPr>
        <w:t>接收质疑函方式：书面形式。</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联系人：综合办公室</w:t>
      </w:r>
    </w:p>
    <w:p>
      <w:pPr>
        <w:pStyle w:val="null3"/>
      </w:pPr>
      <w:r>
        <w:rPr>
          <w:rFonts w:ascii="仿宋_GB2312" w:hAnsi="仿宋_GB2312" w:cs="仿宋_GB2312" w:eastAsia="仿宋_GB2312"/>
        </w:rPr>
        <w:t>联系电话：029-85235014</w:t>
      </w:r>
    </w:p>
    <w:p>
      <w:pPr>
        <w:pStyle w:val="null3"/>
      </w:pPr>
      <w:r>
        <w:rPr>
          <w:rFonts w:ascii="仿宋_GB2312" w:hAnsi="仿宋_GB2312" w:cs="仿宋_GB2312" w:eastAsia="仿宋_GB2312"/>
        </w:rPr>
        <w:t>地址：西安市高新区锦业路1号都市之门C座9层</w:t>
      </w:r>
    </w:p>
    <w:p>
      <w:pPr>
        <w:pStyle w:val="null3"/>
      </w:pPr>
      <w:r>
        <w:rPr>
          <w:rFonts w:ascii="仿宋_GB2312" w:hAnsi="仿宋_GB2312" w:cs="仿宋_GB2312" w:eastAsia="仿宋_GB2312"/>
        </w:rPr>
        <w:t>邮编：710075</w:t>
      </w:r>
    </w:p>
    <w:p>
      <w:pPr>
        <w:pStyle w:val="null3"/>
        <w:ind w:firstLine="480"/>
      </w:pPr>
      <w:r>
        <w:rPr>
          <w:rFonts w:ascii="仿宋_GB2312" w:hAnsi="仿宋_GB2312" w:cs="仿宋_GB2312" w:eastAsia="仿宋_GB2312"/>
        </w:rPr>
        <w:t>注：根据《中华人民共和国政府采购法》的规定，供应商质疑不得超出磋商文件、采购过程、采购结果的范围。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2025年农机安全免费管理项目</w:t>
      </w:r>
    </w:p>
    <w:p>
      <w:pPr>
        <w:pStyle w:val="null3"/>
        <w:outlineLvl w:val="2"/>
      </w:pPr>
      <w:r>
        <w:rPr>
          <w:rFonts w:ascii="仿宋_GB2312" w:hAnsi="仿宋_GB2312" w:cs="仿宋_GB2312" w:eastAsia="仿宋_GB2312"/>
          <w:sz w:val="28"/>
          <w:b/>
        </w:rPr>
        <w:t>3.2服务内容及服务要求</w:t>
      </w:r>
    </w:p>
    <w:p>
      <w:pPr>
        <w:pStyle w:val="null3"/>
        <w:outlineLvl w:val="3"/>
      </w:pPr>
      <w:r>
        <w:rPr>
          <w:rFonts w:ascii="仿宋_GB2312" w:hAnsi="仿宋_GB2312" w:cs="仿宋_GB2312" w:eastAsia="仿宋_GB2312"/>
          <w:sz w:val="24"/>
          <w:b/>
        </w:rPr>
        <w:t>3.2.1服务内容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500,000.00</w:t>
      </w:r>
    </w:p>
    <w:p>
      <w:pPr>
        <w:pStyle w:val="null3"/>
      </w:pPr>
      <w:r>
        <w:rPr>
          <w:rFonts w:ascii="仿宋_GB2312" w:hAnsi="仿宋_GB2312" w:cs="仿宋_GB2312" w:eastAsia="仿宋_GB2312"/>
        </w:rPr>
        <w:t>采购包最高限价（元）: 500,000.00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农机安全免费管理</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500,000.00</w:t>
            </w:r>
          </w:p>
        </w:tc>
        <w:tc>
          <w:tcPr>
            <w:tcW w:type="dxa" w:w="831"/>
          </w:tcPr>
          <w:p>
            <w:pPr>
              <w:pStyle w:val="null3"/>
            </w:pPr>
            <w:r>
              <w:rPr>
                <w:rFonts w:ascii="仿宋_GB2312" w:hAnsi="仿宋_GB2312" w:cs="仿宋_GB2312" w:eastAsia="仿宋_GB2312"/>
              </w:rPr>
              <w:t>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3.2.2服务要求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标的名称：农机安全免费管理</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tbl>
            <w:tblPr>
              <w:tblBorders>
                <w:top w:val="single"/>
                <w:left w:val="single"/>
                <w:bottom w:val="single"/>
                <w:right w:val="single"/>
                <w:insideH w:val="single"/>
                <w:insideV w:val="single"/>
              </w:tblBorders>
            </w:tblPr>
            <w:tblGrid>
              <w:gridCol w:w="851"/>
              <w:gridCol w:w="851"/>
              <w:gridCol w:w="851"/>
            </w:tblGrid>
            <w:tr>
              <w:tc>
                <w:tcPr>
                  <w:tcW w:type="dxa" w:w="851"/>
                </w:tcPr>
                <w:p>
                  <w:pPr>
                    <w:pStyle w:val="null3"/>
                  </w:pPr>
                  <w:r>
                    <w:rPr>
                      <w:rFonts w:ascii="仿宋_GB2312" w:hAnsi="仿宋_GB2312" w:cs="仿宋_GB2312" w:eastAsia="仿宋_GB2312"/>
                    </w:rPr>
                    <w:t>序号</w:t>
                  </w:r>
                </w:p>
              </w:tc>
              <w:tc>
                <w:tcPr>
                  <w:tcW w:type="dxa" w:w="851"/>
                </w:tcPr>
                <w:p>
                  <w:pPr>
                    <w:pStyle w:val="null3"/>
                  </w:pPr>
                  <w:r>
                    <w:rPr>
                      <w:rFonts w:ascii="仿宋_GB2312" w:hAnsi="仿宋_GB2312" w:cs="仿宋_GB2312" w:eastAsia="仿宋_GB2312"/>
                    </w:rPr>
                    <w:t>采购内容</w:t>
                  </w:r>
                </w:p>
              </w:tc>
              <w:tc>
                <w:tcPr>
                  <w:tcW w:type="dxa" w:w="851"/>
                </w:tcPr>
                <w:p>
                  <w:pPr>
                    <w:pStyle w:val="null3"/>
                  </w:pPr>
                  <w:r>
                    <w:rPr>
                      <w:rFonts w:ascii="仿宋_GB2312" w:hAnsi="仿宋_GB2312" w:cs="仿宋_GB2312" w:eastAsia="仿宋_GB2312"/>
                    </w:rPr>
                    <w:t>数量</w:t>
                  </w:r>
                </w:p>
              </w:tc>
            </w:tr>
            <w:tr>
              <w:tc>
                <w:tcPr>
                  <w:tcW w:type="dxa" w:w="851"/>
                </w:tcPr>
                <w:p>
                  <w:pPr>
                    <w:pStyle w:val="null3"/>
                  </w:pPr>
                  <w:r>
                    <w:rPr>
                      <w:rFonts w:ascii="仿宋_GB2312" w:hAnsi="仿宋_GB2312" w:cs="仿宋_GB2312" w:eastAsia="仿宋_GB2312"/>
                    </w:rPr>
                    <w:t>1</w:t>
                  </w:r>
                </w:p>
              </w:tc>
              <w:tc>
                <w:tcPr>
                  <w:tcW w:type="dxa" w:w="851"/>
                </w:tcPr>
                <w:p>
                  <w:pPr>
                    <w:pStyle w:val="null3"/>
                  </w:pPr>
                  <w:r>
                    <w:rPr>
                      <w:rFonts w:ascii="仿宋_GB2312" w:hAnsi="仿宋_GB2312" w:cs="仿宋_GB2312" w:eastAsia="仿宋_GB2312"/>
                    </w:rPr>
                    <w:t>拖拉机号牌</w:t>
                  </w:r>
                </w:p>
              </w:tc>
              <w:tc>
                <w:tcPr>
                  <w:tcW w:type="dxa" w:w="851"/>
                </w:tcPr>
                <w:p>
                  <w:pPr>
                    <w:pStyle w:val="null3"/>
                  </w:pPr>
                  <w:r>
                    <w:rPr>
                      <w:rFonts w:ascii="仿宋_GB2312" w:hAnsi="仿宋_GB2312" w:cs="仿宋_GB2312" w:eastAsia="仿宋_GB2312"/>
                    </w:rPr>
                    <w:t>5490面</w:t>
                  </w:r>
                </w:p>
              </w:tc>
            </w:tr>
            <w:tr>
              <w:tc>
                <w:tcPr>
                  <w:tcW w:type="dxa" w:w="851"/>
                </w:tcPr>
                <w:p>
                  <w:pPr>
                    <w:pStyle w:val="null3"/>
                  </w:pPr>
                  <w:r>
                    <w:rPr>
                      <w:rFonts w:ascii="仿宋_GB2312" w:hAnsi="仿宋_GB2312" w:cs="仿宋_GB2312" w:eastAsia="仿宋_GB2312"/>
                    </w:rPr>
                    <w:t>2</w:t>
                  </w:r>
                </w:p>
              </w:tc>
              <w:tc>
                <w:tcPr>
                  <w:tcW w:type="dxa" w:w="851"/>
                </w:tcPr>
                <w:p>
                  <w:pPr>
                    <w:pStyle w:val="null3"/>
                  </w:pPr>
                  <w:r>
                    <w:rPr>
                      <w:rFonts w:ascii="仿宋_GB2312" w:hAnsi="仿宋_GB2312" w:cs="仿宋_GB2312" w:eastAsia="仿宋_GB2312"/>
                    </w:rPr>
                    <w:t>联合收割机号牌</w:t>
                  </w:r>
                </w:p>
              </w:tc>
              <w:tc>
                <w:tcPr>
                  <w:tcW w:type="dxa" w:w="851"/>
                </w:tcPr>
                <w:p>
                  <w:pPr>
                    <w:pStyle w:val="null3"/>
                  </w:pPr>
                  <w:r>
                    <w:rPr>
                      <w:rFonts w:ascii="仿宋_GB2312" w:hAnsi="仿宋_GB2312" w:cs="仿宋_GB2312" w:eastAsia="仿宋_GB2312"/>
                    </w:rPr>
                    <w:t>3210面</w:t>
                  </w:r>
                </w:p>
              </w:tc>
            </w:tr>
            <w:tr>
              <w:tc>
                <w:tcPr>
                  <w:tcW w:type="dxa" w:w="851"/>
                </w:tcPr>
                <w:p>
                  <w:pPr>
                    <w:pStyle w:val="null3"/>
                  </w:pPr>
                  <w:r>
                    <w:rPr>
                      <w:rFonts w:ascii="仿宋_GB2312" w:hAnsi="仿宋_GB2312" w:cs="仿宋_GB2312" w:eastAsia="仿宋_GB2312"/>
                    </w:rPr>
                    <w:t>3</w:t>
                  </w:r>
                </w:p>
              </w:tc>
              <w:tc>
                <w:tcPr>
                  <w:tcW w:type="dxa" w:w="851"/>
                </w:tcPr>
                <w:p>
                  <w:pPr>
                    <w:pStyle w:val="null3"/>
                  </w:pPr>
                  <w:r>
                    <w:rPr>
                      <w:rFonts w:ascii="仿宋_GB2312" w:hAnsi="仿宋_GB2312" w:cs="仿宋_GB2312" w:eastAsia="仿宋_GB2312"/>
                    </w:rPr>
                    <w:t>拖拉机和联合收割机登记证书</w:t>
                  </w:r>
                </w:p>
              </w:tc>
              <w:tc>
                <w:tcPr>
                  <w:tcW w:type="dxa" w:w="851"/>
                </w:tcPr>
                <w:p>
                  <w:pPr>
                    <w:pStyle w:val="null3"/>
                  </w:pPr>
                  <w:r>
                    <w:rPr>
                      <w:rFonts w:ascii="仿宋_GB2312" w:hAnsi="仿宋_GB2312" w:cs="仿宋_GB2312" w:eastAsia="仿宋_GB2312"/>
                    </w:rPr>
                    <w:t>10510本</w:t>
                  </w:r>
                </w:p>
              </w:tc>
            </w:tr>
            <w:tr>
              <w:tc>
                <w:tcPr>
                  <w:tcW w:type="dxa" w:w="851"/>
                </w:tcPr>
                <w:p>
                  <w:pPr>
                    <w:pStyle w:val="null3"/>
                  </w:pPr>
                  <w:r>
                    <w:rPr>
                      <w:rFonts w:ascii="仿宋_GB2312" w:hAnsi="仿宋_GB2312" w:cs="仿宋_GB2312" w:eastAsia="仿宋_GB2312"/>
                    </w:rPr>
                    <w:t>4</w:t>
                  </w:r>
                </w:p>
              </w:tc>
              <w:tc>
                <w:tcPr>
                  <w:tcW w:type="dxa" w:w="851"/>
                </w:tcPr>
                <w:p>
                  <w:pPr>
                    <w:pStyle w:val="null3"/>
                  </w:pPr>
                  <w:r>
                    <w:rPr>
                      <w:rFonts w:ascii="仿宋_GB2312" w:hAnsi="仿宋_GB2312" w:cs="仿宋_GB2312" w:eastAsia="仿宋_GB2312"/>
                    </w:rPr>
                    <w:t>拖拉机和联合收割机检验标志</w:t>
                  </w:r>
                </w:p>
              </w:tc>
              <w:tc>
                <w:tcPr>
                  <w:tcW w:type="dxa" w:w="851"/>
                </w:tcPr>
                <w:p>
                  <w:pPr>
                    <w:pStyle w:val="null3"/>
                  </w:pPr>
                  <w:r>
                    <w:rPr>
                      <w:rFonts w:ascii="仿宋_GB2312" w:hAnsi="仿宋_GB2312" w:cs="仿宋_GB2312" w:eastAsia="仿宋_GB2312"/>
                    </w:rPr>
                    <w:t>200000张</w:t>
                  </w:r>
                </w:p>
              </w:tc>
            </w:tr>
            <w:tr>
              <w:tc>
                <w:tcPr>
                  <w:tcW w:type="dxa" w:w="851"/>
                </w:tcPr>
                <w:p>
                  <w:pPr>
                    <w:pStyle w:val="null3"/>
                  </w:pPr>
                  <w:r>
                    <w:rPr>
                      <w:rFonts w:ascii="仿宋_GB2312" w:hAnsi="仿宋_GB2312" w:cs="仿宋_GB2312" w:eastAsia="仿宋_GB2312"/>
                    </w:rPr>
                    <w:t>5</w:t>
                  </w:r>
                </w:p>
              </w:tc>
              <w:tc>
                <w:tcPr>
                  <w:tcW w:type="dxa" w:w="851"/>
                </w:tcPr>
                <w:p>
                  <w:pPr>
                    <w:pStyle w:val="null3"/>
                  </w:pPr>
                  <w:r>
                    <w:rPr>
                      <w:rFonts w:ascii="仿宋_GB2312" w:hAnsi="仿宋_GB2312" w:cs="仿宋_GB2312" w:eastAsia="仿宋_GB2312"/>
                    </w:rPr>
                    <w:t>拖拉机和联合收割机驾驶证</w:t>
                  </w:r>
                </w:p>
              </w:tc>
              <w:tc>
                <w:tcPr>
                  <w:tcW w:type="dxa" w:w="851"/>
                </w:tcPr>
                <w:p>
                  <w:pPr>
                    <w:pStyle w:val="null3"/>
                  </w:pPr>
                  <w:r>
                    <w:rPr>
                      <w:rFonts w:ascii="仿宋_GB2312" w:hAnsi="仿宋_GB2312" w:cs="仿宋_GB2312" w:eastAsia="仿宋_GB2312"/>
                    </w:rPr>
                    <w:t>11980套</w:t>
                  </w:r>
                </w:p>
              </w:tc>
            </w:tr>
            <w:tr>
              <w:tc>
                <w:tcPr>
                  <w:tcW w:type="dxa" w:w="851"/>
                </w:tcPr>
                <w:p>
                  <w:pPr>
                    <w:pStyle w:val="null3"/>
                  </w:pPr>
                  <w:r>
                    <w:rPr>
                      <w:rFonts w:ascii="仿宋_GB2312" w:hAnsi="仿宋_GB2312" w:cs="仿宋_GB2312" w:eastAsia="仿宋_GB2312"/>
                    </w:rPr>
                    <w:t>6</w:t>
                  </w:r>
                </w:p>
              </w:tc>
              <w:tc>
                <w:tcPr>
                  <w:tcW w:type="dxa" w:w="851"/>
                </w:tcPr>
                <w:p>
                  <w:pPr>
                    <w:pStyle w:val="null3"/>
                  </w:pPr>
                  <w:r>
                    <w:rPr>
                      <w:rFonts w:ascii="仿宋_GB2312" w:hAnsi="仿宋_GB2312" w:cs="仿宋_GB2312" w:eastAsia="仿宋_GB2312"/>
                    </w:rPr>
                    <w:t>拖拉机和联合收割机行驶证</w:t>
                  </w:r>
                </w:p>
              </w:tc>
              <w:tc>
                <w:tcPr>
                  <w:tcW w:type="dxa" w:w="851"/>
                </w:tcPr>
                <w:p>
                  <w:pPr>
                    <w:pStyle w:val="null3"/>
                  </w:pPr>
                  <w:r>
                    <w:rPr>
                      <w:rFonts w:ascii="仿宋_GB2312" w:hAnsi="仿宋_GB2312" w:cs="仿宋_GB2312" w:eastAsia="仿宋_GB2312"/>
                    </w:rPr>
                    <w:t>12220套</w:t>
                  </w:r>
                </w:p>
              </w:tc>
            </w:tr>
          </w:tbl>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一、号牌主要技术要求</w:t>
            </w:r>
          </w:p>
          <w:p>
            <w:pPr>
              <w:pStyle w:val="null3"/>
            </w:pPr>
            <w:r>
              <w:rPr>
                <w:rFonts w:ascii="仿宋_GB2312" w:hAnsi="仿宋_GB2312" w:cs="仿宋_GB2312" w:eastAsia="仿宋_GB2312"/>
              </w:rPr>
              <w:t>（一）拖拉机号牌</w:t>
            </w:r>
          </w:p>
          <w:p>
            <w:pPr>
              <w:pStyle w:val="null3"/>
            </w:pPr>
            <w:r>
              <w:rPr>
                <w:rFonts w:ascii="仿宋_GB2312" w:hAnsi="仿宋_GB2312" w:cs="仿宋_GB2312" w:eastAsia="仿宋_GB2312"/>
              </w:rPr>
              <w:t>1、式样</w:t>
            </w:r>
          </w:p>
          <w:p>
            <w:pPr>
              <w:pStyle w:val="null3"/>
            </w:pPr>
            <w:r>
              <w:rPr>
                <w:rFonts w:ascii="仿宋_GB2312" w:hAnsi="仿宋_GB2312" w:cs="仿宋_GB2312" w:eastAsia="仿宋_GB2312"/>
              </w:rPr>
              <w:t>1-1、正式拖拉机号牌</w:t>
            </w:r>
          </w:p>
          <w:p>
            <w:pPr>
              <w:pStyle w:val="null3"/>
            </w:pPr>
            <w:r>
              <w:rPr>
                <w:rFonts w:ascii="仿宋_GB2312" w:hAnsi="仿宋_GB2312" w:cs="仿宋_GB2312" w:eastAsia="仿宋_GB2312"/>
              </w:rPr>
              <w:t>正式拖拉机号牌由省、自治区、直辖市简称，发牌机关代号，注册编号等三部分组成。</w:t>
            </w:r>
          </w:p>
          <w:p>
            <w:pPr>
              <w:pStyle w:val="null3"/>
            </w:pPr>
            <w:r>
              <w:rPr>
                <w:rFonts w:ascii="仿宋_GB2312" w:hAnsi="仿宋_GB2312" w:cs="仿宋_GB2312" w:eastAsia="仿宋_GB2312"/>
              </w:rPr>
              <w:t>1-2、教练拖拉机号牌</w:t>
            </w:r>
          </w:p>
          <w:p>
            <w:pPr>
              <w:pStyle w:val="null3"/>
            </w:pPr>
            <w:r>
              <w:rPr>
                <w:rFonts w:ascii="仿宋_GB2312" w:hAnsi="仿宋_GB2312" w:cs="仿宋_GB2312" w:eastAsia="仿宋_GB2312"/>
              </w:rPr>
              <w:t>教练拖拉机号牌由省、自治区、直辖市简称，发牌机关代号，注册编号和“学”等四部分组成。</w:t>
            </w:r>
          </w:p>
          <w:p>
            <w:pPr>
              <w:pStyle w:val="null3"/>
            </w:pPr>
            <w:r>
              <w:rPr>
                <w:rFonts w:ascii="仿宋_GB2312" w:hAnsi="仿宋_GB2312" w:cs="仿宋_GB2312" w:eastAsia="仿宋_GB2312"/>
              </w:rPr>
              <w:t>1-3、临时行驶拖拉机号牌</w:t>
            </w:r>
          </w:p>
          <w:p>
            <w:pPr>
              <w:pStyle w:val="null3"/>
            </w:pPr>
            <w:r>
              <w:rPr>
                <w:rFonts w:ascii="仿宋_GB2312" w:hAnsi="仿宋_GB2312" w:cs="仿宋_GB2312" w:eastAsia="仿宋_GB2312"/>
              </w:rPr>
              <w:t>临时行驶拖拉机号牌由省、自治区、直辖市简称，发牌机关代号，注册编号和“临”等四部分组成。背面应采用一号黑体制作：所有人、拖拉机机型、品牌型号、发动机号、机身(机架)号码、临时通行区间、有效期限、发牌机关印章、发牌日期字样。</w:t>
            </w:r>
          </w:p>
          <w:p>
            <w:pPr>
              <w:pStyle w:val="null3"/>
            </w:pPr>
            <w:r>
              <w:rPr>
                <w:rFonts w:ascii="仿宋_GB2312" w:hAnsi="仿宋_GB2312" w:cs="仿宋_GB2312" w:eastAsia="仿宋_GB2312"/>
              </w:rPr>
              <w:t>2、编号规则</w:t>
            </w:r>
          </w:p>
          <w:p>
            <w:pPr>
              <w:pStyle w:val="null3"/>
            </w:pPr>
            <w:r>
              <w:rPr>
                <w:rFonts w:ascii="仿宋_GB2312" w:hAnsi="仿宋_GB2312" w:cs="仿宋_GB2312" w:eastAsia="仿宋_GB2312"/>
              </w:rPr>
              <w:t>2-1、“省、自治区、直辖市简称”应符合GB/T2260规定的汉字简称。</w:t>
            </w:r>
          </w:p>
          <w:p>
            <w:pPr>
              <w:pStyle w:val="null3"/>
            </w:pPr>
            <w:r>
              <w:rPr>
                <w:rFonts w:ascii="仿宋_GB2312" w:hAnsi="仿宋_GB2312" w:cs="仿宋_GB2312" w:eastAsia="仿宋_GB2312"/>
              </w:rPr>
              <w:t>2-2、发牌机关代号由2位阿拉伯数字组成，为GB/T2260第三、第四位代码。</w:t>
            </w:r>
          </w:p>
          <w:p>
            <w:pPr>
              <w:pStyle w:val="null3"/>
            </w:pPr>
            <w:r>
              <w:rPr>
                <w:rFonts w:ascii="仿宋_GB2312" w:hAnsi="仿宋_GB2312" w:cs="仿宋_GB2312" w:eastAsia="仿宋_GB2312"/>
              </w:rPr>
              <w:t>2-3、正式拖拉机号牌注册编号由5位阿拉伯数字或字母组成，如注册数量满额后可在第一位用字母代替。</w:t>
            </w:r>
          </w:p>
          <w:p>
            <w:pPr>
              <w:pStyle w:val="null3"/>
            </w:pPr>
            <w:r>
              <w:rPr>
                <w:rFonts w:ascii="仿宋_GB2312" w:hAnsi="仿宋_GB2312" w:cs="仿宋_GB2312" w:eastAsia="仿宋_GB2312"/>
              </w:rPr>
              <w:t>3、号牌字样</w:t>
            </w:r>
          </w:p>
          <w:p>
            <w:pPr>
              <w:pStyle w:val="null3"/>
            </w:pPr>
            <w:r>
              <w:rPr>
                <w:rFonts w:ascii="仿宋_GB2312" w:hAnsi="仿宋_GB2312" w:cs="仿宋_GB2312" w:eastAsia="仿宋_GB2312"/>
              </w:rPr>
              <w:t>3-1、省、自治区、直辖市简称用汉字字样（高45mm、宽45mm）。</w:t>
            </w:r>
          </w:p>
          <w:p>
            <w:pPr>
              <w:pStyle w:val="null3"/>
            </w:pPr>
            <w:r>
              <w:rPr>
                <w:rFonts w:ascii="仿宋_GB2312" w:hAnsi="仿宋_GB2312" w:cs="仿宋_GB2312" w:eastAsia="仿宋_GB2312"/>
              </w:rPr>
              <w:t>3-2、发牌机关代号用阿拉伯数字字样（高45mm、宽30mm）。</w:t>
            </w:r>
          </w:p>
          <w:p>
            <w:pPr>
              <w:pStyle w:val="null3"/>
            </w:pPr>
            <w:r>
              <w:rPr>
                <w:rFonts w:ascii="仿宋_GB2312" w:hAnsi="仿宋_GB2312" w:cs="仿宋_GB2312" w:eastAsia="仿宋_GB2312"/>
              </w:rPr>
              <w:t>3-3、注册编号用阿拉伯数字、字母及“学、临”汉字字样（高90mm、宽45mm）。</w:t>
            </w:r>
          </w:p>
          <w:p>
            <w:pPr>
              <w:pStyle w:val="null3"/>
            </w:pPr>
            <w:r>
              <w:rPr>
                <w:rFonts w:ascii="仿宋_GB2312" w:hAnsi="仿宋_GB2312" w:cs="仿宋_GB2312" w:eastAsia="仿宋_GB2312"/>
              </w:rPr>
              <w:t>3-4、号牌色彩</w:t>
            </w:r>
          </w:p>
          <w:p>
            <w:pPr>
              <w:pStyle w:val="null3"/>
            </w:pPr>
            <w:r>
              <w:rPr>
                <w:rFonts w:ascii="仿宋_GB2312" w:hAnsi="仿宋_GB2312" w:cs="仿宋_GB2312" w:eastAsia="仿宋_GB2312"/>
              </w:rPr>
              <w:t>3-4-1、号牌颜色：底色为绿色（YG03），框、字颜色为白色（Y11）。</w:t>
            </w:r>
          </w:p>
          <w:p>
            <w:pPr>
              <w:pStyle w:val="null3"/>
            </w:pPr>
            <w:r>
              <w:rPr>
                <w:rFonts w:ascii="仿宋_GB2312" w:hAnsi="仿宋_GB2312" w:cs="仿宋_GB2312" w:eastAsia="仿宋_GB2312"/>
              </w:rPr>
              <w:t>3-4-2、号牌漆膜应符合GB/T3181的规定</w:t>
            </w:r>
          </w:p>
          <w:p>
            <w:pPr>
              <w:pStyle w:val="null3"/>
            </w:pPr>
            <w:r>
              <w:rPr>
                <w:rFonts w:ascii="仿宋_GB2312" w:hAnsi="仿宋_GB2312" w:cs="仿宋_GB2312" w:eastAsia="仿宋_GB2312"/>
              </w:rPr>
              <w:t>4、技术要求</w:t>
            </w:r>
          </w:p>
          <w:p>
            <w:pPr>
              <w:pStyle w:val="null3"/>
            </w:pPr>
            <w:r>
              <w:rPr>
                <w:rFonts w:ascii="仿宋_GB2312" w:hAnsi="仿宋_GB2312" w:cs="仿宋_GB2312" w:eastAsia="仿宋_GB2312"/>
              </w:rPr>
              <w:t>4-1、字体：号牌上的字体均为黑体，汉字均采用国务院公布的规范汉字。</w:t>
            </w:r>
          </w:p>
          <w:p>
            <w:pPr>
              <w:pStyle w:val="null3"/>
            </w:pPr>
            <w:r>
              <w:rPr>
                <w:rFonts w:ascii="仿宋_GB2312" w:hAnsi="仿宋_GB2312" w:cs="仿宋_GB2312" w:eastAsia="仿宋_GB2312"/>
              </w:rPr>
              <w:t>4-2、材质及规格</w:t>
            </w:r>
          </w:p>
          <w:p>
            <w:pPr>
              <w:pStyle w:val="null3"/>
            </w:pPr>
            <w:r>
              <w:rPr>
                <w:rFonts w:ascii="仿宋_GB2312" w:hAnsi="仿宋_GB2312" w:cs="仿宋_GB2312" w:eastAsia="仿宋_GB2312"/>
              </w:rPr>
              <w:t>4-2-1、正式拖拉机号牌、教练拖拉机号牌应采用铝板金属材料，材料应符合GB/T 3880的规定，表面应采用反光材料。铝板厚度为1.0mm～2.0mm。</w:t>
            </w:r>
          </w:p>
          <w:p>
            <w:pPr>
              <w:pStyle w:val="null3"/>
            </w:pPr>
            <w:r>
              <w:rPr>
                <w:rFonts w:ascii="仿宋_GB2312" w:hAnsi="仿宋_GB2312" w:cs="仿宋_GB2312" w:eastAsia="仿宋_GB2312"/>
              </w:rPr>
              <w:t>4-2-2、临时行驶拖拉机号牌采用80 g～100 g压敏胶纸材料。</w:t>
            </w:r>
          </w:p>
          <w:p>
            <w:pPr>
              <w:pStyle w:val="null3"/>
            </w:pPr>
            <w:r>
              <w:rPr>
                <w:rFonts w:ascii="仿宋_GB2312" w:hAnsi="仿宋_GB2312" w:cs="仿宋_GB2312" w:eastAsia="仿宋_GB2312"/>
              </w:rPr>
              <w:t>4-3、金属号牌制作质量</w:t>
            </w:r>
          </w:p>
          <w:p>
            <w:pPr>
              <w:pStyle w:val="null3"/>
            </w:pPr>
            <w:r>
              <w:rPr>
                <w:rFonts w:ascii="仿宋_GB2312" w:hAnsi="仿宋_GB2312" w:cs="仿宋_GB2312" w:eastAsia="仿宋_GB2312"/>
              </w:rPr>
              <w:t>4-3-1、号牌四周应有凸起值l mm～1.3mm的加强筋，字符应凸出牌面1 mm以上，且与加强筋高度相同。</w:t>
            </w:r>
          </w:p>
          <w:p>
            <w:pPr>
              <w:pStyle w:val="null3"/>
            </w:pPr>
            <w:r>
              <w:rPr>
                <w:rFonts w:ascii="仿宋_GB2312" w:hAnsi="仿宋_GB2312" w:cs="仿宋_GB2312" w:eastAsia="仿宋_GB2312"/>
              </w:rPr>
              <w:t>4-3-2、各部尺寸误差应≤±1 mm。</w:t>
            </w:r>
          </w:p>
          <w:p>
            <w:pPr>
              <w:pStyle w:val="null3"/>
            </w:pPr>
            <w:r>
              <w:rPr>
                <w:rFonts w:ascii="仿宋_GB2312" w:hAnsi="仿宋_GB2312" w:cs="仿宋_GB2312" w:eastAsia="仿宋_GB2312"/>
              </w:rPr>
              <w:t>4-3-3、号牌表面应清晰、整齐、着色均匀，不应有皱纹、气泡、颗粒杂质及厚薄不等现象。外缘应光滑无毛刺。</w:t>
            </w:r>
          </w:p>
          <w:p>
            <w:pPr>
              <w:pStyle w:val="null3"/>
            </w:pPr>
            <w:r>
              <w:rPr>
                <w:rFonts w:ascii="仿宋_GB2312" w:hAnsi="仿宋_GB2312" w:cs="仿宋_GB2312" w:eastAsia="仿宋_GB2312"/>
              </w:rPr>
              <w:t>4-3-4、号牌表面涂料应与基材附着牢固。</w:t>
            </w:r>
          </w:p>
          <w:p>
            <w:pPr>
              <w:pStyle w:val="null3"/>
            </w:pPr>
            <w:r>
              <w:rPr>
                <w:rFonts w:ascii="仿宋_GB2312" w:hAnsi="仿宋_GB2312" w:cs="仿宋_GB2312" w:eastAsia="仿宋_GB2312"/>
              </w:rPr>
              <w:t>4-3-5、在-40℃～60℃的温度中不变形、无裂纹、不脱皮和褪色等。</w:t>
            </w:r>
          </w:p>
          <w:p>
            <w:pPr>
              <w:pStyle w:val="null3"/>
            </w:pPr>
            <w:r>
              <w:rPr>
                <w:rFonts w:ascii="仿宋_GB2312" w:hAnsi="仿宋_GB2312" w:cs="仿宋_GB2312" w:eastAsia="仿宋_GB2312"/>
              </w:rPr>
              <w:t>4-3-6、应防腐蚀和防水。</w:t>
            </w:r>
          </w:p>
          <w:p>
            <w:pPr>
              <w:pStyle w:val="null3"/>
            </w:pPr>
            <w:r>
              <w:rPr>
                <w:rFonts w:ascii="仿宋_GB2312" w:hAnsi="仿宋_GB2312" w:cs="仿宋_GB2312" w:eastAsia="仿宋_GB2312"/>
              </w:rPr>
              <w:t>4-3-7、在受到外力冲击弯曲时，不应有断裂、脱漆等损坏现象。</w:t>
            </w:r>
          </w:p>
          <w:p>
            <w:pPr>
              <w:pStyle w:val="null3"/>
            </w:pPr>
            <w:r>
              <w:rPr>
                <w:rFonts w:ascii="仿宋_GB2312" w:hAnsi="仿宋_GB2312" w:cs="仿宋_GB2312" w:eastAsia="仿宋_GB2312"/>
              </w:rPr>
              <w:t>5、质量检验</w:t>
            </w:r>
          </w:p>
          <w:p>
            <w:pPr>
              <w:pStyle w:val="null3"/>
            </w:pPr>
            <w:r>
              <w:rPr>
                <w:rFonts w:ascii="仿宋_GB2312" w:hAnsi="仿宋_GB2312" w:cs="仿宋_GB2312" w:eastAsia="仿宋_GB2312"/>
              </w:rPr>
              <w:t>5-1、号牌置于(60±5)℃的烘箱中7h后，取出放置在常温中lh，其表面应无开裂、脱皮及变色现象。</w:t>
            </w:r>
          </w:p>
          <w:p>
            <w:pPr>
              <w:pStyle w:val="null3"/>
            </w:pPr>
            <w:r>
              <w:rPr>
                <w:rFonts w:ascii="仿宋_GB2312" w:hAnsi="仿宋_GB2312" w:cs="仿宋_GB2312" w:eastAsia="仿宋_GB2312"/>
              </w:rPr>
              <w:t>5-2、号牌置于人工降温-40℃条件下15h后，取出放置在常温中1h，其表面应无开裂、脱皮及变色现象。</w:t>
            </w:r>
          </w:p>
          <w:p>
            <w:pPr>
              <w:pStyle w:val="null3"/>
            </w:pPr>
            <w:r>
              <w:rPr>
                <w:rFonts w:ascii="仿宋_GB2312" w:hAnsi="仿宋_GB2312" w:cs="仿宋_GB2312" w:eastAsia="仿宋_GB2312"/>
              </w:rPr>
              <w:t>5-3、号牌置于浓度为(5±1)％(质量)的氯化钠溶液中24h后，取出擦干放置在常温中1h，表面应无起泡、脱皮及变色现象。</w:t>
            </w:r>
          </w:p>
          <w:p>
            <w:pPr>
              <w:pStyle w:val="null3"/>
            </w:pPr>
            <w:r>
              <w:rPr>
                <w:rFonts w:ascii="仿宋_GB2312" w:hAnsi="仿宋_GB2312" w:cs="仿宋_GB2312" w:eastAsia="仿宋_GB2312"/>
              </w:rPr>
              <w:t>5-4、号牌分别浸入-20号柴油和90号以上汽油30 min后，取出擦干放置在常温中1 h，其表面应无剥落、软化、变色、失光等现象。</w:t>
            </w:r>
          </w:p>
          <w:p>
            <w:pPr>
              <w:pStyle w:val="null3"/>
            </w:pPr>
            <w:r>
              <w:rPr>
                <w:rFonts w:ascii="仿宋_GB2312" w:hAnsi="仿宋_GB2312" w:cs="仿宋_GB2312" w:eastAsia="仿宋_GB2312"/>
              </w:rPr>
              <w:t>5-5、号牌放置在坚固的平台上，用质量为0.25kg实心钢球，从2m高处自由落下至号牌表面，漆膜不应有破裂、皱纹。</w:t>
            </w:r>
          </w:p>
          <w:p>
            <w:pPr>
              <w:pStyle w:val="null3"/>
            </w:pPr>
            <w:r>
              <w:rPr>
                <w:rFonts w:ascii="仿宋_GB2312" w:hAnsi="仿宋_GB2312" w:cs="仿宋_GB2312" w:eastAsia="仿宋_GB2312"/>
              </w:rPr>
              <w:t>5-6、将号牌正面向外，绕在直径为20mm的圆钢棒上弯曲90º后，其表面漆膜不应有破裂现象。</w:t>
            </w:r>
          </w:p>
          <w:p>
            <w:pPr>
              <w:pStyle w:val="null3"/>
            </w:pPr>
            <w:r>
              <w:rPr>
                <w:rFonts w:ascii="仿宋_GB2312" w:hAnsi="仿宋_GB2312" w:cs="仿宋_GB2312" w:eastAsia="仿宋_GB2312"/>
              </w:rPr>
              <w:t>5-7、每50个号牌抽查一个，按本标准要求检查各部位尺寸、厚度及颜色。</w:t>
            </w:r>
          </w:p>
          <w:p>
            <w:pPr>
              <w:pStyle w:val="null3"/>
            </w:pPr>
            <w:r>
              <w:rPr>
                <w:rFonts w:ascii="仿宋_GB2312" w:hAnsi="仿宋_GB2312" w:cs="仿宋_GB2312" w:eastAsia="仿宋_GB2312"/>
              </w:rPr>
              <w:t>5-8、每10000个抽查一个，按本标准要求做各项检查和试验。</w:t>
            </w:r>
          </w:p>
          <w:p>
            <w:pPr>
              <w:pStyle w:val="null3"/>
            </w:pPr>
            <w:r>
              <w:rPr>
                <w:rFonts w:ascii="仿宋_GB2312" w:hAnsi="仿宋_GB2312" w:cs="仿宋_GB2312" w:eastAsia="仿宋_GB2312"/>
              </w:rPr>
              <w:t>6、包装、运输</w:t>
            </w:r>
          </w:p>
          <w:p>
            <w:pPr>
              <w:pStyle w:val="null3"/>
            </w:pPr>
            <w:r>
              <w:rPr>
                <w:rFonts w:ascii="仿宋_GB2312" w:hAnsi="仿宋_GB2312" w:cs="仿宋_GB2312" w:eastAsia="仿宋_GB2312"/>
              </w:rPr>
              <w:t>6-1、每个金属号牌装入一个包装袋，包装袋上应注明号牌种类、号码、面数及生、产厂名称。</w:t>
            </w:r>
          </w:p>
          <w:p>
            <w:pPr>
              <w:pStyle w:val="null3"/>
            </w:pPr>
            <w:r>
              <w:rPr>
                <w:rFonts w:ascii="仿宋_GB2312" w:hAnsi="仿宋_GB2312" w:cs="仿宋_GB2312" w:eastAsia="仿宋_GB2312"/>
              </w:rPr>
              <w:t>6-2、每50个号牌为一整包装箱，应采用防潮纸板箱或木箱加封包装。箱内应有检验合格证及装箱单。</w:t>
            </w:r>
          </w:p>
          <w:p>
            <w:pPr>
              <w:pStyle w:val="null3"/>
            </w:pPr>
            <w:r>
              <w:rPr>
                <w:rFonts w:ascii="仿宋_GB2312" w:hAnsi="仿宋_GB2312" w:cs="仿宋_GB2312" w:eastAsia="仿宋_GB2312"/>
              </w:rPr>
              <w:t>6-3、包装箱应标明：</w:t>
            </w:r>
          </w:p>
          <w:p>
            <w:pPr>
              <w:pStyle w:val="null3"/>
            </w:pPr>
            <w:r>
              <w:rPr>
                <w:rFonts w:ascii="仿宋_GB2312" w:hAnsi="仿宋_GB2312" w:cs="仿宋_GB2312" w:eastAsia="仿宋_GB2312"/>
              </w:rPr>
              <w:t>——制造厂名称；</w:t>
            </w:r>
          </w:p>
          <w:p>
            <w:pPr>
              <w:pStyle w:val="null3"/>
            </w:pPr>
            <w:r>
              <w:rPr>
                <w:rFonts w:ascii="仿宋_GB2312" w:hAnsi="仿宋_GB2312" w:cs="仿宋_GB2312" w:eastAsia="仿宋_GB2312"/>
              </w:rPr>
              <w:t>——品名；</w:t>
            </w:r>
          </w:p>
          <w:p>
            <w:pPr>
              <w:pStyle w:val="null3"/>
            </w:pPr>
            <w:r>
              <w:rPr>
                <w:rFonts w:ascii="仿宋_GB2312" w:hAnsi="仿宋_GB2312" w:cs="仿宋_GB2312" w:eastAsia="仿宋_GB2312"/>
              </w:rPr>
              <w:t>——号牌的注册编号起止号；</w:t>
            </w:r>
          </w:p>
          <w:p>
            <w:pPr>
              <w:pStyle w:val="null3"/>
            </w:pPr>
            <w:r>
              <w:rPr>
                <w:rFonts w:ascii="仿宋_GB2312" w:hAnsi="仿宋_GB2312" w:cs="仿宋_GB2312" w:eastAsia="仿宋_GB2312"/>
              </w:rPr>
              <w:t>——数量；</w:t>
            </w:r>
          </w:p>
          <w:p>
            <w:pPr>
              <w:pStyle w:val="null3"/>
            </w:pPr>
            <w:r>
              <w:rPr>
                <w:rFonts w:ascii="仿宋_GB2312" w:hAnsi="仿宋_GB2312" w:cs="仿宋_GB2312" w:eastAsia="仿宋_GB2312"/>
              </w:rPr>
              <w:t>——出厂日期。</w:t>
            </w:r>
          </w:p>
          <w:p>
            <w:pPr>
              <w:pStyle w:val="null3"/>
            </w:pPr>
            <w:r>
              <w:rPr>
                <w:rFonts w:ascii="仿宋_GB2312" w:hAnsi="仿宋_GB2312" w:cs="仿宋_GB2312" w:eastAsia="仿宋_GB2312"/>
              </w:rPr>
              <w:t>6-4、在运输过程中应防雨、防潮。</w:t>
            </w:r>
          </w:p>
          <w:p>
            <w:pPr>
              <w:pStyle w:val="null3"/>
            </w:pPr>
            <w:r>
              <w:rPr>
                <w:rFonts w:ascii="仿宋_GB2312" w:hAnsi="仿宋_GB2312" w:cs="仿宋_GB2312" w:eastAsia="仿宋_GB2312"/>
              </w:rPr>
              <w:t>（二）联合收割机号牌</w:t>
            </w:r>
          </w:p>
          <w:p>
            <w:pPr>
              <w:pStyle w:val="null3"/>
            </w:pPr>
            <w:r>
              <w:rPr>
                <w:rFonts w:ascii="仿宋_GB2312" w:hAnsi="仿宋_GB2312" w:cs="仿宋_GB2312" w:eastAsia="仿宋_GB2312"/>
              </w:rPr>
              <w:t>1、式样</w:t>
            </w:r>
          </w:p>
          <w:p>
            <w:pPr>
              <w:pStyle w:val="null3"/>
            </w:pPr>
            <w:r>
              <w:rPr>
                <w:rFonts w:ascii="仿宋_GB2312" w:hAnsi="仿宋_GB2312" w:cs="仿宋_GB2312" w:eastAsia="仿宋_GB2312"/>
              </w:rPr>
              <w:t>1-1、正式联合收割机号牌</w:t>
            </w:r>
          </w:p>
          <w:p>
            <w:pPr>
              <w:pStyle w:val="null3"/>
            </w:pPr>
            <w:r>
              <w:rPr>
                <w:rFonts w:ascii="仿宋_GB2312" w:hAnsi="仿宋_GB2312" w:cs="仿宋_GB2312" w:eastAsia="仿宋_GB2312"/>
              </w:rPr>
              <w:t>正式联合收割机号牌由省、自治区、直辖市简称，发牌机关代号，注册编号等三部分组成。</w:t>
            </w:r>
          </w:p>
          <w:p>
            <w:pPr>
              <w:pStyle w:val="null3"/>
            </w:pPr>
            <w:r>
              <w:rPr>
                <w:rFonts w:ascii="仿宋_GB2312" w:hAnsi="仿宋_GB2312" w:cs="仿宋_GB2312" w:eastAsia="仿宋_GB2312"/>
              </w:rPr>
              <w:t>1-2、教练联合收割机号牌</w:t>
            </w:r>
          </w:p>
          <w:p>
            <w:pPr>
              <w:pStyle w:val="null3"/>
            </w:pPr>
            <w:r>
              <w:rPr>
                <w:rFonts w:ascii="仿宋_GB2312" w:hAnsi="仿宋_GB2312" w:cs="仿宋_GB2312" w:eastAsia="仿宋_GB2312"/>
              </w:rPr>
              <w:t>教练联合收割机号牌由省、自治区、直辖市简称，发牌机关代号，注册编号和“学”等四部分组成。</w:t>
            </w:r>
          </w:p>
          <w:p>
            <w:pPr>
              <w:pStyle w:val="null3"/>
            </w:pPr>
            <w:r>
              <w:rPr>
                <w:rFonts w:ascii="仿宋_GB2312" w:hAnsi="仿宋_GB2312" w:cs="仿宋_GB2312" w:eastAsia="仿宋_GB2312"/>
              </w:rPr>
              <w:t>1-3、临时行驶联合收割机号牌</w:t>
            </w:r>
          </w:p>
          <w:p>
            <w:pPr>
              <w:pStyle w:val="null3"/>
            </w:pPr>
            <w:r>
              <w:rPr>
                <w:rFonts w:ascii="仿宋_GB2312" w:hAnsi="仿宋_GB2312" w:cs="仿宋_GB2312" w:eastAsia="仿宋_GB2312"/>
              </w:rPr>
              <w:t>临时行驶联合收割机号牌由省、自治区、直辖市简称，发牌机关代号，注册编号和“临”等四部分组成。背面应采用一号黑体制作：所有人、拖拉机机型、品牌型号、发动机号、机身(机架)号码、临时通行区间、有效期限、发牌机关印章、发牌日期字样。</w:t>
            </w:r>
          </w:p>
          <w:p>
            <w:pPr>
              <w:pStyle w:val="null3"/>
            </w:pPr>
            <w:r>
              <w:rPr>
                <w:rFonts w:ascii="仿宋_GB2312" w:hAnsi="仿宋_GB2312" w:cs="仿宋_GB2312" w:eastAsia="仿宋_GB2312"/>
              </w:rPr>
              <w:t>2、编号规则</w:t>
            </w:r>
          </w:p>
          <w:p>
            <w:pPr>
              <w:pStyle w:val="null3"/>
            </w:pPr>
            <w:r>
              <w:rPr>
                <w:rFonts w:ascii="仿宋_GB2312" w:hAnsi="仿宋_GB2312" w:cs="仿宋_GB2312" w:eastAsia="仿宋_GB2312"/>
              </w:rPr>
              <w:t>2-1、“省、自治区、直辖市简称”应符合GB/T2260规定的汉字简称。</w:t>
            </w:r>
          </w:p>
          <w:p>
            <w:pPr>
              <w:pStyle w:val="null3"/>
            </w:pPr>
            <w:r>
              <w:rPr>
                <w:rFonts w:ascii="仿宋_GB2312" w:hAnsi="仿宋_GB2312" w:cs="仿宋_GB2312" w:eastAsia="仿宋_GB2312"/>
              </w:rPr>
              <w:t>2-2、发牌机关代号由2位阿拉伯数字组成，为GB/T2260第三、第四位代码</w:t>
            </w:r>
          </w:p>
          <w:p>
            <w:pPr>
              <w:pStyle w:val="null3"/>
            </w:pPr>
            <w:r>
              <w:rPr>
                <w:rFonts w:ascii="仿宋_GB2312" w:hAnsi="仿宋_GB2312" w:cs="仿宋_GB2312" w:eastAsia="仿宋_GB2312"/>
              </w:rPr>
              <w:t>2-3、正式联合收割机号牌注册编号由5位阿拉伯数字或字母组成，如注册数量满额后可在第一位用字母代替。</w:t>
            </w:r>
          </w:p>
          <w:p>
            <w:pPr>
              <w:pStyle w:val="null3"/>
            </w:pPr>
            <w:r>
              <w:rPr>
                <w:rFonts w:ascii="仿宋_GB2312" w:hAnsi="仿宋_GB2312" w:cs="仿宋_GB2312" w:eastAsia="仿宋_GB2312"/>
              </w:rPr>
              <w:t>3、号牌字样</w:t>
            </w:r>
          </w:p>
          <w:p>
            <w:pPr>
              <w:pStyle w:val="null3"/>
            </w:pPr>
            <w:r>
              <w:rPr>
                <w:rFonts w:ascii="仿宋_GB2312" w:hAnsi="仿宋_GB2312" w:cs="仿宋_GB2312" w:eastAsia="仿宋_GB2312"/>
              </w:rPr>
              <w:t>3-1、省、自治区、直辖市简称用汉字字样（高45mm、宽45mm）。</w:t>
            </w:r>
          </w:p>
          <w:p>
            <w:pPr>
              <w:pStyle w:val="null3"/>
            </w:pPr>
            <w:r>
              <w:rPr>
                <w:rFonts w:ascii="仿宋_GB2312" w:hAnsi="仿宋_GB2312" w:cs="仿宋_GB2312" w:eastAsia="仿宋_GB2312"/>
              </w:rPr>
              <w:t>3-2、发牌机关代号用阿拉伯数字字样（高45mm、宽30mm）。</w:t>
            </w:r>
          </w:p>
          <w:p>
            <w:pPr>
              <w:pStyle w:val="null3"/>
            </w:pPr>
            <w:r>
              <w:rPr>
                <w:rFonts w:ascii="仿宋_GB2312" w:hAnsi="仿宋_GB2312" w:cs="仿宋_GB2312" w:eastAsia="仿宋_GB2312"/>
              </w:rPr>
              <w:t>3-3、注册编号用阿拉伯数字、字母及“学、临”汉字字样（高90mm、宽45mm）。</w:t>
            </w:r>
          </w:p>
          <w:p>
            <w:pPr>
              <w:pStyle w:val="null3"/>
            </w:pPr>
            <w:r>
              <w:rPr>
                <w:rFonts w:ascii="仿宋_GB2312" w:hAnsi="仿宋_GB2312" w:cs="仿宋_GB2312" w:eastAsia="仿宋_GB2312"/>
              </w:rPr>
              <w:t>3-4、号牌色彩</w:t>
            </w:r>
          </w:p>
          <w:p>
            <w:pPr>
              <w:pStyle w:val="null3"/>
            </w:pPr>
            <w:r>
              <w:rPr>
                <w:rFonts w:ascii="仿宋_GB2312" w:hAnsi="仿宋_GB2312" w:cs="仿宋_GB2312" w:eastAsia="仿宋_GB2312"/>
              </w:rPr>
              <w:t>3-4-1、号牌颜色</w:t>
            </w:r>
          </w:p>
          <w:p>
            <w:pPr>
              <w:pStyle w:val="null3"/>
            </w:pPr>
            <w:r>
              <w:rPr>
                <w:rFonts w:ascii="仿宋_GB2312" w:hAnsi="仿宋_GB2312" w:cs="仿宋_GB2312" w:eastAsia="仿宋_GB2312"/>
              </w:rPr>
              <w:t>底色为白色（Y11），框、字颜色为红色（R03）。</w:t>
            </w:r>
          </w:p>
          <w:p>
            <w:pPr>
              <w:pStyle w:val="null3"/>
            </w:pPr>
            <w:r>
              <w:rPr>
                <w:rFonts w:ascii="仿宋_GB2312" w:hAnsi="仿宋_GB2312" w:cs="仿宋_GB2312" w:eastAsia="仿宋_GB2312"/>
              </w:rPr>
              <w:t>3-4-2、号牌漆膜应符合GB/T3181的规定</w:t>
            </w:r>
          </w:p>
          <w:p>
            <w:pPr>
              <w:pStyle w:val="null3"/>
            </w:pPr>
            <w:r>
              <w:rPr>
                <w:rFonts w:ascii="仿宋_GB2312" w:hAnsi="仿宋_GB2312" w:cs="仿宋_GB2312" w:eastAsia="仿宋_GB2312"/>
              </w:rPr>
              <w:t>4、技术要求</w:t>
            </w:r>
          </w:p>
          <w:p>
            <w:pPr>
              <w:pStyle w:val="null3"/>
            </w:pPr>
            <w:r>
              <w:rPr>
                <w:rFonts w:ascii="仿宋_GB2312" w:hAnsi="仿宋_GB2312" w:cs="仿宋_GB2312" w:eastAsia="仿宋_GB2312"/>
              </w:rPr>
              <w:t>4-1、字体</w:t>
            </w:r>
          </w:p>
          <w:p>
            <w:pPr>
              <w:pStyle w:val="null3"/>
            </w:pPr>
            <w:r>
              <w:rPr>
                <w:rFonts w:ascii="仿宋_GB2312" w:hAnsi="仿宋_GB2312" w:cs="仿宋_GB2312" w:eastAsia="仿宋_GB2312"/>
              </w:rPr>
              <w:t>号牌上的字体均为黑体，汉字均采用国务院公布的规范汉字。</w:t>
            </w:r>
          </w:p>
          <w:p>
            <w:pPr>
              <w:pStyle w:val="null3"/>
            </w:pPr>
            <w:r>
              <w:rPr>
                <w:rFonts w:ascii="仿宋_GB2312" w:hAnsi="仿宋_GB2312" w:cs="仿宋_GB2312" w:eastAsia="仿宋_GB2312"/>
              </w:rPr>
              <w:t>4-2、材质及规格</w:t>
            </w:r>
          </w:p>
          <w:p>
            <w:pPr>
              <w:pStyle w:val="null3"/>
            </w:pPr>
            <w:r>
              <w:rPr>
                <w:rFonts w:ascii="仿宋_GB2312" w:hAnsi="仿宋_GB2312" w:cs="仿宋_GB2312" w:eastAsia="仿宋_GB2312"/>
              </w:rPr>
              <w:t>4-2-1、正式联合收割机号牌、教练联合收割机号牌应采用铝板金属材料，材料应符合GB/T3880的规定，表面应采用反光材料。铝板厚度为1.0mm～2.0mm。</w:t>
            </w:r>
          </w:p>
          <w:p>
            <w:pPr>
              <w:pStyle w:val="null3"/>
            </w:pPr>
            <w:r>
              <w:rPr>
                <w:rFonts w:ascii="仿宋_GB2312" w:hAnsi="仿宋_GB2312" w:cs="仿宋_GB2312" w:eastAsia="仿宋_GB2312"/>
              </w:rPr>
              <w:t>4-2-2、临时行驶联合收割机号牌采用80g～100g压敏胶纸材料。</w:t>
            </w:r>
          </w:p>
          <w:p>
            <w:pPr>
              <w:pStyle w:val="null3"/>
            </w:pPr>
            <w:r>
              <w:rPr>
                <w:rFonts w:ascii="仿宋_GB2312" w:hAnsi="仿宋_GB2312" w:cs="仿宋_GB2312" w:eastAsia="仿宋_GB2312"/>
              </w:rPr>
              <w:t>4-3、金属号牌制作质量</w:t>
            </w:r>
          </w:p>
          <w:p>
            <w:pPr>
              <w:pStyle w:val="null3"/>
            </w:pPr>
            <w:r>
              <w:rPr>
                <w:rFonts w:ascii="仿宋_GB2312" w:hAnsi="仿宋_GB2312" w:cs="仿宋_GB2312" w:eastAsia="仿宋_GB2312"/>
              </w:rPr>
              <w:t>4-3-1、号牌四周应有凸起值lmm～1.3mm的加强筋，字符应凸出牌面1mm以上，且与加强筋高度相同。</w:t>
            </w:r>
          </w:p>
          <w:p>
            <w:pPr>
              <w:pStyle w:val="null3"/>
            </w:pPr>
            <w:r>
              <w:rPr>
                <w:rFonts w:ascii="仿宋_GB2312" w:hAnsi="仿宋_GB2312" w:cs="仿宋_GB2312" w:eastAsia="仿宋_GB2312"/>
              </w:rPr>
              <w:t>4-3-2、各部尺寸误差应≤±1mm。</w:t>
            </w:r>
          </w:p>
          <w:p>
            <w:pPr>
              <w:pStyle w:val="null3"/>
            </w:pPr>
            <w:r>
              <w:rPr>
                <w:rFonts w:ascii="仿宋_GB2312" w:hAnsi="仿宋_GB2312" w:cs="仿宋_GB2312" w:eastAsia="仿宋_GB2312"/>
              </w:rPr>
              <w:t>4-3-3、号牌表面应清晰、整齐、着色均匀，不应有皱纹、气泡、颗粒杂质及厚薄不等现象。外缘应光滑无毛刺。</w:t>
            </w:r>
          </w:p>
          <w:p>
            <w:pPr>
              <w:pStyle w:val="null3"/>
            </w:pPr>
            <w:r>
              <w:rPr>
                <w:rFonts w:ascii="仿宋_GB2312" w:hAnsi="仿宋_GB2312" w:cs="仿宋_GB2312" w:eastAsia="仿宋_GB2312"/>
              </w:rPr>
              <w:t>4-3-4、号牌表面涂料应与基材附着牢固。</w:t>
            </w:r>
          </w:p>
          <w:p>
            <w:pPr>
              <w:pStyle w:val="null3"/>
            </w:pPr>
            <w:r>
              <w:rPr>
                <w:rFonts w:ascii="仿宋_GB2312" w:hAnsi="仿宋_GB2312" w:cs="仿宋_GB2312" w:eastAsia="仿宋_GB2312"/>
              </w:rPr>
              <w:t>4-3-5、在-40℃～60℃的温度中不变形、无裂纹、不脱皮和褪色等。</w:t>
            </w:r>
          </w:p>
          <w:p>
            <w:pPr>
              <w:pStyle w:val="null3"/>
            </w:pPr>
            <w:r>
              <w:rPr>
                <w:rFonts w:ascii="仿宋_GB2312" w:hAnsi="仿宋_GB2312" w:cs="仿宋_GB2312" w:eastAsia="仿宋_GB2312"/>
              </w:rPr>
              <w:t>4-3-6、应防腐蚀和防水。</w:t>
            </w:r>
          </w:p>
          <w:p>
            <w:pPr>
              <w:pStyle w:val="null3"/>
            </w:pPr>
            <w:r>
              <w:rPr>
                <w:rFonts w:ascii="仿宋_GB2312" w:hAnsi="仿宋_GB2312" w:cs="仿宋_GB2312" w:eastAsia="仿宋_GB2312"/>
              </w:rPr>
              <w:t>4-3-7、在受到外力冲击弯曲时，不应有断裂、脱漆等损坏现象。</w:t>
            </w:r>
          </w:p>
          <w:p>
            <w:pPr>
              <w:pStyle w:val="null3"/>
            </w:pPr>
            <w:r>
              <w:rPr>
                <w:rFonts w:ascii="仿宋_GB2312" w:hAnsi="仿宋_GB2312" w:cs="仿宋_GB2312" w:eastAsia="仿宋_GB2312"/>
              </w:rPr>
              <w:t>5、质量检验</w:t>
            </w:r>
          </w:p>
          <w:p>
            <w:pPr>
              <w:pStyle w:val="null3"/>
            </w:pPr>
            <w:r>
              <w:rPr>
                <w:rFonts w:ascii="仿宋_GB2312" w:hAnsi="仿宋_GB2312" w:cs="仿宋_GB2312" w:eastAsia="仿宋_GB2312"/>
              </w:rPr>
              <w:t>5-1、号牌置于(60±5)℃的烘箱中7h后，取出放置在常温中lh，其表面应无开裂、脱皮及变色现象。</w:t>
            </w:r>
          </w:p>
          <w:p>
            <w:pPr>
              <w:pStyle w:val="null3"/>
            </w:pPr>
            <w:r>
              <w:rPr>
                <w:rFonts w:ascii="仿宋_GB2312" w:hAnsi="仿宋_GB2312" w:cs="仿宋_GB2312" w:eastAsia="仿宋_GB2312"/>
              </w:rPr>
              <w:t>5-2、号牌置于人工降温-40℃条件下15h后，取出放置在常温中1h，其表面应无开裂、脱皮及变色现象。</w:t>
            </w:r>
          </w:p>
          <w:p>
            <w:pPr>
              <w:pStyle w:val="null3"/>
            </w:pPr>
            <w:r>
              <w:rPr>
                <w:rFonts w:ascii="仿宋_GB2312" w:hAnsi="仿宋_GB2312" w:cs="仿宋_GB2312" w:eastAsia="仿宋_GB2312"/>
              </w:rPr>
              <w:t>5-3、号牌置于浓度为(5±1)％(质量)的氯化钠溶液中24h后，取出擦干放置在常温中1h，表面应无起泡、脱皮及变色现象。</w:t>
            </w:r>
          </w:p>
          <w:p>
            <w:pPr>
              <w:pStyle w:val="null3"/>
            </w:pPr>
            <w:r>
              <w:rPr>
                <w:rFonts w:ascii="仿宋_GB2312" w:hAnsi="仿宋_GB2312" w:cs="仿宋_GB2312" w:eastAsia="仿宋_GB2312"/>
              </w:rPr>
              <w:t>5-4、号牌分别浸入-20号柴油和90号以上汽油30min后，取出擦干放置在常温中1h，其表面应无剥落、软化、变色、失光等现象。</w:t>
            </w:r>
          </w:p>
          <w:p>
            <w:pPr>
              <w:pStyle w:val="null3"/>
            </w:pPr>
            <w:r>
              <w:rPr>
                <w:rFonts w:ascii="仿宋_GB2312" w:hAnsi="仿宋_GB2312" w:cs="仿宋_GB2312" w:eastAsia="仿宋_GB2312"/>
              </w:rPr>
              <w:t>5-5、号牌放置在坚固的平台上，用质量为0．25kg实心钢球，从2m高处自由落下至号牌表面，漆膜不应有破裂、皱纹。</w:t>
            </w:r>
          </w:p>
          <w:p>
            <w:pPr>
              <w:pStyle w:val="null3"/>
            </w:pPr>
            <w:r>
              <w:rPr>
                <w:rFonts w:ascii="仿宋_GB2312" w:hAnsi="仿宋_GB2312" w:cs="仿宋_GB2312" w:eastAsia="仿宋_GB2312"/>
              </w:rPr>
              <w:t>5-6、将号牌正面向外，绕在直径为20mm的圆钢棒上弯曲90º后，其表面漆膜不应有破裂现象。</w:t>
            </w:r>
          </w:p>
          <w:p>
            <w:pPr>
              <w:pStyle w:val="null3"/>
            </w:pPr>
            <w:r>
              <w:rPr>
                <w:rFonts w:ascii="仿宋_GB2312" w:hAnsi="仿宋_GB2312" w:cs="仿宋_GB2312" w:eastAsia="仿宋_GB2312"/>
              </w:rPr>
              <w:t>5-7、每50个号牌抽查一个，按本标准要求检查各部位尺寸、厚度及颜色。</w:t>
            </w:r>
          </w:p>
          <w:p>
            <w:pPr>
              <w:pStyle w:val="null3"/>
            </w:pPr>
            <w:r>
              <w:rPr>
                <w:rFonts w:ascii="仿宋_GB2312" w:hAnsi="仿宋_GB2312" w:cs="仿宋_GB2312" w:eastAsia="仿宋_GB2312"/>
              </w:rPr>
              <w:t>5-8、每10000个抽查一个，按本标准要求做各项检查和试验。</w:t>
            </w:r>
          </w:p>
          <w:p>
            <w:pPr>
              <w:pStyle w:val="null3"/>
            </w:pPr>
            <w:r>
              <w:rPr>
                <w:rFonts w:ascii="仿宋_GB2312" w:hAnsi="仿宋_GB2312" w:cs="仿宋_GB2312" w:eastAsia="仿宋_GB2312"/>
              </w:rPr>
              <w:t>6、包装、运输</w:t>
            </w:r>
          </w:p>
          <w:p>
            <w:pPr>
              <w:pStyle w:val="null3"/>
            </w:pPr>
            <w:r>
              <w:rPr>
                <w:rFonts w:ascii="仿宋_GB2312" w:hAnsi="仿宋_GB2312" w:cs="仿宋_GB2312" w:eastAsia="仿宋_GB2312"/>
              </w:rPr>
              <w:t>6-1、每个金属号牌装入一个包装袋，包装袋上应注明号牌种类、号码、面数及生产厂名称。</w:t>
            </w:r>
          </w:p>
          <w:p>
            <w:pPr>
              <w:pStyle w:val="null3"/>
            </w:pPr>
            <w:r>
              <w:rPr>
                <w:rFonts w:ascii="仿宋_GB2312" w:hAnsi="仿宋_GB2312" w:cs="仿宋_GB2312" w:eastAsia="仿宋_GB2312"/>
              </w:rPr>
              <w:t>6-2、每50个号牌为一整包装箱，应采用防潮纸板箱或木箱加封包装。箱内应有检验合格证及装箱单。</w:t>
            </w:r>
          </w:p>
          <w:p>
            <w:pPr>
              <w:pStyle w:val="null3"/>
            </w:pPr>
            <w:r>
              <w:rPr>
                <w:rFonts w:ascii="仿宋_GB2312" w:hAnsi="仿宋_GB2312" w:cs="仿宋_GB2312" w:eastAsia="仿宋_GB2312"/>
              </w:rPr>
              <w:t>6-3、包装箱应标明：</w:t>
            </w:r>
          </w:p>
          <w:p>
            <w:pPr>
              <w:pStyle w:val="null3"/>
            </w:pPr>
            <w:r>
              <w:rPr>
                <w:rFonts w:ascii="仿宋_GB2312" w:hAnsi="仿宋_GB2312" w:cs="仿宋_GB2312" w:eastAsia="仿宋_GB2312"/>
              </w:rPr>
              <w:t>——制造厂名称；</w:t>
            </w:r>
          </w:p>
          <w:p>
            <w:pPr>
              <w:pStyle w:val="null3"/>
            </w:pPr>
            <w:r>
              <w:rPr>
                <w:rFonts w:ascii="仿宋_GB2312" w:hAnsi="仿宋_GB2312" w:cs="仿宋_GB2312" w:eastAsia="仿宋_GB2312"/>
              </w:rPr>
              <w:t>——品名；</w:t>
            </w:r>
          </w:p>
          <w:p>
            <w:pPr>
              <w:pStyle w:val="null3"/>
            </w:pPr>
            <w:r>
              <w:rPr>
                <w:rFonts w:ascii="仿宋_GB2312" w:hAnsi="仿宋_GB2312" w:cs="仿宋_GB2312" w:eastAsia="仿宋_GB2312"/>
              </w:rPr>
              <w:t>——号牌的注册编号起止号；</w:t>
            </w:r>
          </w:p>
          <w:p>
            <w:pPr>
              <w:pStyle w:val="null3"/>
            </w:pPr>
            <w:r>
              <w:rPr>
                <w:rFonts w:ascii="仿宋_GB2312" w:hAnsi="仿宋_GB2312" w:cs="仿宋_GB2312" w:eastAsia="仿宋_GB2312"/>
              </w:rPr>
              <w:t>——数量；</w:t>
            </w:r>
          </w:p>
          <w:p>
            <w:pPr>
              <w:pStyle w:val="null3"/>
            </w:pPr>
            <w:r>
              <w:rPr>
                <w:rFonts w:ascii="仿宋_GB2312" w:hAnsi="仿宋_GB2312" w:cs="仿宋_GB2312" w:eastAsia="仿宋_GB2312"/>
              </w:rPr>
              <w:t>——出厂日期。</w:t>
            </w:r>
          </w:p>
          <w:p>
            <w:pPr>
              <w:pStyle w:val="null3"/>
            </w:pPr>
            <w:r>
              <w:rPr>
                <w:rFonts w:ascii="仿宋_GB2312" w:hAnsi="仿宋_GB2312" w:cs="仿宋_GB2312" w:eastAsia="仿宋_GB2312"/>
              </w:rPr>
              <w:t>6-4、在运输过程中应防雨、防潮。</w:t>
            </w:r>
          </w:p>
          <w:p>
            <w:pPr>
              <w:pStyle w:val="null3"/>
            </w:pPr>
            <w:r>
              <w:rPr>
                <w:rFonts w:ascii="仿宋_GB2312" w:hAnsi="仿宋_GB2312" w:cs="仿宋_GB2312" w:eastAsia="仿宋_GB2312"/>
              </w:rPr>
              <w:t>7、购买农牧业机械号牌及配套物品供应服务的说明</w:t>
            </w:r>
          </w:p>
          <w:p>
            <w:pPr>
              <w:pStyle w:val="null3"/>
            </w:pPr>
            <w:r>
              <w:rPr>
                <w:rFonts w:ascii="仿宋_GB2312" w:hAnsi="仿宋_GB2312" w:cs="仿宋_GB2312" w:eastAsia="仿宋_GB2312"/>
              </w:rPr>
              <w:t>7-1、制做品种：农牧业机械号牌类物品包括拖拉机号牌（含拖拉机教练号牌）、联合收割机号牌（含联合收割机教练号牌）、号牌托架、固封螺钉。</w:t>
            </w:r>
          </w:p>
          <w:p>
            <w:pPr>
              <w:pStyle w:val="null3"/>
            </w:pPr>
            <w:r>
              <w:rPr>
                <w:rFonts w:ascii="仿宋_GB2312" w:hAnsi="仿宋_GB2312" w:cs="仿宋_GB2312" w:eastAsia="仿宋_GB2312"/>
              </w:rPr>
              <w:t>7-2、制做质量与技术要求：号牌的式样、颜色、尺寸、制造质量、包装等技术要求，需分别符合农业行业标准NY 345.1－2005《拖拉机号牌》、NY 345.2－2005《联合收割机号牌》规定的要求；号牌托架和固封螺钉的式样和质量应符合双方认可的实物样品的规定。同时还应分别满足以下要求：</w:t>
            </w:r>
          </w:p>
          <w:p>
            <w:pPr>
              <w:pStyle w:val="null3"/>
            </w:pPr>
            <w:r>
              <w:rPr>
                <w:rFonts w:ascii="仿宋_GB2312" w:hAnsi="仿宋_GB2312" w:cs="仿宋_GB2312" w:eastAsia="仿宋_GB2312"/>
              </w:rPr>
              <w:t>（1）号牌为反光号牌，采用1.0mm铝板制作；</w:t>
            </w:r>
          </w:p>
          <w:p>
            <w:pPr>
              <w:pStyle w:val="null3"/>
            </w:pPr>
            <w:r>
              <w:rPr>
                <w:rFonts w:ascii="仿宋_GB2312" w:hAnsi="仿宋_GB2312" w:cs="仿宋_GB2312" w:eastAsia="仿宋_GB2312"/>
              </w:rPr>
              <w:t>（2）号牌托架采用0.5mm镀锌铁板制作；</w:t>
            </w:r>
          </w:p>
          <w:p>
            <w:pPr>
              <w:pStyle w:val="null3"/>
            </w:pPr>
            <w:r>
              <w:rPr>
                <w:rFonts w:ascii="仿宋_GB2312" w:hAnsi="仿宋_GB2312" w:cs="仿宋_GB2312" w:eastAsia="仿宋_GB2312"/>
              </w:rPr>
              <w:t>二、登记证书主要技术要求</w:t>
            </w:r>
          </w:p>
          <w:p>
            <w:pPr>
              <w:pStyle w:val="null3"/>
            </w:pPr>
            <w:r>
              <w:rPr>
                <w:rFonts w:ascii="仿宋_GB2312" w:hAnsi="仿宋_GB2312" w:cs="仿宋_GB2312" w:eastAsia="仿宋_GB2312"/>
              </w:rPr>
              <w:t>附  录  F</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农机监理主标志LOGO</w:t>
            </w:r>
          </w:p>
          <w:p>
            <w:pPr>
              <w:pStyle w:val="null3"/>
            </w:pPr>
            <w:r>
              <w:rPr>
                <w:rFonts w:ascii="仿宋_GB2312" w:hAnsi="仿宋_GB2312" w:cs="仿宋_GB2312" w:eastAsia="仿宋_GB2312"/>
              </w:rPr>
              <w:t>农机监理主标志LOGO见图F.1。</w:t>
            </w:r>
          </w:p>
          <w:p>
            <w:pPr>
              <w:pStyle w:val="null3"/>
            </w:pPr>
            <w:r>
              <w:drawing>
                <wp:inline distT="0" distR="0" distB="0" distL="0">
                  <wp:extent cx="1621155" cy="1265609"/>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1265609"/>
                          </a:xfrm>
                          <a:prstGeom prst="rect">
                            <a:avLst/>
                          </a:prstGeom>
                        </pic:spPr>
                      </pic:pic>
                    </a:graphicData>
                  </a:graphic>
                </wp:inline>
              </w:drawing>
            </w:r>
          </w:p>
          <w:p>
            <w:pPr>
              <w:pStyle w:val="null3"/>
            </w:pPr>
            <w:r>
              <w:rPr>
                <w:rFonts w:ascii="仿宋_GB2312" w:hAnsi="仿宋_GB2312" w:cs="仿宋_GB2312" w:eastAsia="仿宋_GB2312"/>
              </w:rPr>
              <w:t>图F.1农机监理主标志LOGO</w:t>
            </w:r>
          </w:p>
          <w:p>
            <w:pPr>
              <w:pStyle w:val="null3"/>
            </w:pPr>
            <w:r>
              <w:rPr>
                <w:rFonts w:ascii="仿宋_GB2312" w:hAnsi="仿宋_GB2312" w:cs="仿宋_GB2312" w:eastAsia="仿宋_GB2312"/>
              </w:rPr>
              <w:t>拖拉机和联合收割机登记证书</w:t>
            </w:r>
          </w:p>
          <w:p>
            <w:pPr>
              <w:pStyle w:val="null3"/>
            </w:pPr>
            <w:r>
              <w:rPr>
                <w:rFonts w:ascii="仿宋_GB2312" w:hAnsi="仿宋_GB2312" w:cs="仿宋_GB2312" w:eastAsia="仿宋_GB2312"/>
              </w:rPr>
              <w:t>1、技术要求</w:t>
            </w:r>
          </w:p>
          <w:p>
            <w:pPr>
              <w:pStyle w:val="null3"/>
            </w:pPr>
            <w:r>
              <w:rPr>
                <w:rFonts w:ascii="仿宋_GB2312" w:hAnsi="仿宋_GB2312" w:cs="仿宋_GB2312" w:eastAsia="仿宋_GB2312"/>
              </w:rPr>
              <w:t>1-1、证书封皮式样</w:t>
            </w:r>
          </w:p>
          <w:p>
            <w:pPr>
              <w:pStyle w:val="null3"/>
            </w:pPr>
            <w:r>
              <w:rPr>
                <w:rFonts w:ascii="仿宋_GB2312" w:hAnsi="仿宋_GB2312" w:cs="仿宋_GB2312" w:eastAsia="仿宋_GB2312"/>
              </w:rPr>
              <w:t>1-1-1、证书封皮采用紫棕色（C：66，M：85，Y：100，K：61）25丝胶化纸和230g卡纸。封面中英文文字采用烫金压凹工艺，封底无文字。</w:t>
            </w:r>
          </w:p>
          <w:p>
            <w:pPr>
              <w:pStyle w:val="null3"/>
            </w:pPr>
            <w:r>
              <w:rPr>
                <w:rFonts w:ascii="仿宋_GB2312" w:hAnsi="仿宋_GB2312" w:cs="仿宋_GB2312" w:eastAsia="仿宋_GB2312"/>
              </w:rPr>
              <w:t>1-1-2、所有中文文字均为华文中宋，字号: “中华人民共和国”26pt；“拖拉机和联合收割机登记证书”36pt；“中华人民共和国农业部制”22pt；所有英文文字均为Times New Roman；字号：“People’s Republic of China”18pt；“Tractor and combine-harvesterRegister Certificate ”24pt；“Made by Ministry of Agriculture of the People’s Republic of China”12pt。</w:t>
            </w:r>
          </w:p>
          <w:p>
            <w:pPr>
              <w:pStyle w:val="null3"/>
            </w:pPr>
            <w:r>
              <w:rPr>
                <w:rFonts w:ascii="仿宋_GB2312" w:hAnsi="仿宋_GB2312" w:cs="仿宋_GB2312" w:eastAsia="仿宋_GB2312"/>
              </w:rPr>
              <w:t>1-1-3、封皮衬里采用95g防伪水印纸，水印文字为“拖拉机和联合收割机登记证书”，36pt华文中宋；水印图案为农机监理主标志图案（见附录G），大小为35mm x 30mm。水印纸的各项指标符合GB/T 22467.1—2008的规定。</w:t>
            </w:r>
          </w:p>
          <w:p>
            <w:pPr>
              <w:pStyle w:val="null3"/>
            </w:pPr>
            <w:r>
              <w:rPr>
                <w:rFonts w:ascii="仿宋_GB2312" w:hAnsi="仿宋_GB2312" w:cs="仿宋_GB2312" w:eastAsia="仿宋_GB2312"/>
              </w:rPr>
              <w:t>1-1-4、证书封皮格式和内容的尺寸应符合附录H的规定。</w:t>
            </w:r>
          </w:p>
          <w:p>
            <w:pPr>
              <w:pStyle w:val="null3"/>
            </w:pPr>
            <w:r>
              <w:rPr>
                <w:rFonts w:ascii="仿宋_GB2312" w:hAnsi="仿宋_GB2312" w:cs="仿宋_GB2312" w:eastAsia="仿宋_GB2312"/>
              </w:rPr>
              <w:t>1-2、证书内页式样</w:t>
            </w:r>
          </w:p>
          <w:p>
            <w:pPr>
              <w:pStyle w:val="null3"/>
            </w:pPr>
            <w:r>
              <w:rPr>
                <w:rFonts w:ascii="仿宋_GB2312" w:hAnsi="仿宋_GB2312" w:cs="仿宋_GB2312" w:eastAsia="仿宋_GB2312"/>
              </w:rPr>
              <w:t>1-2-1、证书内页采用封皮衬里纸张。</w:t>
            </w:r>
          </w:p>
          <w:p>
            <w:pPr>
              <w:pStyle w:val="null3"/>
            </w:pPr>
            <w:r>
              <w:rPr>
                <w:rFonts w:ascii="仿宋_GB2312" w:hAnsi="仿宋_GB2312" w:cs="仿宋_GB2312" w:eastAsia="仿宋_GB2312"/>
              </w:rPr>
              <w:t>1-2-2、证书内页共6页，第1页“印刷流水号：”和“登记证书编号：”为11pt宋体；表格外框线条和内部线条宽度为1pt。“第×页”为11 pt宋体，第1页至第5页的标题文字为13P黑体；表格内文字和序号为9.5pt宋体。第6页“重要提示”为14pt华文中宋；“一、本证书是拖拉机和联合收割机已办理登记的证明文件，由农业（农业机械）主管部门农机安全监理机构签发，不随拖拉机和联合收割机携带。二、本证书灭失、丢失或损坏的，原所有人应及时申请补发或者换发。三、拖拉机和联合收割机所有权转移时，原所有人应持本证书至农机安全监理机构进行变更，并将本证书交给现所有人。”为11pt华文中宋。“Attention”为15pt Times New Roman。“1.This certificate,issued by Agricultural Mechanical Safety Supervision Agency of Agricultural( Agricultural Mechanical)Management Department,is a document to prove the registration of a tractor or combine-harvester and is not to be taken with the tractor or combine-harvester.2.When the certificate is disappeared,lost or destroyed, owner of the tractor or combine-harvester should timely apply for reissuing or recertificating of a new one. 3.When the ownership is transferred, owner of  the tractor or combine-harvester should go to Agricultural Mechanical Safety Supervision Agency for information updating，the certificate should also be transferred with the tractor or combine-harvester. ”为9pt Times New Roman。</w:t>
            </w:r>
          </w:p>
          <w:p>
            <w:pPr>
              <w:pStyle w:val="null3"/>
            </w:pPr>
            <w:r>
              <w:rPr>
                <w:rFonts w:ascii="仿宋_GB2312" w:hAnsi="仿宋_GB2312" w:cs="仿宋_GB2312" w:eastAsia="仿宋_GB2312"/>
              </w:rPr>
              <w:t>1-2-3、证书内页的格式和内容的尺寸应符合附录I的规定。</w:t>
            </w:r>
          </w:p>
          <w:p>
            <w:pPr>
              <w:pStyle w:val="null3"/>
            </w:pPr>
            <w:r>
              <w:rPr>
                <w:rFonts w:ascii="仿宋_GB2312" w:hAnsi="仿宋_GB2312" w:cs="仿宋_GB2312" w:eastAsia="仿宋_GB2312"/>
              </w:rPr>
              <w:t>1-3、规格尺寸</w:t>
            </w:r>
          </w:p>
          <w:p>
            <w:pPr>
              <w:pStyle w:val="null3"/>
            </w:pPr>
            <w:r>
              <w:rPr>
                <w:rFonts w:ascii="仿宋_GB2312" w:hAnsi="仿宋_GB2312" w:cs="仿宋_GB2312" w:eastAsia="仿宋_GB2312"/>
              </w:rPr>
              <w:t>成品折叠后，长为(206±1)mm，宽为(140±1)mm，相邻边线应垂直，圆角半径为(5±0.1)mm。</w:t>
            </w:r>
          </w:p>
          <w:p>
            <w:pPr>
              <w:pStyle w:val="null3"/>
            </w:pPr>
            <w:r>
              <w:rPr>
                <w:rFonts w:ascii="仿宋_GB2312" w:hAnsi="仿宋_GB2312" w:cs="仿宋_GB2312" w:eastAsia="仿宋_GB2312"/>
              </w:rPr>
              <w:t xml:space="preserve">1-4、印刷流水号 </w:t>
            </w:r>
          </w:p>
          <w:p>
            <w:pPr>
              <w:pStyle w:val="null3"/>
            </w:pPr>
            <w:r>
              <w:rPr>
                <w:rFonts w:ascii="仿宋_GB2312" w:hAnsi="仿宋_GB2312" w:cs="仿宋_GB2312" w:eastAsia="仿宋_GB2312"/>
              </w:rPr>
              <w:t>印刷流水号为8位阿拉伯数字，前2位为印制企业代码，后6位为顺序号，编排从000001到999999止；字体为五号宋体，颜色为红色。</w:t>
            </w:r>
          </w:p>
          <w:p>
            <w:pPr>
              <w:pStyle w:val="null3"/>
            </w:pPr>
            <w:r>
              <w:rPr>
                <w:rFonts w:ascii="仿宋_GB2312" w:hAnsi="仿宋_GB2312" w:cs="仿宋_GB2312" w:eastAsia="仿宋_GB2312"/>
              </w:rPr>
              <w:t>1-5、外观质量</w:t>
            </w:r>
          </w:p>
          <w:p>
            <w:pPr>
              <w:pStyle w:val="null3"/>
            </w:pPr>
            <w:r>
              <w:rPr>
                <w:rFonts w:ascii="仿宋_GB2312" w:hAnsi="仿宋_GB2312" w:cs="仿宋_GB2312" w:eastAsia="仿宋_GB2312"/>
              </w:rPr>
              <w:t>文字清晰，位置准确，颜色符合G.1的要求。</w:t>
            </w:r>
          </w:p>
          <w:p>
            <w:pPr>
              <w:pStyle w:val="null3"/>
            </w:pPr>
            <w:r>
              <w:rPr>
                <w:rFonts w:ascii="仿宋_GB2312" w:hAnsi="仿宋_GB2312" w:cs="仿宋_GB2312" w:eastAsia="仿宋_GB2312"/>
              </w:rPr>
              <w:t>1-6、印刷</w:t>
            </w:r>
          </w:p>
          <w:p>
            <w:pPr>
              <w:pStyle w:val="null3"/>
            </w:pPr>
            <w:r>
              <w:rPr>
                <w:rFonts w:ascii="仿宋_GB2312" w:hAnsi="仿宋_GB2312" w:cs="仿宋_GB2312" w:eastAsia="仿宋_GB2312"/>
              </w:rPr>
              <w:t>1-6-1、证书内页表格和文字采用普通胶印印刷，套印位置上下允许偏差2mm，左右允许偏差2mm。印刷要求无缺色，无透印，版面整洁，无脏、花、糊，无缺笔断道。</w:t>
            </w:r>
          </w:p>
          <w:p>
            <w:pPr>
              <w:pStyle w:val="null3"/>
            </w:pPr>
            <w:r>
              <w:rPr>
                <w:rFonts w:ascii="仿宋_GB2312" w:hAnsi="仿宋_GB2312" w:cs="仿宋_GB2312" w:eastAsia="仿宋_GB2312"/>
              </w:rPr>
              <w:t>1-6-2、印刷流水号的套印位置上下允许偏差3mm，左右允许偏差3mm。要求无错号、重号、串号、缺号。</w:t>
            </w:r>
          </w:p>
          <w:p>
            <w:pPr>
              <w:pStyle w:val="null3"/>
            </w:pPr>
            <w:r>
              <w:rPr>
                <w:rFonts w:ascii="仿宋_GB2312" w:hAnsi="仿宋_GB2312" w:cs="仿宋_GB2312" w:eastAsia="仿宋_GB2312"/>
              </w:rPr>
              <w:t>1-6-3、烫金、套印上下允许偏差2mm，左右允许偏差2mm。</w:t>
            </w:r>
          </w:p>
          <w:p>
            <w:pPr>
              <w:pStyle w:val="null3"/>
            </w:pPr>
            <w:r>
              <w:rPr>
                <w:rFonts w:ascii="仿宋_GB2312" w:hAnsi="仿宋_GB2312" w:cs="仿宋_GB2312" w:eastAsia="仿宋_GB2312"/>
              </w:rPr>
              <w:t>1-7、裱糊和装订</w:t>
            </w:r>
          </w:p>
          <w:p>
            <w:pPr>
              <w:pStyle w:val="null3"/>
            </w:pPr>
            <w:r>
              <w:rPr>
                <w:rFonts w:ascii="仿宋_GB2312" w:hAnsi="仿宋_GB2312" w:cs="仿宋_GB2312" w:eastAsia="仿宋_GB2312"/>
              </w:rPr>
              <w:t>1-7-1、证书封皮与衬里、衬里与证书内页通过裱糊和缝线成本式证书。</w:t>
            </w:r>
          </w:p>
          <w:p>
            <w:pPr>
              <w:pStyle w:val="null3"/>
            </w:pPr>
            <w:r>
              <w:rPr>
                <w:rFonts w:ascii="仿宋_GB2312" w:hAnsi="仿宋_GB2312" w:cs="仿宋_GB2312" w:eastAsia="仿宋_GB2312"/>
              </w:rPr>
              <w:t>1-7-2、内页缝线采用防拆线。缝线以中线为标准，不得有开线、少页、混页，顺序一致。表格上下、左右的间距误差不得超过2mm。</w:t>
            </w:r>
          </w:p>
          <w:p>
            <w:pPr>
              <w:pStyle w:val="null3"/>
            </w:pPr>
            <w:r>
              <w:rPr>
                <w:rFonts w:ascii="仿宋_GB2312" w:hAnsi="仿宋_GB2312" w:cs="仿宋_GB2312" w:eastAsia="仿宋_GB2312"/>
              </w:rPr>
              <w:t>1-7-3、证书封皮与衬里、衬里与证书内页采用胶粘剂裱糊。裱糊位置准确，装订要求平整，封面胶合无气泡，不开胶，胶层厚度均匀一致，无起粒、过底渗透现象。</w:t>
            </w:r>
          </w:p>
          <w:p>
            <w:pPr>
              <w:pStyle w:val="null3"/>
            </w:pPr>
            <w:r>
              <w:rPr>
                <w:rFonts w:ascii="仿宋_GB2312" w:hAnsi="仿宋_GB2312" w:cs="仿宋_GB2312" w:eastAsia="仿宋_GB2312"/>
              </w:rPr>
              <w:t>1-7-4、裁切尺寸准确，内页不藏折角，不倒页，证书两端模切不带线头，切脚圆滑无刀花毛刺。</w:t>
            </w:r>
          </w:p>
          <w:p>
            <w:pPr>
              <w:pStyle w:val="null3"/>
            </w:pPr>
            <w:r>
              <w:rPr>
                <w:rFonts w:ascii="仿宋_GB2312" w:hAnsi="仿宋_GB2312" w:cs="仿宋_GB2312" w:eastAsia="仿宋_GB2312"/>
              </w:rPr>
              <w:t>2、检验</w:t>
            </w:r>
          </w:p>
          <w:p>
            <w:pPr>
              <w:pStyle w:val="null3"/>
            </w:pPr>
            <w:r>
              <w:rPr>
                <w:rFonts w:ascii="仿宋_GB2312" w:hAnsi="仿宋_GB2312" w:cs="仿宋_GB2312" w:eastAsia="仿宋_GB2312"/>
              </w:rPr>
              <w:t>生产企业按照本标准的技术要求制定产品质量检验规程，并实施检验。</w:t>
            </w:r>
          </w:p>
          <w:p>
            <w:pPr>
              <w:pStyle w:val="null3"/>
            </w:pPr>
            <w:r>
              <w:rPr>
                <w:rFonts w:ascii="仿宋_GB2312" w:hAnsi="仿宋_GB2312" w:cs="仿宋_GB2312" w:eastAsia="仿宋_GB2312"/>
              </w:rPr>
              <w:t>3、包装、运输及贮存</w:t>
            </w:r>
          </w:p>
          <w:p>
            <w:pPr>
              <w:pStyle w:val="null3"/>
            </w:pPr>
            <w:r>
              <w:rPr>
                <w:rFonts w:ascii="仿宋_GB2312" w:hAnsi="仿宋_GB2312" w:cs="仿宋_GB2312" w:eastAsia="仿宋_GB2312"/>
              </w:rPr>
              <w:t>3-1、包装</w:t>
            </w:r>
          </w:p>
          <w:p>
            <w:pPr>
              <w:pStyle w:val="null3"/>
            </w:pPr>
            <w:r>
              <w:rPr>
                <w:rFonts w:ascii="仿宋_GB2312" w:hAnsi="仿宋_GB2312" w:cs="仿宋_GB2312" w:eastAsia="仿宋_GB2312"/>
              </w:rPr>
              <w:t>证书以本为单位，每50本为一个小包装，小包装应平整、无破损、防水、防潮，且用防水防潮纸板箱进行加封。包装内应有合格证，合格证上应至少包含产品名称、数量、生产单位名称、出厂日期、检验人员章。包装箱体上应有“勿受潮湿”等标志。标志的使用应符合GB/T 191—2008的要求。</w:t>
            </w:r>
          </w:p>
          <w:p>
            <w:pPr>
              <w:pStyle w:val="null3"/>
            </w:pPr>
            <w:r>
              <w:rPr>
                <w:rFonts w:ascii="仿宋_GB2312" w:hAnsi="仿宋_GB2312" w:cs="仿宋_GB2312" w:eastAsia="仿宋_GB2312"/>
              </w:rPr>
              <w:t>3-2、运输</w:t>
            </w:r>
          </w:p>
          <w:p>
            <w:pPr>
              <w:pStyle w:val="null3"/>
            </w:pPr>
            <w:r>
              <w:rPr>
                <w:rFonts w:ascii="仿宋_GB2312" w:hAnsi="仿宋_GB2312" w:cs="仿宋_GB2312" w:eastAsia="仿宋_GB2312"/>
              </w:rPr>
              <w:t>证书在运输过程中，应采取防雨和防潮措施。</w:t>
            </w:r>
          </w:p>
          <w:p>
            <w:pPr>
              <w:pStyle w:val="null3"/>
            </w:pPr>
            <w:r>
              <w:rPr>
                <w:rFonts w:ascii="仿宋_GB2312" w:hAnsi="仿宋_GB2312" w:cs="仿宋_GB2312" w:eastAsia="仿宋_GB2312"/>
              </w:rPr>
              <w:t>3-3、贮存</w:t>
            </w:r>
          </w:p>
          <w:p>
            <w:pPr>
              <w:pStyle w:val="null3"/>
            </w:pPr>
            <w:r>
              <w:rPr>
                <w:rFonts w:ascii="仿宋_GB2312" w:hAnsi="仿宋_GB2312" w:cs="仿宋_GB2312" w:eastAsia="仿宋_GB2312"/>
              </w:rPr>
              <w:t>证书半成品及成品仓库的相对湿度≤80%RH。</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附  录  G</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农机监理主标志图案</w:t>
            </w:r>
          </w:p>
          <w:p>
            <w:pPr>
              <w:pStyle w:val="null3"/>
            </w:pPr>
            <w:r>
              <w:rPr>
                <w:rFonts w:ascii="仿宋_GB2312" w:hAnsi="仿宋_GB2312" w:cs="仿宋_GB2312" w:eastAsia="仿宋_GB2312"/>
              </w:rPr>
              <w:t>农机监理主标志图案见图G.1。</w:t>
            </w:r>
          </w:p>
          <w:p>
            <w:pPr>
              <w:pStyle w:val="null3"/>
            </w:pPr>
            <w:r>
              <w:rPr>
                <w:rFonts w:ascii="仿宋_GB2312" w:hAnsi="仿宋_GB2312" w:cs="仿宋_GB2312" w:eastAsia="仿宋_GB2312"/>
              </w:rPr>
              <w:t xml:space="preserve"> </w:t>
            </w:r>
          </w:p>
          <w:p>
            <w:pPr>
              <w:pStyle w:val="null3"/>
            </w:pPr>
            <w:r>
              <w:drawing>
                <wp:inline distT="0" distR="0" distB="0" distL="0">
                  <wp:extent cx="1621155" cy="1265609"/>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1621155" cy="1265609"/>
                          </a:xfrm>
                          <a:prstGeom prst="rect">
                            <a:avLst/>
                          </a:prstGeom>
                        </pic:spPr>
                      </pic:pic>
                    </a:graphicData>
                  </a:graphic>
                </wp:inline>
              </w:drawing>
            </w:r>
          </w:p>
          <w:p>
            <w:pPr>
              <w:pStyle w:val="null3"/>
            </w:pPr>
            <w:r>
              <w:rPr>
                <w:rFonts w:ascii="仿宋_GB2312" w:hAnsi="仿宋_GB2312" w:cs="仿宋_GB2312" w:eastAsia="仿宋_GB2312"/>
              </w:rPr>
              <w:t>图G.1农机监理主标志图案</w:t>
            </w:r>
          </w:p>
          <w:p>
            <w:pPr>
              <w:pStyle w:val="null3"/>
            </w:pPr>
            <w:r>
              <w:rPr>
                <w:rFonts w:ascii="仿宋_GB2312" w:hAnsi="仿宋_GB2312" w:cs="仿宋_GB2312" w:eastAsia="仿宋_GB2312"/>
              </w:rPr>
              <w:t>附录  H</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拖拉机和联合收割机封面格式</w:t>
            </w:r>
          </w:p>
          <w:p>
            <w:pPr>
              <w:pStyle w:val="null3"/>
            </w:pPr>
            <w:r>
              <w:rPr>
                <w:rFonts w:ascii="仿宋_GB2312" w:hAnsi="仿宋_GB2312" w:cs="仿宋_GB2312" w:eastAsia="仿宋_GB2312"/>
              </w:rPr>
              <w:t>证书封面格式见图H.1。</w:t>
            </w:r>
          </w:p>
          <w:p>
            <w:pPr>
              <w:pStyle w:val="null3"/>
            </w:pPr>
            <w:r>
              <w:rPr>
                <w:rFonts w:ascii="仿宋_GB2312" w:hAnsi="仿宋_GB2312" w:cs="仿宋_GB2312" w:eastAsia="仿宋_GB2312"/>
              </w:rPr>
              <w:t>单位为毫米</w:t>
            </w:r>
          </w:p>
          <w:p>
            <w:pPr>
              <w:pStyle w:val="null3"/>
            </w:pPr>
            <w:r>
              <w:drawing>
                <wp:inline distT="0" distR="0" distB="0" distL="0">
                  <wp:extent cx="1621155" cy="2111934"/>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1621155" cy="2111934"/>
                          </a:xfrm>
                          <a:prstGeom prst="rect">
                            <a:avLst/>
                          </a:prstGeom>
                        </pic:spPr>
                      </pic:pic>
                    </a:graphicData>
                  </a:graphic>
                </wp:inline>
              </w:drawing>
            </w:r>
          </w:p>
          <w:p>
            <w:pPr>
              <w:pStyle w:val="null3"/>
            </w:pPr>
            <w:r>
              <w:rPr>
                <w:rFonts w:ascii="仿宋_GB2312" w:hAnsi="仿宋_GB2312" w:cs="仿宋_GB2312" w:eastAsia="仿宋_GB2312"/>
              </w:rPr>
              <w:t>图H.1证书封面格式</w:t>
            </w:r>
          </w:p>
          <w:p>
            <w:pPr>
              <w:pStyle w:val="null3"/>
            </w:pPr>
            <w:r>
              <w:rPr>
                <w:rFonts w:ascii="仿宋_GB2312" w:hAnsi="仿宋_GB2312" w:cs="仿宋_GB2312" w:eastAsia="仿宋_GB2312"/>
              </w:rPr>
              <w:t>附录  I</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拖拉机和联合收割机登记证书内页格式</w:t>
            </w:r>
          </w:p>
          <w:p>
            <w:pPr>
              <w:pStyle w:val="null3"/>
            </w:pPr>
            <w:r>
              <w:rPr>
                <w:rFonts w:ascii="仿宋_GB2312" w:hAnsi="仿宋_GB2312" w:cs="仿宋_GB2312" w:eastAsia="仿宋_GB2312"/>
              </w:rPr>
              <w:t>证书内页格式见图I.1～图I.6。</w:t>
            </w:r>
          </w:p>
          <w:p>
            <w:pPr>
              <w:pStyle w:val="null3"/>
            </w:pPr>
            <w:r>
              <w:rPr>
                <w:rFonts w:ascii="仿宋_GB2312" w:hAnsi="仿宋_GB2312" w:cs="仿宋_GB2312" w:eastAsia="仿宋_GB2312"/>
              </w:rPr>
              <w:t>单位为毫米</w:t>
            </w:r>
          </w:p>
          <w:p>
            <w:pPr>
              <w:pStyle w:val="null3"/>
            </w:pPr>
            <w:r>
              <w:drawing>
                <wp:inline distT="0" distR="0" distB="0" distL="0">
                  <wp:extent cx="1621155" cy="1469222"/>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1621155" cy="1469222"/>
                          </a:xfrm>
                          <a:prstGeom prst="rect">
                            <a:avLst/>
                          </a:prstGeom>
                        </pic:spPr>
                      </pic:pic>
                    </a:graphicData>
                  </a:graphic>
                </wp:inline>
              </w:drawing>
            </w:r>
          </w:p>
          <w:p>
            <w:pPr>
              <w:pStyle w:val="null3"/>
            </w:pPr>
            <w:r>
              <w:rPr>
                <w:rFonts w:ascii="仿宋_GB2312" w:hAnsi="仿宋_GB2312" w:cs="仿宋_GB2312" w:eastAsia="仿宋_GB2312"/>
              </w:rPr>
              <w:t>注1：登记证书编号用阿拉伯数字编号，由2位省（自治区、直辖市）代码、2位市（地、州、盟）代码、2位县（市、区、旗）代码和6位顺序号四部分共12位数字组成。代码符合GB/T 2260的规定，6位顺序号的编排从000001到999999止。</w:t>
            </w:r>
          </w:p>
          <w:p>
            <w:pPr>
              <w:pStyle w:val="null3"/>
            </w:pPr>
            <w:r>
              <w:drawing>
                <wp:inline distT="0" distR="0" distB="0" distL="0">
                  <wp:extent cx="1621155" cy="545167"/>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1621155" cy="5451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注2：登记证书编号应使用专用打印机打印，字体为五号宋体。</w:t>
            </w:r>
          </w:p>
          <w:p>
            <w:pPr>
              <w:pStyle w:val="null3"/>
            </w:pPr>
            <w:r>
              <w:rPr>
                <w:rFonts w:ascii="仿宋_GB2312" w:hAnsi="仿宋_GB2312" w:cs="仿宋_GB2312" w:eastAsia="仿宋_GB2312"/>
              </w:rPr>
              <w:t>图I.1第1页格式</w:t>
            </w:r>
          </w:p>
          <w:p>
            <w:pPr>
              <w:pStyle w:val="null3"/>
            </w:pPr>
            <w:r>
              <w:rPr>
                <w:rFonts w:ascii="仿宋_GB2312" w:hAnsi="仿宋_GB2312" w:cs="仿宋_GB2312" w:eastAsia="仿宋_GB2312"/>
              </w:rPr>
              <w:t>单位为毫米</w:t>
            </w:r>
          </w:p>
          <w:p>
            <w:pPr>
              <w:pStyle w:val="null3"/>
            </w:pPr>
            <w:r>
              <w:drawing>
                <wp:inline distT="0" distR="0" distB="0" distL="0">
                  <wp:extent cx="1621155" cy="1508205"/>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0"/>
                          <a:stretch>
                            <a:fillRect/>
                          </a:stretch>
                        </pic:blipFill>
                        <pic:spPr>
                          <a:xfrm>
                            <a:off x="0" y="0"/>
                            <a:ext cx="1621155" cy="1508205"/>
                          </a:xfrm>
                          <a:prstGeom prst="rect">
                            <a:avLst/>
                          </a:prstGeom>
                        </pic:spPr>
                      </pic:pic>
                    </a:graphicData>
                  </a:graphic>
                </wp:inline>
              </w:drawing>
            </w:r>
          </w:p>
          <w:p>
            <w:pPr>
              <w:pStyle w:val="null3"/>
            </w:pPr>
            <w:r>
              <w:rPr>
                <w:rFonts w:ascii="仿宋_GB2312" w:hAnsi="仿宋_GB2312" w:cs="仿宋_GB2312" w:eastAsia="仿宋_GB2312"/>
              </w:rPr>
              <w:t>图I.2第2页格式</w:t>
            </w:r>
          </w:p>
          <w:p>
            <w:pPr>
              <w:pStyle w:val="null3"/>
            </w:pPr>
            <w:r>
              <w:rPr>
                <w:rFonts w:ascii="仿宋_GB2312" w:hAnsi="仿宋_GB2312" w:cs="仿宋_GB2312" w:eastAsia="仿宋_GB2312"/>
              </w:rPr>
              <w:t>单位为毫米</w:t>
            </w:r>
          </w:p>
          <w:p>
            <w:pPr>
              <w:pStyle w:val="null3"/>
            </w:pPr>
            <w:r>
              <w:drawing>
                <wp:inline distT="0" distR="0" distB="0" distL="0">
                  <wp:extent cx="1621155" cy="1043553"/>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1"/>
                          <a:stretch>
                            <a:fillRect/>
                          </a:stretch>
                        </pic:blipFill>
                        <pic:spPr>
                          <a:xfrm>
                            <a:off x="0" y="0"/>
                            <a:ext cx="1621155" cy="1043553"/>
                          </a:xfrm>
                          <a:prstGeom prst="rect">
                            <a:avLst/>
                          </a:prstGeom>
                        </pic:spPr>
                      </pic:pic>
                    </a:graphicData>
                  </a:graphic>
                </wp:inline>
              </w:drawing>
            </w:r>
          </w:p>
          <w:p>
            <w:pPr>
              <w:pStyle w:val="null3"/>
            </w:pPr>
            <w:r>
              <w:rPr>
                <w:rFonts w:ascii="仿宋_GB2312" w:hAnsi="仿宋_GB2312" w:cs="仿宋_GB2312" w:eastAsia="仿宋_GB2312"/>
              </w:rPr>
              <w:t>图I.3第3页格式</w:t>
            </w:r>
          </w:p>
          <w:p>
            <w:pPr>
              <w:pStyle w:val="null3"/>
            </w:pPr>
            <w:r>
              <w:rPr>
                <w:rFonts w:ascii="仿宋_GB2312" w:hAnsi="仿宋_GB2312" w:cs="仿宋_GB2312" w:eastAsia="仿宋_GB2312"/>
              </w:rPr>
              <w:t>单位为毫米</w:t>
            </w:r>
          </w:p>
          <w:p>
            <w:pPr>
              <w:pStyle w:val="null3"/>
            </w:pPr>
            <w:r>
              <w:drawing>
                <wp:inline distT="0" distR="0" distB="0" distL="0">
                  <wp:extent cx="1621155" cy="1011577"/>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2"/>
                          <a:stretch>
                            <a:fillRect/>
                          </a:stretch>
                        </pic:blipFill>
                        <pic:spPr>
                          <a:xfrm>
                            <a:off x="0" y="0"/>
                            <a:ext cx="1621155" cy="1011577"/>
                          </a:xfrm>
                          <a:prstGeom prst="rect">
                            <a:avLst/>
                          </a:prstGeom>
                        </pic:spPr>
                      </pic:pic>
                    </a:graphicData>
                  </a:graphic>
                </wp:inline>
              </w:drawing>
            </w:r>
          </w:p>
          <w:p>
            <w:pPr>
              <w:pStyle w:val="null3"/>
            </w:pPr>
            <w:r>
              <w:rPr>
                <w:rFonts w:ascii="仿宋_GB2312" w:hAnsi="仿宋_GB2312" w:cs="仿宋_GB2312" w:eastAsia="仿宋_GB2312"/>
              </w:rPr>
              <w:t>图I.4第4页格式</w:t>
            </w:r>
          </w:p>
          <w:p>
            <w:pPr>
              <w:pStyle w:val="null3"/>
            </w:pPr>
            <w:r>
              <w:rPr>
                <w:rFonts w:ascii="仿宋_GB2312" w:hAnsi="仿宋_GB2312" w:cs="仿宋_GB2312" w:eastAsia="仿宋_GB2312"/>
              </w:rPr>
              <w:t>单位为毫米</w:t>
            </w:r>
          </w:p>
          <w:p>
            <w:pPr>
              <w:pStyle w:val="null3"/>
            </w:pPr>
            <w:r>
              <w:drawing>
                <wp:inline distT="0" distR="0" distB="0" distL="0">
                  <wp:extent cx="1621155" cy="1013612"/>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3"/>
                          <a:stretch>
                            <a:fillRect/>
                          </a:stretch>
                        </pic:blipFill>
                        <pic:spPr>
                          <a:xfrm>
                            <a:off x="0" y="0"/>
                            <a:ext cx="1621155" cy="1013612"/>
                          </a:xfrm>
                          <a:prstGeom prst="rect">
                            <a:avLst/>
                          </a:prstGeom>
                        </pic:spPr>
                      </pic:pic>
                    </a:graphicData>
                  </a:graphic>
                </wp:inline>
              </w:drawing>
            </w:r>
          </w:p>
          <w:p>
            <w:pPr>
              <w:pStyle w:val="null3"/>
            </w:pPr>
            <w:r>
              <w:rPr>
                <w:rFonts w:ascii="仿宋_GB2312" w:hAnsi="仿宋_GB2312" w:cs="仿宋_GB2312" w:eastAsia="仿宋_GB2312"/>
              </w:rPr>
              <w:t>图I.5第5页格式</w:t>
            </w:r>
          </w:p>
          <w:p>
            <w:pPr>
              <w:pStyle w:val="null3"/>
            </w:pPr>
            <w:r>
              <w:rPr>
                <w:rFonts w:ascii="仿宋_GB2312" w:hAnsi="仿宋_GB2312" w:cs="仿宋_GB2312" w:eastAsia="仿宋_GB2312"/>
              </w:rPr>
              <w:t>单位为毫米</w:t>
            </w:r>
          </w:p>
          <w:p>
            <w:pPr>
              <w:pStyle w:val="null3"/>
            </w:pPr>
            <w:r>
              <w:drawing>
                <wp:inline distT="0" distR="0" distB="0" distL="0">
                  <wp:extent cx="1621155" cy="2309079"/>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4"/>
                          <a:stretch>
                            <a:fillRect/>
                          </a:stretch>
                        </pic:blipFill>
                        <pic:spPr>
                          <a:xfrm>
                            <a:off x="0" y="0"/>
                            <a:ext cx="1621155" cy="2309079"/>
                          </a:xfrm>
                          <a:prstGeom prst="rect">
                            <a:avLst/>
                          </a:prstGeom>
                        </pic:spPr>
                      </pic:pic>
                    </a:graphicData>
                  </a:graphic>
                </wp:inline>
              </w:drawing>
            </w:r>
          </w:p>
          <w:p>
            <w:pPr>
              <w:pStyle w:val="null3"/>
            </w:pPr>
            <w:r>
              <w:rPr>
                <w:rFonts w:ascii="仿宋_GB2312" w:hAnsi="仿宋_GB2312" w:cs="仿宋_GB2312" w:eastAsia="仿宋_GB2312"/>
              </w:rPr>
              <w:t>图I.6第6页格式</w:t>
            </w:r>
          </w:p>
          <w:p>
            <w:pPr>
              <w:pStyle w:val="null3"/>
            </w:pPr>
            <w:r>
              <w:rPr>
                <w:rFonts w:ascii="仿宋_GB2312" w:hAnsi="仿宋_GB2312" w:cs="仿宋_GB2312" w:eastAsia="仿宋_GB2312"/>
              </w:rPr>
              <w:t>三、检验合格标志</w:t>
            </w:r>
          </w:p>
          <w:p>
            <w:pPr>
              <w:pStyle w:val="null3"/>
            </w:pPr>
            <w:r>
              <w:rPr>
                <w:rFonts w:ascii="仿宋_GB2312" w:hAnsi="仿宋_GB2312" w:cs="仿宋_GB2312" w:eastAsia="仿宋_GB2312"/>
              </w:rPr>
              <w:t>1、规格</w:t>
            </w:r>
          </w:p>
          <w:p>
            <w:pPr>
              <w:pStyle w:val="null3"/>
            </w:pPr>
            <w:r>
              <w:rPr>
                <w:rFonts w:ascii="仿宋_GB2312" w:hAnsi="仿宋_GB2312" w:cs="仿宋_GB2312" w:eastAsia="仿宋_GB2312"/>
              </w:rPr>
              <w:t>单枚成品为长(80±0.5)mm,宽(60±0.5)mm,冲圆角，圆角半径为(5±0.1)mm。</w:t>
            </w:r>
          </w:p>
          <w:p>
            <w:pPr>
              <w:pStyle w:val="null3"/>
            </w:pPr>
            <w:r>
              <w:rPr>
                <w:rFonts w:ascii="仿宋_GB2312" w:hAnsi="仿宋_GB2312" w:cs="仿宋_GB2312" w:eastAsia="仿宋_GB2312"/>
              </w:rPr>
              <w:t>2、式样</w:t>
            </w:r>
          </w:p>
          <w:p>
            <w:pPr>
              <w:pStyle w:val="null3"/>
            </w:pPr>
            <w:r>
              <w:drawing>
                <wp:inline distT="0" distR="0" distB="0" distL="0">
                  <wp:extent cx="1621155" cy="1453016"/>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5"/>
                          <a:stretch>
                            <a:fillRect/>
                          </a:stretch>
                        </pic:blipFill>
                        <pic:spPr>
                          <a:xfrm>
                            <a:off x="0" y="0"/>
                            <a:ext cx="1621155" cy="1453016"/>
                          </a:xfrm>
                          <a:prstGeom prst="rect">
                            <a:avLst/>
                          </a:prstGeom>
                        </pic:spPr>
                      </pic:pic>
                    </a:graphicData>
                  </a:graphic>
                </wp:inline>
              </w:drawing>
            </w:r>
          </w:p>
          <w:p>
            <w:pPr>
              <w:pStyle w:val="null3"/>
            </w:pPr>
            <w:r>
              <w:drawing>
                <wp:inline distT="0" distR="0" distB="0" distL="0">
                  <wp:extent cx="1621155" cy="1417579"/>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6"/>
                          <a:stretch>
                            <a:fillRect/>
                          </a:stretch>
                        </pic:blipFill>
                        <pic:spPr>
                          <a:xfrm>
                            <a:off x="0" y="0"/>
                            <a:ext cx="1621155" cy="1417579"/>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2-1、文字</w:t>
            </w:r>
          </w:p>
          <w:p>
            <w:pPr>
              <w:pStyle w:val="null3"/>
            </w:pPr>
            <w:r>
              <w:rPr>
                <w:rFonts w:ascii="仿宋_GB2312" w:hAnsi="仿宋_GB2312" w:cs="仿宋_GB2312" w:eastAsia="仿宋_GB2312"/>
              </w:rPr>
              <w:t>正面：年份数字字符的字体为45 pt“Garamond”字体，字宽为148%、字高为100%;“中华人民共和国农业部制”字体为15pt华文细黑，字宽为100%、字高为144%;“检”字体为75pt黑体，字宽为148%、字高为100%;检验月份数字字符的字体为15pt华文中宋，字宽为100%、字高为144%。背面：月份数字字符的字体为15pt华文中宋；“拖拉机和联合收割机检验合格标志”字体为12pt黑体，字宽为100％、字高为144％；外框线为实线，粗细为0.75pt；“号牌号码”为8pt宋体，字宽为100％、字高为144％。“年份数字字符”“检”字“中华人民共和国农业部制”和“拖拉机和联合收割机检验合格标志”左右居中印制。“注：1．正面的年份和月份为检验到期年、月。2．此标志贴在前风窗玻璃的内侧不妨碍驾驶员视野的位置上或随本机携带。3．方框内签注检验业务专用章。”为6pt黑体，字宽为100％、字高为144％。</w:t>
            </w:r>
          </w:p>
          <w:p>
            <w:pPr>
              <w:pStyle w:val="null3"/>
            </w:pPr>
            <w:r>
              <w:rPr>
                <w:rFonts w:ascii="仿宋_GB2312" w:hAnsi="仿宋_GB2312" w:cs="仿宋_GB2312" w:eastAsia="仿宋_GB2312"/>
              </w:rPr>
              <w:t>2-2、拖拉机和联合收割机检验业务专用章签注区外框规格</w:t>
            </w:r>
          </w:p>
          <w:p>
            <w:pPr>
              <w:pStyle w:val="null3"/>
            </w:pPr>
            <w:r>
              <w:rPr>
                <w:rFonts w:ascii="仿宋_GB2312" w:hAnsi="仿宋_GB2312" w:cs="仿宋_GB2312" w:eastAsia="仿宋_GB2312"/>
              </w:rPr>
              <w:t>拖拉机和联合收割机检验业务专用章签注区外框规格为(70±0.5)mm×(7±0.5)mm。</w:t>
            </w:r>
          </w:p>
          <w:p>
            <w:pPr>
              <w:pStyle w:val="null3"/>
            </w:pPr>
            <w:r>
              <w:rPr>
                <w:rFonts w:ascii="仿宋_GB2312" w:hAnsi="仿宋_GB2312" w:cs="仿宋_GB2312" w:eastAsia="仿宋_GB2312"/>
              </w:rPr>
              <w:t>2-3、月份外圆规格</w:t>
            </w:r>
          </w:p>
          <w:p>
            <w:pPr>
              <w:pStyle w:val="null3"/>
            </w:pPr>
            <w:r>
              <w:rPr>
                <w:rFonts w:ascii="仿宋_GB2312" w:hAnsi="仿宋_GB2312" w:cs="仿宋_GB2312" w:eastAsia="仿宋_GB2312"/>
              </w:rPr>
              <w:t>月份外圆规格为q(7±0.1)mm。</w:t>
            </w:r>
          </w:p>
          <w:p>
            <w:pPr>
              <w:pStyle w:val="null3"/>
            </w:pPr>
            <w:r>
              <w:rPr>
                <w:rFonts w:ascii="仿宋_GB2312" w:hAnsi="仿宋_GB2312" w:cs="仿宋_GB2312" w:eastAsia="仿宋_GB2312"/>
              </w:rPr>
              <w:t>3、材质</w:t>
            </w:r>
          </w:p>
          <w:p>
            <w:pPr>
              <w:pStyle w:val="null3"/>
            </w:pPr>
            <w:r>
              <w:rPr>
                <w:rFonts w:ascii="仿宋_GB2312" w:hAnsi="仿宋_GB2312" w:cs="仿宋_GB2312" w:eastAsia="仿宋_GB2312"/>
              </w:rPr>
              <w:t>合格标志印刷面纸为105g双铜，技术指标符合GB/T 10335.1的规定。合格标志正面涂覆压敏胶粘剂并附防粘纸。被胶面对表100 g白色底纸。</w:t>
            </w:r>
          </w:p>
          <w:p>
            <w:pPr>
              <w:pStyle w:val="null3"/>
            </w:pPr>
            <w:r>
              <w:rPr>
                <w:rFonts w:ascii="仿宋_GB2312" w:hAnsi="仿宋_GB2312" w:cs="仿宋_GB2312" w:eastAsia="仿宋_GB2312"/>
              </w:rPr>
              <w:t>4、印刷</w:t>
            </w:r>
          </w:p>
          <w:p>
            <w:pPr>
              <w:pStyle w:val="null3"/>
            </w:pPr>
            <w:r>
              <w:rPr>
                <w:rFonts w:ascii="仿宋_GB2312" w:hAnsi="仿宋_GB2312" w:cs="仿宋_GB2312" w:eastAsia="仿宋_GB2312"/>
              </w:rPr>
              <w:t>4-1、外观</w:t>
            </w:r>
          </w:p>
          <w:p>
            <w:pPr>
              <w:pStyle w:val="null3"/>
            </w:pPr>
            <w:r>
              <w:rPr>
                <w:rFonts w:ascii="仿宋_GB2312" w:hAnsi="仿宋_GB2312" w:cs="仿宋_GB2312" w:eastAsia="仿宋_GB2312"/>
              </w:rPr>
              <w:t>版面整洁，文字、底纹、颜色等清晰完整，无花、糊，无缺笔断道等现象。模切平整，大小相同，四边裁切整齐。</w:t>
            </w:r>
          </w:p>
          <w:p>
            <w:pPr>
              <w:pStyle w:val="null3"/>
            </w:pPr>
            <w:r>
              <w:rPr>
                <w:rFonts w:ascii="仿宋_GB2312" w:hAnsi="仿宋_GB2312" w:cs="仿宋_GB2312" w:eastAsia="仿宋_GB2312"/>
              </w:rPr>
              <w:t>4-2、底纹颜色</w:t>
            </w:r>
          </w:p>
          <w:p>
            <w:pPr>
              <w:pStyle w:val="null3"/>
            </w:pPr>
            <w:r>
              <w:rPr>
                <w:rFonts w:ascii="仿宋_GB2312" w:hAnsi="仿宋_GB2312" w:cs="仿宋_GB2312" w:eastAsia="仿宋_GB2312"/>
              </w:rPr>
              <w:t>合格标志底纹颜色分为GB/T 5698—2001中的橘黄色(蓝色C:0,红色M;54,黄色Y:72,黑色K:0);墨绿色(蓝色C:100,红色M:0,黄色Y:100,黑色K:70);深蓝色(蓝色C:100,红色M:100,黄色Y:0,黑色K:0)。每3年循环一次。</w:t>
            </w:r>
          </w:p>
          <w:p>
            <w:pPr>
              <w:pStyle w:val="null3"/>
            </w:pPr>
            <w:r>
              <w:rPr>
                <w:rFonts w:ascii="仿宋_GB2312" w:hAnsi="仿宋_GB2312" w:cs="仿宋_GB2312" w:eastAsia="仿宋_GB2312"/>
              </w:rPr>
              <w:t>4-3、套印</w:t>
            </w:r>
          </w:p>
          <w:p>
            <w:pPr>
              <w:pStyle w:val="null3"/>
            </w:pPr>
            <w:r>
              <w:rPr>
                <w:rFonts w:ascii="仿宋_GB2312" w:hAnsi="仿宋_GB2312" w:cs="仿宋_GB2312" w:eastAsia="仿宋_GB2312"/>
              </w:rPr>
              <w:t>图像轮廓清晰，套印允许误差应小于0.1mm。</w:t>
            </w:r>
          </w:p>
          <w:p>
            <w:pPr>
              <w:pStyle w:val="null3"/>
            </w:pPr>
            <w:r>
              <w:rPr>
                <w:rFonts w:ascii="仿宋_GB2312" w:hAnsi="仿宋_GB2312" w:cs="仿宋_GB2312" w:eastAsia="仿宋_GB2312"/>
              </w:rPr>
              <w:t>4-4、正面印刷</w:t>
            </w:r>
          </w:p>
          <w:p>
            <w:pPr>
              <w:pStyle w:val="null3"/>
            </w:pPr>
            <w:r>
              <w:rPr>
                <w:rFonts w:ascii="仿宋_GB2312" w:hAnsi="仿宋_GB2312" w:cs="仿宋_GB2312" w:eastAsia="仿宋_GB2312"/>
              </w:rPr>
              <w:t>年份在“检”字上方，12个月份按顺序1～12排列；“中华人民共和国农业部制”字样在下部。</w:t>
            </w:r>
          </w:p>
          <w:p>
            <w:pPr>
              <w:pStyle w:val="null3"/>
            </w:pPr>
            <w:r>
              <w:rPr>
                <w:rFonts w:ascii="仿宋_GB2312" w:hAnsi="仿宋_GB2312" w:cs="仿宋_GB2312" w:eastAsia="仿宋_GB2312"/>
              </w:rPr>
              <w:t>4-5、背面印刷</w:t>
            </w:r>
          </w:p>
          <w:p>
            <w:pPr>
              <w:pStyle w:val="null3"/>
            </w:pPr>
            <w:r>
              <w:rPr>
                <w:rFonts w:ascii="仿宋_GB2312" w:hAnsi="仿宋_GB2312" w:cs="仿宋_GB2312" w:eastAsia="仿宋_GB2312"/>
              </w:rPr>
              <w:t>背面农机安全监理主标志图案居中，底纹采用超线防伪技术。</w:t>
            </w:r>
          </w:p>
          <w:p>
            <w:pPr>
              <w:pStyle w:val="null3"/>
            </w:pPr>
            <w:r>
              <w:rPr>
                <w:rFonts w:ascii="仿宋_GB2312" w:hAnsi="仿宋_GB2312" w:cs="仿宋_GB2312" w:eastAsia="仿宋_GB2312"/>
              </w:rPr>
              <w:t>5、检验</w:t>
            </w:r>
          </w:p>
          <w:p>
            <w:pPr>
              <w:pStyle w:val="null3"/>
            </w:pPr>
            <w:r>
              <w:rPr>
                <w:rFonts w:ascii="仿宋_GB2312" w:hAnsi="仿宋_GB2312" w:cs="仿宋_GB2312" w:eastAsia="仿宋_GB2312"/>
              </w:rPr>
              <w:t>5-1、外观</w:t>
            </w:r>
          </w:p>
          <w:p>
            <w:pPr>
              <w:pStyle w:val="null3"/>
            </w:pPr>
            <w:r>
              <w:rPr>
                <w:rFonts w:ascii="仿宋_GB2312" w:hAnsi="仿宋_GB2312" w:cs="仿宋_GB2312" w:eastAsia="仿宋_GB2312"/>
              </w:rPr>
              <w:t>目测合格标志的外观，应符合4-1的要求。</w:t>
            </w:r>
          </w:p>
          <w:p>
            <w:pPr>
              <w:pStyle w:val="null3"/>
            </w:pPr>
            <w:r>
              <w:rPr>
                <w:rFonts w:ascii="仿宋_GB2312" w:hAnsi="仿宋_GB2312" w:cs="仿宋_GB2312" w:eastAsia="仿宋_GB2312"/>
              </w:rPr>
              <w:t>5-2、规格尺寸</w:t>
            </w:r>
          </w:p>
          <w:p>
            <w:pPr>
              <w:pStyle w:val="null3"/>
            </w:pPr>
            <w:r>
              <w:rPr>
                <w:rFonts w:ascii="仿宋_GB2312" w:hAnsi="仿宋_GB2312" w:cs="仿宋_GB2312" w:eastAsia="仿宋_GB2312"/>
              </w:rPr>
              <w:t>用精度为0.1mm的长度测量工具测量规格尺寸，用精度为0.1mm的半径规测量圆角，应符合1和2-3的要求。</w:t>
            </w:r>
          </w:p>
          <w:p>
            <w:pPr>
              <w:pStyle w:val="null3"/>
            </w:pPr>
            <w:r>
              <w:rPr>
                <w:rFonts w:ascii="仿宋_GB2312" w:hAnsi="仿宋_GB2312" w:cs="仿宋_GB2312" w:eastAsia="仿宋_GB2312"/>
              </w:rPr>
              <w:t>5-3、印刷</w:t>
            </w:r>
          </w:p>
          <w:p>
            <w:pPr>
              <w:pStyle w:val="null3"/>
            </w:pPr>
            <w:r>
              <w:rPr>
                <w:rFonts w:ascii="仿宋_GB2312" w:hAnsi="仿宋_GB2312" w:cs="仿宋_GB2312" w:eastAsia="仿宋_GB2312"/>
              </w:rPr>
              <w:t>按CY/T5规定的检验方法进行检验，应符合4-1、4-2和4-3的要求。</w:t>
            </w:r>
          </w:p>
          <w:p>
            <w:pPr>
              <w:pStyle w:val="null3"/>
            </w:pPr>
            <w:r>
              <w:rPr>
                <w:rFonts w:ascii="仿宋_GB2312" w:hAnsi="仿宋_GB2312" w:cs="仿宋_GB2312" w:eastAsia="仿宋_GB2312"/>
              </w:rPr>
              <w:t>6、包装、运输及储存</w:t>
            </w:r>
          </w:p>
          <w:p>
            <w:pPr>
              <w:pStyle w:val="null3"/>
            </w:pPr>
            <w:r>
              <w:rPr>
                <w:rFonts w:ascii="仿宋_GB2312" w:hAnsi="仿宋_GB2312" w:cs="仿宋_GB2312" w:eastAsia="仿宋_GB2312"/>
              </w:rPr>
              <w:t>6-1、包装</w:t>
            </w:r>
          </w:p>
          <w:p>
            <w:pPr>
              <w:pStyle w:val="null3"/>
            </w:pPr>
            <w:r>
              <w:rPr>
                <w:rFonts w:ascii="仿宋_GB2312" w:hAnsi="仿宋_GB2312" w:cs="仿宋_GB2312" w:eastAsia="仿宋_GB2312"/>
              </w:rPr>
              <w:t>合格标志的包装使用防水防潮纸板箱进行加封。包装箱体上应有“勿受潮湿”等GB/T191中规定的标志。包装内应有合格证，合格证上应记录产品名称、数量、生产单位名称、出厂日期、检验人员章等。</w:t>
            </w:r>
          </w:p>
          <w:p>
            <w:pPr>
              <w:pStyle w:val="null3"/>
            </w:pPr>
            <w:r>
              <w:rPr>
                <w:rFonts w:ascii="仿宋_GB2312" w:hAnsi="仿宋_GB2312" w:cs="仿宋_GB2312" w:eastAsia="仿宋_GB2312"/>
              </w:rPr>
              <w:t>6-2、运输</w:t>
            </w:r>
          </w:p>
          <w:p>
            <w:pPr>
              <w:pStyle w:val="null3"/>
            </w:pPr>
            <w:r>
              <w:rPr>
                <w:rFonts w:ascii="仿宋_GB2312" w:hAnsi="仿宋_GB2312" w:cs="仿宋_GB2312" w:eastAsia="仿宋_GB2312"/>
              </w:rPr>
              <w:t>在运输过程中，产品应采取防雨和防潮措施。</w:t>
            </w:r>
          </w:p>
          <w:p>
            <w:pPr>
              <w:pStyle w:val="null3"/>
            </w:pPr>
            <w:r>
              <w:rPr>
                <w:rFonts w:ascii="仿宋_GB2312" w:hAnsi="仿宋_GB2312" w:cs="仿宋_GB2312" w:eastAsia="仿宋_GB2312"/>
              </w:rPr>
              <w:t>6-3、储存</w:t>
            </w:r>
          </w:p>
          <w:p>
            <w:pPr>
              <w:pStyle w:val="null3"/>
            </w:pPr>
            <w:r>
              <w:rPr>
                <w:rFonts w:ascii="仿宋_GB2312" w:hAnsi="仿宋_GB2312" w:cs="仿宋_GB2312" w:eastAsia="仿宋_GB2312"/>
              </w:rPr>
              <w:t>产品应保存在温度低于30℃、相对湿度不大于60%的仓库内，远离热源。</w:t>
            </w:r>
          </w:p>
          <w:p>
            <w:pPr>
              <w:pStyle w:val="null3"/>
            </w:pPr>
            <w:r>
              <w:rPr>
                <w:rFonts w:ascii="仿宋_GB2312" w:hAnsi="仿宋_GB2312" w:cs="仿宋_GB2312" w:eastAsia="仿宋_GB2312"/>
              </w:rPr>
              <w:t>四、拖拉机和联合收割机行驶证</w:t>
            </w:r>
          </w:p>
          <w:p>
            <w:pPr>
              <w:pStyle w:val="null3"/>
            </w:pPr>
            <w:r>
              <w:rPr>
                <w:rFonts w:ascii="仿宋_GB2312" w:hAnsi="仿宋_GB2312" w:cs="仿宋_GB2312" w:eastAsia="仿宋_GB2312"/>
              </w:rPr>
              <w:t>1、组成</w:t>
            </w:r>
          </w:p>
          <w:p>
            <w:pPr>
              <w:pStyle w:val="null3"/>
            </w:pPr>
            <w:r>
              <w:rPr>
                <w:rFonts w:ascii="仿宋_GB2312" w:hAnsi="仿宋_GB2312" w:cs="仿宋_GB2312" w:eastAsia="仿宋_GB2312"/>
              </w:rPr>
              <w:t>拖拉机和联合收割机行驶证由证夹（见附录A）、主页、副页三部分组成。其中：主页正面是已签注的证芯，背面是拖拉机或联合收割机照片，并用塑封套塑封。副页是已签注的未塑封的证芯。</w:t>
            </w:r>
          </w:p>
          <w:p>
            <w:pPr>
              <w:pStyle w:val="null3"/>
              <w:numPr>
                <w:ilvl w:val="0"/>
                <w:numId w:val="1"/>
              </w:numPr>
            </w:pPr>
            <w:r>
              <w:rPr>
                <w:rFonts w:ascii="仿宋_GB2312" w:hAnsi="仿宋_GB2312" w:cs="仿宋_GB2312" w:eastAsia="仿宋_GB2312"/>
              </w:rPr>
              <w:t>技术要求</w:t>
            </w:r>
          </w:p>
          <w:p>
            <w:pPr>
              <w:pStyle w:val="null3"/>
            </w:pPr>
            <w:r>
              <w:rPr>
                <w:rFonts w:ascii="仿宋_GB2312" w:hAnsi="仿宋_GB2312" w:cs="仿宋_GB2312" w:eastAsia="仿宋_GB2312"/>
              </w:rPr>
              <w:t>2-1、证芯</w:t>
            </w:r>
          </w:p>
          <w:p>
            <w:pPr>
              <w:pStyle w:val="null3"/>
            </w:pPr>
            <w:r>
              <w:rPr>
                <w:rFonts w:ascii="仿宋_GB2312" w:hAnsi="仿宋_GB2312" w:cs="仿宋_GB2312" w:eastAsia="仿宋_GB2312"/>
              </w:rPr>
              <w:t>2-1-1、证件印章</w:t>
            </w:r>
          </w:p>
          <w:p>
            <w:pPr>
              <w:pStyle w:val="null3"/>
            </w:pPr>
            <w:r>
              <w:rPr>
                <w:rFonts w:ascii="仿宋_GB2312" w:hAnsi="仿宋_GB2312" w:cs="仿宋_GB2312" w:eastAsia="仿宋_GB2312"/>
              </w:rPr>
              <w:t>2-1-1-1、规格</w:t>
            </w:r>
          </w:p>
          <w:p>
            <w:pPr>
              <w:pStyle w:val="null3"/>
            </w:pPr>
            <w:r>
              <w:rPr>
                <w:rFonts w:ascii="仿宋_GB2312" w:hAnsi="仿宋_GB2312" w:cs="仿宋_GB2312" w:eastAsia="仿宋_GB2312"/>
              </w:rPr>
              <w:t>发证机关印章为正方形，规格为20mm×20mm，框线宽为0.5mm。</w:t>
            </w:r>
          </w:p>
          <w:p>
            <w:pPr>
              <w:pStyle w:val="null3"/>
            </w:pPr>
            <w:r>
              <w:rPr>
                <w:rFonts w:ascii="仿宋_GB2312" w:hAnsi="仿宋_GB2312" w:cs="仿宋_GB2312" w:eastAsia="仿宋_GB2312"/>
              </w:rPr>
              <w:t>2-1-1-2、字体</w:t>
            </w:r>
          </w:p>
          <w:p>
            <w:pPr>
              <w:pStyle w:val="null3"/>
            </w:pPr>
            <w:r>
              <w:rPr>
                <w:rFonts w:ascii="仿宋_GB2312" w:hAnsi="仿宋_GB2312" w:cs="仿宋_GB2312" w:eastAsia="仿宋_GB2312"/>
              </w:rPr>
              <w:t>印文使用的汉字为国务院公布的简化汉字，字体应为五号宋体。民族自治地方的自治机关根据本地区的实际情况，在使用全国通用格式的同时，可以附加使用本民族的文字或选用一种当地通用的民族文字，并适当缩小字号。</w:t>
            </w:r>
          </w:p>
          <w:p>
            <w:pPr>
              <w:pStyle w:val="null3"/>
            </w:pPr>
            <w:r>
              <w:rPr>
                <w:rFonts w:ascii="仿宋_GB2312" w:hAnsi="仿宋_GB2312" w:cs="仿宋_GB2312" w:eastAsia="仿宋_GB2312"/>
              </w:rPr>
              <w:t>2-1-1-3、式样</w:t>
            </w:r>
          </w:p>
          <w:p>
            <w:pPr>
              <w:pStyle w:val="null3"/>
            </w:pPr>
            <w:r>
              <w:rPr>
                <w:rFonts w:ascii="仿宋_GB2312" w:hAnsi="仿宋_GB2312" w:cs="仿宋_GB2312" w:eastAsia="仿宋_GB2312"/>
              </w:rPr>
              <w:t>发证机关印章印文自左向右横向多排排列，刻写的文字为发证机关全称。</w:t>
            </w:r>
          </w:p>
          <w:p>
            <w:pPr>
              <w:pStyle w:val="null3"/>
            </w:pPr>
            <w:r>
              <w:rPr>
                <w:rFonts w:ascii="仿宋_GB2312" w:hAnsi="仿宋_GB2312" w:cs="仿宋_GB2312" w:eastAsia="仿宋_GB2312"/>
              </w:rPr>
              <w:t>2-1-1-4、颜色</w:t>
            </w:r>
          </w:p>
          <w:p>
            <w:pPr>
              <w:pStyle w:val="null3"/>
            </w:pPr>
            <w:r>
              <w:rPr>
                <w:rFonts w:ascii="仿宋_GB2312" w:hAnsi="仿宋_GB2312" w:cs="仿宋_GB2312" w:eastAsia="仿宋_GB2312"/>
              </w:rPr>
              <w:t>发证机关印章为红色，使用红色紫外荧光防伪油墨印制。紫外灯照射下，呈现红色荧光。</w:t>
            </w:r>
          </w:p>
          <w:p>
            <w:pPr>
              <w:pStyle w:val="null3"/>
            </w:pPr>
            <w:r>
              <w:rPr>
                <w:rFonts w:ascii="仿宋_GB2312" w:hAnsi="仿宋_GB2312" w:cs="仿宋_GB2312" w:eastAsia="仿宋_GB2312"/>
              </w:rPr>
              <w:t>2-1-2、材质</w:t>
            </w:r>
          </w:p>
          <w:p>
            <w:pPr>
              <w:pStyle w:val="null3"/>
            </w:pPr>
            <w:r>
              <w:rPr>
                <w:rFonts w:ascii="仿宋_GB2312" w:hAnsi="仿宋_GB2312" w:cs="仿宋_GB2312" w:eastAsia="仿宋_GB2312"/>
              </w:rPr>
              <w:t>证芯使用200g~250g的高密度、高白度白卡纸，应符合QB/T3523的要求。</w:t>
            </w:r>
          </w:p>
          <w:p>
            <w:pPr>
              <w:pStyle w:val="null3"/>
            </w:pPr>
            <w:r>
              <w:rPr>
                <w:rFonts w:ascii="仿宋_GB2312" w:hAnsi="仿宋_GB2312" w:cs="仿宋_GB2312" w:eastAsia="仿宋_GB2312"/>
              </w:rPr>
              <w:t>2-1-3、式样</w:t>
            </w:r>
          </w:p>
          <w:p>
            <w:pPr>
              <w:pStyle w:val="null3"/>
            </w:pPr>
            <w:r>
              <w:rPr>
                <w:rFonts w:ascii="仿宋_GB2312" w:hAnsi="仿宋_GB2312" w:cs="仿宋_GB2312" w:eastAsia="仿宋_GB2312"/>
              </w:rPr>
              <w:t>2-1-3-1、式样与颜色</w:t>
            </w:r>
          </w:p>
          <w:p>
            <w:pPr>
              <w:pStyle w:val="null3"/>
            </w:pPr>
            <w:r>
              <w:rPr>
                <w:rFonts w:ascii="仿宋_GB2312" w:hAnsi="仿宋_GB2312" w:cs="仿宋_GB2312" w:eastAsia="仿宋_GB2312"/>
              </w:rPr>
              <w:t>格式、内容应符合附录B的规定，底纹采用超线防伪设计技术，防伪图案为“农机监理主标志LOGO” (见附录C)，颜色为GB/T 3181中的G01苹果绿色。</w:t>
            </w:r>
          </w:p>
          <w:p>
            <w:pPr>
              <w:pStyle w:val="null3"/>
            </w:pPr>
            <w:r>
              <w:rPr>
                <w:rFonts w:ascii="仿宋_GB2312" w:hAnsi="仿宋_GB2312" w:cs="仿宋_GB2312" w:eastAsia="仿宋_GB2312"/>
              </w:rPr>
              <w:t>2-1-3-2、主页文字</w:t>
            </w:r>
          </w:p>
          <w:p>
            <w:pPr>
              <w:pStyle w:val="null3"/>
            </w:pPr>
            <w:r>
              <w:rPr>
                <w:rFonts w:ascii="仿宋_GB2312" w:hAnsi="仿宋_GB2312" w:cs="仿宋_GB2312" w:eastAsia="仿宋_GB2312"/>
              </w:rPr>
              <w:t>1、主页正面文字</w:t>
            </w:r>
          </w:p>
          <w:p>
            <w:pPr>
              <w:pStyle w:val="null3"/>
            </w:pPr>
            <w:r>
              <w:rPr>
                <w:rFonts w:ascii="仿宋_GB2312" w:hAnsi="仿宋_GB2312" w:cs="仿宋_GB2312" w:eastAsia="仿宋_GB2312"/>
              </w:rPr>
              <w:t>“中华人民共和国拖拉机和联合收割机行驶证”字体为11pt黑体，位置居中，颜色为黑色；“号牌号码”、“类型”、“所有人”、“住址”、“底盘号/机架号”、“挂车架号码”、“发动机号码”、“品牌”、“型号名称”、“发证机关（印章）”、“登记日期”、“发证日期”等其他文字的字体为7.5pt宋体，颜色为黑色。</w:t>
            </w:r>
          </w:p>
          <w:p>
            <w:pPr>
              <w:pStyle w:val="null3"/>
              <w:numPr>
                <w:ilvl w:val="0"/>
                <w:numId w:val="1"/>
              </w:numPr>
            </w:pPr>
            <w:r>
              <w:rPr>
                <w:rFonts w:ascii="仿宋_GB2312" w:hAnsi="仿宋_GB2312" w:cs="仿宋_GB2312" w:eastAsia="仿宋_GB2312"/>
              </w:rPr>
              <w:t>主页背面文字</w:t>
            </w:r>
          </w:p>
          <w:p>
            <w:pPr>
              <w:pStyle w:val="null3"/>
            </w:pPr>
            <w:r>
              <w:rPr>
                <w:rFonts w:ascii="仿宋_GB2312" w:hAnsi="仿宋_GB2312" w:cs="仿宋_GB2312" w:eastAsia="仿宋_GB2312"/>
              </w:rPr>
              <w:t>“粘贴拖拉机或联合收割机照片”的字体为12pt宋体，颜色为黑色。</w:t>
            </w:r>
          </w:p>
          <w:p>
            <w:pPr>
              <w:pStyle w:val="null3"/>
            </w:pPr>
            <w:r>
              <w:rPr>
                <w:rFonts w:ascii="仿宋_GB2312" w:hAnsi="仿宋_GB2312" w:cs="仿宋_GB2312" w:eastAsia="仿宋_GB2312"/>
              </w:rPr>
              <w:t>2-1-3-3、副页文字</w:t>
            </w:r>
          </w:p>
          <w:p>
            <w:pPr>
              <w:pStyle w:val="null3"/>
            </w:pPr>
            <w:r>
              <w:rPr>
                <w:rFonts w:ascii="仿宋_GB2312" w:hAnsi="仿宋_GB2312" w:cs="仿宋_GB2312" w:eastAsia="仿宋_GB2312"/>
              </w:rPr>
              <w:t>“中华人民共和国拖拉机和联合收割机行驶证副页”字体为11pt黑体，位置居中，颜色为黑色；“号牌号码”、“类型”、“拖拉机最小使用质量”、“拖拉机最大允许载质量”、“联合收割机质量”、“千克”、“准乘人数”、“人”、“外廓尺寸”、“毫米”、“检验记录”文字的字体为7.5pt宋体，颜色为黑色。</w:t>
            </w:r>
          </w:p>
          <w:p>
            <w:pPr>
              <w:pStyle w:val="null3"/>
            </w:pPr>
            <w:r>
              <w:rPr>
                <w:rFonts w:ascii="仿宋_GB2312" w:hAnsi="仿宋_GB2312" w:cs="仿宋_GB2312" w:eastAsia="仿宋_GB2312"/>
              </w:rPr>
              <w:t>2-1-4、印刷</w:t>
            </w:r>
          </w:p>
          <w:p>
            <w:pPr>
              <w:pStyle w:val="null3"/>
            </w:pPr>
            <w:r>
              <w:rPr>
                <w:rFonts w:ascii="仿宋_GB2312" w:hAnsi="仿宋_GB2312" w:cs="仿宋_GB2312" w:eastAsia="仿宋_GB2312"/>
              </w:rPr>
              <w:t>2-1-4-1、外观</w:t>
            </w:r>
          </w:p>
          <w:p>
            <w:pPr>
              <w:pStyle w:val="null3"/>
            </w:pPr>
            <w:r>
              <w:rPr>
                <w:rFonts w:ascii="仿宋_GB2312" w:hAnsi="仿宋_GB2312" w:cs="仿宋_GB2312" w:eastAsia="仿宋_GB2312"/>
              </w:rPr>
              <w:t>文字采用普通胶印印刷，印刷应无缺色，无透印，版面整洁，无脏、花、糊，无缺笔道。</w:t>
            </w:r>
          </w:p>
          <w:p>
            <w:pPr>
              <w:pStyle w:val="null3"/>
            </w:pPr>
            <w:r>
              <w:rPr>
                <w:rFonts w:ascii="仿宋_GB2312" w:hAnsi="仿宋_GB2312" w:cs="仿宋_GB2312" w:eastAsia="仿宋_GB2312"/>
              </w:rPr>
              <w:t>2-1-4-2、证芯规格</w:t>
            </w:r>
          </w:p>
          <w:p>
            <w:pPr>
              <w:pStyle w:val="null3"/>
            </w:pPr>
            <w:r>
              <w:rPr>
                <w:rFonts w:ascii="仿宋_GB2312" w:hAnsi="仿宋_GB2312" w:cs="仿宋_GB2312" w:eastAsia="仿宋_GB2312"/>
              </w:rPr>
              <w:t>长度为88mm±0.5mm，宽度为60mm±0.5mm，圆角半径为4mm±0.1mm。证芯应采用上下连体方式印刷。</w:t>
            </w:r>
          </w:p>
          <w:p>
            <w:pPr>
              <w:pStyle w:val="null3"/>
            </w:pPr>
            <w:r>
              <w:rPr>
                <w:rFonts w:ascii="仿宋_GB2312" w:hAnsi="仿宋_GB2312" w:cs="仿宋_GB2312" w:eastAsia="仿宋_GB2312"/>
              </w:rPr>
              <w:t>2-1-4-3、套印</w:t>
            </w:r>
          </w:p>
          <w:p>
            <w:pPr>
              <w:pStyle w:val="null3"/>
            </w:pPr>
            <w:r>
              <w:rPr>
                <w:rFonts w:ascii="仿宋_GB2312" w:hAnsi="仿宋_GB2312" w:cs="仿宋_GB2312" w:eastAsia="仿宋_GB2312"/>
              </w:rPr>
              <w:t>套印位置上下允许偏差1mm，左右允许偏差1mm。</w:t>
            </w:r>
          </w:p>
          <w:p>
            <w:pPr>
              <w:pStyle w:val="null3"/>
            </w:pPr>
            <w:r>
              <w:rPr>
                <w:rFonts w:ascii="仿宋_GB2312" w:hAnsi="仿宋_GB2312" w:cs="仿宋_GB2312" w:eastAsia="仿宋_GB2312"/>
              </w:rPr>
              <w:t>2-2、签注</w:t>
            </w:r>
          </w:p>
          <w:p>
            <w:pPr>
              <w:pStyle w:val="null3"/>
            </w:pPr>
            <w:r>
              <w:rPr>
                <w:rFonts w:ascii="仿宋_GB2312" w:hAnsi="仿宋_GB2312" w:cs="仿宋_GB2312" w:eastAsia="仿宋_GB2312"/>
              </w:rPr>
              <w:t>2-2-1、字体</w:t>
            </w:r>
          </w:p>
          <w:p>
            <w:pPr>
              <w:pStyle w:val="null3"/>
            </w:pPr>
            <w:r>
              <w:rPr>
                <w:rFonts w:ascii="仿宋_GB2312" w:hAnsi="仿宋_GB2312" w:cs="仿宋_GB2312" w:eastAsia="仿宋_GB2312"/>
              </w:rPr>
              <w:t>证件主页和副页上的签注内容应使用专用打印机打印，字体为小五号仿宋体，颜色为黑色，“检验记录”栏应加盖检验专用章并签注检验有效期的截止日期，或者按照检验专用章的格式由计算机打印检验有效期的截止日期。</w:t>
            </w:r>
          </w:p>
          <w:p>
            <w:pPr>
              <w:pStyle w:val="null3"/>
            </w:pPr>
            <w:r>
              <w:rPr>
                <w:rFonts w:ascii="仿宋_GB2312" w:hAnsi="仿宋_GB2312" w:cs="仿宋_GB2312" w:eastAsia="仿宋_GB2312"/>
              </w:rPr>
              <w:t>2-2-2、照片</w:t>
            </w:r>
          </w:p>
          <w:p>
            <w:pPr>
              <w:pStyle w:val="null3"/>
            </w:pPr>
            <w:r>
              <w:rPr>
                <w:rFonts w:ascii="仿宋_GB2312" w:hAnsi="仿宋_GB2312" w:cs="仿宋_GB2312" w:eastAsia="仿宋_GB2312"/>
              </w:rPr>
              <w:t>应为拖拉机或联合收割机前方左侧45°拍摄的全机（拖拉机运输机组应当带挂车）外部彩色照片，规格为 88mm×60mm，圆角半径4mm。拖拉机或联合收割机影像应占照片的三分之二，应能够明确辨别车型和机身颜色。</w:t>
            </w:r>
          </w:p>
          <w:p>
            <w:pPr>
              <w:pStyle w:val="null3"/>
            </w:pPr>
            <w:r>
              <w:rPr>
                <w:rFonts w:ascii="仿宋_GB2312" w:hAnsi="仿宋_GB2312" w:cs="仿宋_GB2312" w:eastAsia="仿宋_GB2312"/>
              </w:rPr>
              <w:t>2-3、塑封套</w:t>
            </w:r>
          </w:p>
          <w:p>
            <w:pPr>
              <w:pStyle w:val="null3"/>
            </w:pPr>
            <w:r>
              <w:rPr>
                <w:rFonts w:ascii="仿宋_GB2312" w:hAnsi="仿宋_GB2312" w:cs="仿宋_GB2312" w:eastAsia="仿宋_GB2312"/>
              </w:rPr>
              <w:t>2-3-1、组成</w:t>
            </w:r>
          </w:p>
          <w:p>
            <w:pPr>
              <w:pStyle w:val="null3"/>
            </w:pPr>
            <w:r>
              <w:rPr>
                <w:rFonts w:ascii="仿宋_GB2312" w:hAnsi="仿宋_GB2312" w:cs="仿宋_GB2312" w:eastAsia="仿宋_GB2312"/>
              </w:rPr>
              <w:t>塑封套由A、B两页沿短边一侧加热封合而成，用于塑封行驶证主页。</w:t>
            </w:r>
          </w:p>
          <w:p>
            <w:pPr>
              <w:pStyle w:val="null3"/>
            </w:pPr>
            <w:r>
              <w:rPr>
                <w:rFonts w:ascii="仿宋_GB2312" w:hAnsi="仿宋_GB2312" w:cs="仿宋_GB2312" w:eastAsia="仿宋_GB2312"/>
              </w:rPr>
              <w:t>2-3-2、规格</w:t>
            </w:r>
          </w:p>
          <w:p>
            <w:pPr>
              <w:pStyle w:val="null3"/>
            </w:pPr>
            <w:r>
              <w:rPr>
                <w:rFonts w:ascii="仿宋_GB2312" w:hAnsi="仿宋_GB2312" w:cs="仿宋_GB2312" w:eastAsia="仿宋_GB2312"/>
              </w:rPr>
              <w:t>长度为95mm±0.5mm，宽度为66mm±0.5mm，圆角半径为4mm±0.1mm。</w:t>
            </w:r>
          </w:p>
          <w:p>
            <w:pPr>
              <w:pStyle w:val="null3"/>
            </w:pPr>
            <w:r>
              <w:rPr>
                <w:rFonts w:ascii="仿宋_GB2312" w:hAnsi="仿宋_GB2312" w:cs="仿宋_GB2312" w:eastAsia="仿宋_GB2312"/>
              </w:rPr>
              <w:t>2-3-3、材料</w:t>
            </w:r>
          </w:p>
          <w:p>
            <w:pPr>
              <w:pStyle w:val="null3"/>
            </w:pPr>
            <w:r>
              <w:rPr>
                <w:rFonts w:ascii="仿宋_GB2312" w:hAnsi="仿宋_GB2312" w:cs="仿宋_GB2312" w:eastAsia="仿宋_GB2312"/>
              </w:rPr>
              <w:t>A页和B页基材使用厚度为0.10mm±0.01mm的PET透明聚酯膜。</w:t>
            </w:r>
          </w:p>
          <w:p>
            <w:pPr>
              <w:pStyle w:val="null3"/>
            </w:pPr>
            <w:r>
              <w:rPr>
                <w:rFonts w:ascii="仿宋_GB2312" w:hAnsi="仿宋_GB2312" w:cs="仿宋_GB2312" w:eastAsia="仿宋_GB2312"/>
              </w:rPr>
              <w:t>2-3-4、涂层</w:t>
            </w:r>
          </w:p>
          <w:p>
            <w:pPr>
              <w:pStyle w:val="null3"/>
            </w:pPr>
            <w:r>
              <w:rPr>
                <w:rFonts w:ascii="仿宋_GB2312" w:hAnsi="仿宋_GB2312" w:cs="仿宋_GB2312" w:eastAsia="仿宋_GB2312"/>
              </w:rPr>
              <w:t>2-3-4-1、涂层与基材之间没有脱胶现象。</w:t>
            </w:r>
          </w:p>
          <w:p>
            <w:pPr>
              <w:pStyle w:val="null3"/>
            </w:pPr>
            <w:r>
              <w:rPr>
                <w:rFonts w:ascii="仿宋_GB2312" w:hAnsi="仿宋_GB2312" w:cs="仿宋_GB2312" w:eastAsia="仿宋_GB2312"/>
              </w:rPr>
              <w:t>2-3-4-2、涂层均匀，无气泡、灰层、油污和脏物。</w:t>
            </w:r>
          </w:p>
          <w:p>
            <w:pPr>
              <w:pStyle w:val="null3"/>
            </w:pPr>
            <w:r>
              <w:rPr>
                <w:rFonts w:ascii="仿宋_GB2312" w:hAnsi="仿宋_GB2312" w:cs="仿宋_GB2312" w:eastAsia="仿宋_GB2312"/>
              </w:rPr>
              <w:t>2-3-5、耐温性能</w:t>
            </w:r>
          </w:p>
          <w:p>
            <w:pPr>
              <w:pStyle w:val="null3"/>
            </w:pPr>
            <w:r>
              <w:rPr>
                <w:rFonts w:ascii="仿宋_GB2312" w:hAnsi="仿宋_GB2312" w:cs="仿宋_GB2312" w:eastAsia="仿宋_GB2312"/>
              </w:rPr>
              <w:t>在温度-50℃～60℃的环境下无开裂、黏连、脆化、软化等现象。</w:t>
            </w:r>
          </w:p>
          <w:p>
            <w:pPr>
              <w:pStyle w:val="null3"/>
            </w:pPr>
            <w:r>
              <w:rPr>
                <w:rFonts w:ascii="仿宋_GB2312" w:hAnsi="仿宋_GB2312" w:cs="仿宋_GB2312" w:eastAsia="仿宋_GB2312"/>
              </w:rPr>
              <w:t>2-4、证夹</w:t>
            </w:r>
          </w:p>
          <w:p>
            <w:pPr>
              <w:pStyle w:val="null3"/>
            </w:pPr>
            <w:r>
              <w:rPr>
                <w:rFonts w:ascii="仿宋_GB2312" w:hAnsi="仿宋_GB2312" w:cs="仿宋_GB2312" w:eastAsia="仿宋_GB2312"/>
              </w:rPr>
              <w:t>2-4-1、材质</w:t>
            </w:r>
          </w:p>
          <w:p>
            <w:pPr>
              <w:pStyle w:val="null3"/>
            </w:pPr>
            <w:r>
              <w:rPr>
                <w:rFonts w:ascii="仿宋_GB2312" w:hAnsi="仿宋_GB2312" w:cs="仿宋_GB2312" w:eastAsia="仿宋_GB2312"/>
              </w:rPr>
              <w:t>外皮为黑色人造革，内皮为透明无色塑料。</w:t>
            </w:r>
          </w:p>
          <w:p>
            <w:pPr>
              <w:pStyle w:val="null3"/>
            </w:pPr>
            <w:r>
              <w:rPr>
                <w:rFonts w:ascii="仿宋_GB2312" w:hAnsi="仿宋_GB2312" w:cs="仿宋_GB2312" w:eastAsia="仿宋_GB2312"/>
              </w:rPr>
              <w:t>2-4-2、式样</w:t>
            </w:r>
          </w:p>
          <w:p>
            <w:pPr>
              <w:pStyle w:val="null3"/>
            </w:pPr>
            <w:r>
              <w:rPr>
                <w:rFonts w:ascii="仿宋_GB2312" w:hAnsi="仿宋_GB2312" w:cs="仿宋_GB2312" w:eastAsia="仿宋_GB2312"/>
              </w:rPr>
              <w:t>正面压字“中华人民共和国拖拉机和联合收割机行驶证”，其中“中华人民共和国”字体为18pt宋体；“拖拉机和联合收割机行驶证”字体为18pt黑体。“中华人民共和国”和“拖拉机和联合收割机行驶证”间距为15mm。具体式样应符合附录A的规定。</w:t>
            </w:r>
          </w:p>
          <w:p>
            <w:pPr>
              <w:pStyle w:val="null3"/>
            </w:pPr>
            <w:r>
              <w:rPr>
                <w:rFonts w:ascii="仿宋_GB2312" w:hAnsi="仿宋_GB2312" w:cs="仿宋_GB2312" w:eastAsia="仿宋_GB2312"/>
              </w:rPr>
              <w:t>2-4-3、规格</w:t>
            </w:r>
          </w:p>
          <w:p>
            <w:pPr>
              <w:pStyle w:val="null3"/>
            </w:pPr>
            <w:r>
              <w:rPr>
                <w:rFonts w:ascii="仿宋_GB2312" w:hAnsi="仿宋_GB2312" w:cs="仿宋_GB2312" w:eastAsia="仿宋_GB2312"/>
              </w:rPr>
              <w:t>折叠后，长度为102mm±1mm，宽度为73mm±1mm，圆角半径为4mm±0.1mm。</w:t>
            </w:r>
          </w:p>
          <w:p>
            <w:pPr>
              <w:pStyle w:val="null3"/>
            </w:pPr>
            <w:r>
              <w:rPr>
                <w:rFonts w:ascii="仿宋_GB2312" w:hAnsi="仿宋_GB2312" w:cs="仿宋_GB2312" w:eastAsia="仿宋_GB2312"/>
              </w:rPr>
              <w:t>2-4-4、外观</w:t>
            </w:r>
          </w:p>
          <w:p>
            <w:pPr>
              <w:pStyle w:val="null3"/>
            </w:pPr>
            <w:r>
              <w:rPr>
                <w:rFonts w:ascii="仿宋_GB2312" w:hAnsi="仿宋_GB2312" w:cs="仿宋_GB2312" w:eastAsia="仿宋_GB2312"/>
              </w:rPr>
              <w:t>证夹外表手感柔软，外型规正挺括，折叠后不错位，外表无气泡，色泽均匀，压印字清晰无边刺，内皮透明无裂纹，内外皮封口牢固、均匀、无错位，证卡应能轻松地插入和取出。</w:t>
            </w:r>
          </w:p>
          <w:p>
            <w:pPr>
              <w:pStyle w:val="null3"/>
            </w:pPr>
            <w:r>
              <w:rPr>
                <w:rFonts w:ascii="仿宋_GB2312" w:hAnsi="仿宋_GB2312" w:cs="仿宋_GB2312" w:eastAsia="仿宋_GB2312"/>
              </w:rPr>
              <w:t>2-4-5、耐温性能</w:t>
            </w:r>
          </w:p>
          <w:p>
            <w:pPr>
              <w:pStyle w:val="null3"/>
            </w:pPr>
            <w:r>
              <w:rPr>
                <w:rFonts w:ascii="仿宋_GB2312" w:hAnsi="仿宋_GB2312" w:cs="仿宋_GB2312" w:eastAsia="仿宋_GB2312"/>
              </w:rPr>
              <w:t>证夹在温度-50℃～60℃的环境下无开裂、黏连、脆化、软化等现象。2-5、塑封</w:t>
            </w:r>
          </w:p>
          <w:p>
            <w:pPr>
              <w:pStyle w:val="null3"/>
            </w:pPr>
            <w:r>
              <w:rPr>
                <w:rFonts w:ascii="仿宋_GB2312" w:hAnsi="仿宋_GB2312" w:cs="仿宋_GB2312" w:eastAsia="仿宋_GB2312"/>
              </w:rPr>
              <w:t>2-5-1、外观</w:t>
            </w:r>
          </w:p>
          <w:p>
            <w:pPr>
              <w:pStyle w:val="null3"/>
            </w:pPr>
            <w:r>
              <w:rPr>
                <w:rFonts w:ascii="仿宋_GB2312" w:hAnsi="仿宋_GB2312" w:cs="仿宋_GB2312" w:eastAsia="仿宋_GB2312"/>
              </w:rPr>
              <w:t>塑封套经塑封后，不起泡、不起皱。</w:t>
            </w:r>
          </w:p>
          <w:p>
            <w:pPr>
              <w:pStyle w:val="null3"/>
            </w:pPr>
            <w:r>
              <w:rPr>
                <w:rFonts w:ascii="仿宋_GB2312" w:hAnsi="仿宋_GB2312" w:cs="仿宋_GB2312" w:eastAsia="仿宋_GB2312"/>
              </w:rPr>
              <w:t>2-5-2、封边</w:t>
            </w:r>
          </w:p>
          <w:p>
            <w:pPr>
              <w:pStyle w:val="null3"/>
            </w:pPr>
            <w:r>
              <w:rPr>
                <w:rFonts w:ascii="仿宋_GB2312" w:hAnsi="仿宋_GB2312" w:cs="仿宋_GB2312" w:eastAsia="仿宋_GB2312"/>
              </w:rPr>
              <w:t>封边平整没有台阶和变形，封边宽度为1.0mm～2.5mm。</w:t>
            </w:r>
          </w:p>
          <w:p>
            <w:pPr>
              <w:pStyle w:val="null3"/>
            </w:pPr>
            <w:r>
              <w:rPr>
                <w:rFonts w:ascii="仿宋_GB2312" w:hAnsi="仿宋_GB2312" w:cs="仿宋_GB2312" w:eastAsia="仿宋_GB2312"/>
              </w:rPr>
              <w:t>2-5-3、抗剥离</w:t>
            </w:r>
          </w:p>
          <w:p>
            <w:pPr>
              <w:pStyle w:val="null3"/>
            </w:pPr>
            <w:r>
              <w:rPr>
                <w:rFonts w:ascii="仿宋_GB2312" w:hAnsi="仿宋_GB2312" w:cs="仿宋_GB2312" w:eastAsia="仿宋_GB2312"/>
              </w:rPr>
              <w:t>抗剥离应满足以下要求：</w:t>
            </w:r>
          </w:p>
          <w:p>
            <w:pPr>
              <w:pStyle w:val="null3"/>
            </w:pPr>
            <w:r>
              <w:rPr>
                <w:rFonts w:ascii="仿宋_GB2312" w:hAnsi="仿宋_GB2312" w:cs="仿宋_GB2312" w:eastAsia="仿宋_GB2312"/>
              </w:rPr>
              <w:t>1）用塑封套塑封后，应封接牢固，涂层与片基、证芯之间不应有自然脱离现象；2）剥离后，签注后的证芯被破坏，不可复用；3）复合膜胶的剥离强度不小于30N/25mm。</w:t>
            </w:r>
          </w:p>
          <w:p>
            <w:pPr>
              <w:pStyle w:val="null3"/>
            </w:pPr>
            <w:r>
              <w:rPr>
                <w:rFonts w:ascii="仿宋_GB2312" w:hAnsi="仿宋_GB2312" w:cs="仿宋_GB2312" w:eastAsia="仿宋_GB2312"/>
              </w:rPr>
              <w:t>2-5-4、耐温性能</w:t>
            </w:r>
          </w:p>
          <w:p>
            <w:pPr>
              <w:pStyle w:val="null3"/>
            </w:pPr>
            <w:r>
              <w:rPr>
                <w:rFonts w:ascii="仿宋_GB2312" w:hAnsi="仿宋_GB2312" w:cs="仿宋_GB2312" w:eastAsia="仿宋_GB2312"/>
              </w:rPr>
              <w:t>在温度-50℃～60℃的环境下无开裂、黏连、脆化、软化等现象。</w:t>
            </w:r>
          </w:p>
          <w:p>
            <w:pPr>
              <w:pStyle w:val="null3"/>
            </w:pPr>
            <w:r>
              <w:rPr>
                <w:rFonts w:ascii="仿宋_GB2312" w:hAnsi="仿宋_GB2312" w:cs="仿宋_GB2312" w:eastAsia="仿宋_GB2312"/>
              </w:rPr>
              <w:t>3、检验</w:t>
            </w:r>
          </w:p>
          <w:p>
            <w:pPr>
              <w:pStyle w:val="null3"/>
            </w:pPr>
            <w:r>
              <w:rPr>
                <w:rFonts w:ascii="仿宋_GB2312" w:hAnsi="仿宋_GB2312" w:cs="仿宋_GB2312" w:eastAsia="仿宋_GB2312"/>
              </w:rPr>
              <w:t>生产企业按照本标准的技术要求制定产品质量检验规程，并实施检验。</w:t>
            </w:r>
          </w:p>
          <w:p>
            <w:pPr>
              <w:pStyle w:val="null3"/>
            </w:pPr>
            <w:r>
              <w:rPr>
                <w:rFonts w:ascii="仿宋_GB2312" w:hAnsi="仿宋_GB2312" w:cs="仿宋_GB2312" w:eastAsia="仿宋_GB2312"/>
              </w:rPr>
              <w:t>4、标志、包装、运输和贮存</w:t>
            </w:r>
          </w:p>
          <w:p>
            <w:pPr>
              <w:pStyle w:val="null3"/>
            </w:pPr>
            <w:r>
              <w:rPr>
                <w:rFonts w:ascii="仿宋_GB2312" w:hAnsi="仿宋_GB2312" w:cs="仿宋_GB2312" w:eastAsia="仿宋_GB2312"/>
              </w:rPr>
              <w:t>4-1、标志</w:t>
            </w:r>
          </w:p>
          <w:p>
            <w:pPr>
              <w:pStyle w:val="null3"/>
            </w:pPr>
            <w:r>
              <w:rPr>
                <w:rFonts w:ascii="仿宋_GB2312" w:hAnsi="仿宋_GB2312" w:cs="仿宋_GB2312" w:eastAsia="仿宋_GB2312"/>
              </w:rPr>
              <w:t>包装箱体上应有产品名称、数量、标准号、包装箱外廓尺寸、总质量、生产单位名称、地址、出厂年月日及注意事项等内容。包装箱体上应有“小心轻放”、“常温贮存”、“勿受潮湿”等标志。标志应符合GB191的规定。</w:t>
            </w:r>
          </w:p>
          <w:p>
            <w:pPr>
              <w:pStyle w:val="null3"/>
            </w:pPr>
            <w:r>
              <w:rPr>
                <w:rFonts w:ascii="仿宋_GB2312" w:hAnsi="仿宋_GB2312" w:cs="仿宋_GB2312" w:eastAsia="仿宋_GB2312"/>
              </w:rPr>
              <w:t>4-2、包装</w:t>
            </w:r>
          </w:p>
          <w:p>
            <w:pPr>
              <w:pStyle w:val="null3"/>
            </w:pPr>
            <w:r>
              <w:rPr>
                <w:rFonts w:ascii="仿宋_GB2312" w:hAnsi="仿宋_GB2312" w:cs="仿宋_GB2312" w:eastAsia="仿宋_GB2312"/>
              </w:rPr>
              <w:t>证卡和塑封套每100张为一小包装，证夹每50个为一小包装，小包装应平整、无破损、防水、防潮，且使用防潮纸加封。包装内应有合格证，合格证上应标明产品名称、数量、生产单位、生产日期、检验人员章、验收注意事项等。</w:t>
            </w:r>
          </w:p>
          <w:p>
            <w:pPr>
              <w:pStyle w:val="null3"/>
            </w:pPr>
            <w:r>
              <w:rPr>
                <w:rFonts w:ascii="仿宋_GB2312" w:hAnsi="仿宋_GB2312" w:cs="仿宋_GB2312" w:eastAsia="仿宋_GB2312"/>
              </w:rPr>
              <w:t>4-3、运输</w:t>
            </w:r>
          </w:p>
          <w:p>
            <w:pPr>
              <w:pStyle w:val="null3"/>
            </w:pPr>
            <w:r>
              <w:rPr>
                <w:rFonts w:ascii="仿宋_GB2312" w:hAnsi="仿宋_GB2312" w:cs="仿宋_GB2312" w:eastAsia="仿宋_GB2312"/>
              </w:rPr>
              <w:t>在运输过程中应防雨防潮、防高温。</w:t>
            </w:r>
          </w:p>
          <w:p>
            <w:pPr>
              <w:pStyle w:val="null3"/>
            </w:pPr>
            <w:r>
              <w:rPr>
                <w:rFonts w:ascii="仿宋_GB2312" w:hAnsi="仿宋_GB2312" w:cs="仿宋_GB2312" w:eastAsia="仿宋_GB2312"/>
              </w:rPr>
              <w:t>4-4、贮存</w:t>
            </w:r>
          </w:p>
          <w:p>
            <w:pPr>
              <w:pStyle w:val="null3"/>
            </w:pPr>
            <w:r>
              <w:rPr>
                <w:rFonts w:ascii="仿宋_GB2312" w:hAnsi="仿宋_GB2312" w:cs="仿宋_GB2312" w:eastAsia="仿宋_GB2312"/>
              </w:rPr>
              <w:t>产品应保存在温度低于30℃，相对湿度不大于60%RH的仓库内，远离热源。</w:t>
            </w:r>
          </w:p>
          <w:p>
            <w:pPr>
              <w:pStyle w:val="null3"/>
            </w:pPr>
            <w:r>
              <w:rPr>
                <w:rFonts w:ascii="仿宋_GB2312" w:hAnsi="仿宋_GB2312" w:cs="仿宋_GB2312" w:eastAsia="仿宋_GB2312"/>
              </w:rPr>
              <w:t>附录  A</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拖拉机和联合收割机行驶证证夹式样</w:t>
            </w:r>
          </w:p>
          <w:p>
            <w:pPr>
              <w:pStyle w:val="null3"/>
            </w:pPr>
            <w:r>
              <w:rPr>
                <w:rFonts w:ascii="仿宋_GB2312" w:hAnsi="仿宋_GB2312" w:cs="仿宋_GB2312" w:eastAsia="仿宋_GB2312"/>
              </w:rPr>
              <w:t>拖拉机和联合收割机行驶证证夹式样见图A.1</w:t>
            </w:r>
          </w:p>
          <w:p>
            <w:pPr>
              <w:pStyle w:val="null3"/>
            </w:pPr>
            <w:r>
              <w:drawing>
                <wp:inline distT="0" distR="0" distB="0" distL="0">
                  <wp:extent cx="1621155" cy="4293191"/>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1621155" cy="4293191"/>
                          </a:xfrm>
                          <a:prstGeom prst="rect">
                            <a:avLst/>
                          </a:prstGeom>
                        </pic:spPr>
                      </pic:pic>
                    </a:graphicData>
                  </a:graphic>
                </wp:inline>
              </w:drawing>
            </w:r>
          </w:p>
          <w:p>
            <w:pPr>
              <w:pStyle w:val="null3"/>
            </w:pPr>
            <w:r>
              <w:rPr>
                <w:rFonts w:ascii="仿宋_GB2312" w:hAnsi="仿宋_GB2312" w:cs="仿宋_GB2312" w:eastAsia="仿宋_GB2312"/>
              </w:rPr>
              <w:t>图A.1拖拉机和联合收割机行驶证证夹式样</w:t>
            </w:r>
          </w:p>
          <w:p>
            <w:pPr>
              <w:pStyle w:val="null3"/>
            </w:pPr>
            <w:r>
              <w:rPr>
                <w:rFonts w:ascii="仿宋_GB2312" w:hAnsi="仿宋_GB2312" w:cs="仿宋_GB2312" w:eastAsia="仿宋_GB2312"/>
              </w:rPr>
              <w:t>附录  B</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拖拉机和联合收割机行驶证证芯式样</w:t>
            </w:r>
          </w:p>
          <w:p>
            <w:pPr>
              <w:pStyle w:val="null3"/>
            </w:pPr>
            <w:r>
              <w:rPr>
                <w:rFonts w:ascii="仿宋_GB2312" w:hAnsi="仿宋_GB2312" w:cs="仿宋_GB2312" w:eastAsia="仿宋_GB2312"/>
              </w:rPr>
              <w:t>B.1拖拉机和联合收割机行驶证主页正面</w:t>
            </w:r>
          </w:p>
          <w:p>
            <w:pPr>
              <w:pStyle w:val="null3"/>
            </w:pPr>
            <w:r>
              <w:rPr>
                <w:rFonts w:ascii="仿宋_GB2312" w:hAnsi="仿宋_GB2312" w:cs="仿宋_GB2312" w:eastAsia="仿宋_GB2312"/>
              </w:rPr>
              <w:t>拖拉机和联合收割机行驶证主页正面式样见图B.1。</w:t>
            </w:r>
          </w:p>
          <w:p>
            <w:pPr>
              <w:pStyle w:val="null3"/>
            </w:pPr>
            <w:r>
              <w:drawing>
                <wp:inline distT="0" distR="0" distB="0" distL="0">
                  <wp:extent cx="1621155" cy="1103725"/>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9"/>
                          <a:stretch>
                            <a:fillRect/>
                          </a:stretch>
                        </pic:blipFill>
                        <pic:spPr>
                          <a:xfrm>
                            <a:off x="0" y="0"/>
                            <a:ext cx="1621155" cy="1103725"/>
                          </a:xfrm>
                          <a:prstGeom prst="rect">
                            <a:avLst/>
                          </a:prstGeom>
                        </pic:spPr>
                      </pic:pic>
                    </a:graphicData>
                  </a:graphic>
                </wp:inline>
              </w:drawing>
            </w:r>
          </w:p>
          <w:p>
            <w:pPr>
              <w:pStyle w:val="null3"/>
            </w:pPr>
            <w:r>
              <w:rPr>
                <w:rFonts w:ascii="仿宋_GB2312" w:hAnsi="仿宋_GB2312" w:cs="仿宋_GB2312" w:eastAsia="仿宋_GB2312"/>
              </w:rPr>
              <w:t>图B.1拖拉机和联合收割机行驶证主页正面</w:t>
            </w:r>
          </w:p>
          <w:p>
            <w:pPr>
              <w:pStyle w:val="null3"/>
            </w:pPr>
            <w:r>
              <w:rPr>
                <w:rFonts w:ascii="仿宋_GB2312" w:hAnsi="仿宋_GB2312" w:cs="仿宋_GB2312" w:eastAsia="仿宋_GB2312"/>
              </w:rPr>
              <w:t>B.2拖拉机和联合收割机行驶证主页背面</w:t>
            </w:r>
          </w:p>
          <w:p>
            <w:pPr>
              <w:pStyle w:val="null3"/>
            </w:pPr>
            <w:r>
              <w:rPr>
                <w:rFonts w:ascii="仿宋_GB2312" w:hAnsi="仿宋_GB2312" w:cs="仿宋_GB2312" w:eastAsia="仿宋_GB2312"/>
              </w:rPr>
              <w:t>拖拉机和联合收割机行驶证主页背面式样见图B.2。</w:t>
            </w:r>
          </w:p>
          <w:p>
            <w:pPr>
              <w:pStyle w:val="null3"/>
            </w:pPr>
            <w:r>
              <w:drawing>
                <wp:inline distT="0" distR="0" distB="0" distL="0">
                  <wp:extent cx="1621155" cy="1003179"/>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20"/>
                          <a:stretch>
                            <a:fillRect/>
                          </a:stretch>
                        </pic:blipFill>
                        <pic:spPr>
                          <a:xfrm>
                            <a:off x="0" y="0"/>
                            <a:ext cx="1621155" cy="1003179"/>
                          </a:xfrm>
                          <a:prstGeom prst="rect">
                            <a:avLst/>
                          </a:prstGeom>
                        </pic:spPr>
                      </pic:pic>
                    </a:graphicData>
                  </a:graphic>
                </wp:inline>
              </w:drawing>
            </w:r>
          </w:p>
          <w:p>
            <w:pPr>
              <w:pStyle w:val="null3"/>
            </w:pPr>
            <w:r>
              <w:rPr>
                <w:rFonts w:ascii="仿宋_GB2312" w:hAnsi="仿宋_GB2312" w:cs="仿宋_GB2312" w:eastAsia="仿宋_GB2312"/>
              </w:rPr>
              <w:t>图B.2 拖拉机和联合收割机行驶证主页背面</w:t>
            </w:r>
          </w:p>
          <w:p>
            <w:pPr>
              <w:pStyle w:val="null3"/>
            </w:pPr>
            <w:r>
              <w:rPr>
                <w:rFonts w:ascii="仿宋_GB2312" w:hAnsi="仿宋_GB2312" w:cs="仿宋_GB2312" w:eastAsia="仿宋_GB2312"/>
              </w:rPr>
              <w:t>B.3拖拉机和联合收割机行驶证副页正面</w:t>
            </w:r>
          </w:p>
          <w:p>
            <w:pPr>
              <w:pStyle w:val="null3"/>
            </w:pPr>
            <w:r>
              <w:rPr>
                <w:rFonts w:ascii="仿宋_GB2312" w:hAnsi="仿宋_GB2312" w:cs="仿宋_GB2312" w:eastAsia="仿宋_GB2312"/>
              </w:rPr>
              <w:t>拖拉机和联合收割机行驶证副页正面式样见图B.3。</w:t>
            </w:r>
          </w:p>
          <w:p>
            <w:pPr>
              <w:pStyle w:val="null3"/>
            </w:pPr>
            <w:r>
              <w:drawing>
                <wp:inline distT="0" distR="0" distB="0" distL="0">
                  <wp:extent cx="1621155" cy="1150194"/>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1"/>
                          <a:stretch>
                            <a:fillRect/>
                          </a:stretch>
                        </pic:blipFill>
                        <pic:spPr>
                          <a:xfrm>
                            <a:off x="0" y="0"/>
                            <a:ext cx="1621155" cy="1150194"/>
                          </a:xfrm>
                          <a:prstGeom prst="rect">
                            <a:avLst/>
                          </a:prstGeom>
                        </pic:spPr>
                      </pic:pic>
                    </a:graphicData>
                  </a:graphic>
                </wp:inline>
              </w:drawing>
            </w:r>
          </w:p>
          <w:p>
            <w:pPr>
              <w:pStyle w:val="null3"/>
            </w:pPr>
            <w:r>
              <w:rPr>
                <w:rFonts w:ascii="仿宋_GB2312" w:hAnsi="仿宋_GB2312" w:cs="仿宋_GB2312" w:eastAsia="仿宋_GB2312"/>
              </w:rPr>
              <w:t>图B.3拖拉机和联合收割机行驶证副页正面</w:t>
            </w:r>
          </w:p>
          <w:p>
            <w:pPr>
              <w:pStyle w:val="null3"/>
            </w:pPr>
            <w:r>
              <w:rPr>
                <w:rFonts w:ascii="仿宋_GB2312" w:hAnsi="仿宋_GB2312" w:cs="仿宋_GB2312" w:eastAsia="仿宋_GB2312"/>
              </w:rPr>
              <w:t>B.4拖拉机和联合收割机行驶证副页背面</w:t>
            </w:r>
          </w:p>
          <w:p>
            <w:pPr>
              <w:pStyle w:val="null3"/>
            </w:pPr>
            <w:r>
              <w:rPr>
                <w:rFonts w:ascii="仿宋_GB2312" w:hAnsi="仿宋_GB2312" w:cs="仿宋_GB2312" w:eastAsia="仿宋_GB2312"/>
              </w:rPr>
              <w:t>拖拉机和联合收割机行驶证副页背面式样见图B.4。</w:t>
            </w:r>
          </w:p>
          <w:p>
            <w:pPr>
              <w:pStyle w:val="null3"/>
            </w:pPr>
            <w:r>
              <w:drawing>
                <wp:inline distT="0" distR="0" distB="0" distL="0">
                  <wp:extent cx="1621155" cy="1089653"/>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2"/>
                          <a:stretch>
                            <a:fillRect/>
                          </a:stretch>
                        </pic:blipFill>
                        <pic:spPr>
                          <a:xfrm>
                            <a:off x="0" y="0"/>
                            <a:ext cx="1621155" cy="1089653"/>
                          </a:xfrm>
                          <a:prstGeom prst="rect">
                            <a:avLst/>
                          </a:prstGeom>
                        </pic:spPr>
                      </pic:pic>
                    </a:graphicData>
                  </a:graphic>
                </wp:inline>
              </w:drawing>
            </w:r>
          </w:p>
          <w:p>
            <w:pPr>
              <w:pStyle w:val="null3"/>
            </w:pPr>
            <w:r>
              <w:rPr>
                <w:rFonts w:ascii="仿宋_GB2312" w:hAnsi="仿宋_GB2312" w:cs="仿宋_GB2312" w:eastAsia="仿宋_GB2312"/>
              </w:rPr>
              <w:t>图B.4拖拉机和联合收割机行驶证副页背面</w:t>
            </w:r>
          </w:p>
          <w:p>
            <w:pPr>
              <w:pStyle w:val="null3"/>
            </w:pPr>
            <w:r>
              <w:rPr>
                <w:rFonts w:ascii="仿宋_GB2312" w:hAnsi="仿宋_GB2312" w:cs="仿宋_GB2312" w:eastAsia="仿宋_GB2312"/>
              </w:rPr>
              <w:t>附录  C</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农机监理主标志LOGO</w:t>
            </w:r>
          </w:p>
          <w:p>
            <w:pPr>
              <w:pStyle w:val="null3"/>
            </w:pPr>
            <w:r>
              <w:rPr>
                <w:rFonts w:ascii="仿宋_GB2312" w:hAnsi="仿宋_GB2312" w:cs="仿宋_GB2312" w:eastAsia="仿宋_GB2312"/>
              </w:rPr>
              <w:t>农机监理主标志LOGO见图C.1。</w:t>
            </w:r>
          </w:p>
          <w:p>
            <w:pPr>
              <w:pStyle w:val="null3"/>
            </w:pPr>
            <w:r>
              <w:drawing>
                <wp:inline distT="0" distR="0" distB="0" distL="0">
                  <wp:extent cx="1621155" cy="1265609"/>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6"/>
                          <a:stretch>
                            <a:fillRect/>
                          </a:stretch>
                        </pic:blipFill>
                        <pic:spPr>
                          <a:xfrm>
                            <a:off x="0" y="0"/>
                            <a:ext cx="1621155" cy="1265609"/>
                          </a:xfrm>
                          <a:prstGeom prst="rect">
                            <a:avLst/>
                          </a:prstGeom>
                        </pic:spPr>
                      </pic:pic>
                    </a:graphicData>
                  </a:graphic>
                </wp:inline>
              </w:drawing>
            </w:r>
          </w:p>
          <w:p>
            <w:pPr>
              <w:pStyle w:val="null3"/>
            </w:pPr>
            <w:r>
              <w:rPr>
                <w:rFonts w:ascii="仿宋_GB2312" w:hAnsi="仿宋_GB2312" w:cs="仿宋_GB2312" w:eastAsia="仿宋_GB2312"/>
              </w:rPr>
              <w:t>图C.1 农机监理主标志LOGO</w:t>
            </w:r>
          </w:p>
          <w:p>
            <w:pPr>
              <w:pStyle w:val="null3"/>
            </w:pPr>
            <w:r>
              <w:rPr>
                <w:rFonts w:ascii="仿宋_GB2312" w:hAnsi="仿宋_GB2312" w:cs="仿宋_GB2312" w:eastAsia="仿宋_GB2312"/>
              </w:rPr>
              <w:t>五、拖拉机和联合收割机驾驶证</w:t>
            </w:r>
          </w:p>
          <w:p>
            <w:pPr>
              <w:pStyle w:val="null3"/>
            </w:pPr>
            <w:r>
              <w:rPr>
                <w:rFonts w:ascii="仿宋_GB2312" w:hAnsi="仿宋_GB2312" w:cs="仿宋_GB2312" w:eastAsia="仿宋_GB2312"/>
              </w:rPr>
              <w:t>1、组成</w:t>
            </w:r>
          </w:p>
          <w:p>
            <w:pPr>
              <w:pStyle w:val="null3"/>
            </w:pPr>
            <w:r>
              <w:rPr>
                <w:rFonts w:ascii="仿宋_GB2312" w:hAnsi="仿宋_GB2312" w:cs="仿宋_GB2312" w:eastAsia="仿宋_GB2312"/>
              </w:rPr>
              <w:t>拖拉机和联合收割机驾驶证由证夹（见附录D）、主页、副页三部分组成。其中：主页是用塑封套塑封的已签注的证芯，副页是已签注的未塑封的证芯。</w:t>
            </w:r>
          </w:p>
          <w:p>
            <w:pPr>
              <w:pStyle w:val="null3"/>
            </w:pPr>
            <w:r>
              <w:rPr>
                <w:rFonts w:ascii="仿宋_GB2312" w:hAnsi="仿宋_GB2312" w:cs="仿宋_GB2312" w:eastAsia="仿宋_GB2312"/>
              </w:rPr>
              <w:t>2、技术要求</w:t>
            </w:r>
          </w:p>
          <w:p>
            <w:pPr>
              <w:pStyle w:val="null3"/>
            </w:pPr>
            <w:r>
              <w:rPr>
                <w:rFonts w:ascii="仿宋_GB2312" w:hAnsi="仿宋_GB2312" w:cs="仿宋_GB2312" w:eastAsia="仿宋_GB2312"/>
              </w:rPr>
              <w:t>2-1、证芯</w:t>
            </w:r>
          </w:p>
          <w:p>
            <w:pPr>
              <w:pStyle w:val="null3"/>
            </w:pPr>
            <w:r>
              <w:rPr>
                <w:rFonts w:ascii="仿宋_GB2312" w:hAnsi="仿宋_GB2312" w:cs="仿宋_GB2312" w:eastAsia="仿宋_GB2312"/>
              </w:rPr>
              <w:t>2-1-1、印章</w:t>
            </w:r>
          </w:p>
          <w:p>
            <w:pPr>
              <w:pStyle w:val="null3"/>
            </w:pPr>
            <w:r>
              <w:rPr>
                <w:rFonts w:ascii="仿宋_GB2312" w:hAnsi="仿宋_GB2312" w:cs="仿宋_GB2312" w:eastAsia="仿宋_GB2312"/>
              </w:rPr>
              <w:t>2-1-1-1、规格</w:t>
            </w:r>
          </w:p>
          <w:p>
            <w:pPr>
              <w:pStyle w:val="null3"/>
            </w:pPr>
            <w:r>
              <w:rPr>
                <w:rFonts w:ascii="仿宋_GB2312" w:hAnsi="仿宋_GB2312" w:cs="仿宋_GB2312" w:eastAsia="仿宋_GB2312"/>
              </w:rPr>
              <w:t>发证机关印章为正方形，规格为20mm×20mm，框线宽为0.5mm。</w:t>
            </w:r>
          </w:p>
          <w:p>
            <w:pPr>
              <w:pStyle w:val="null3"/>
            </w:pPr>
            <w:r>
              <w:rPr>
                <w:rFonts w:ascii="仿宋_GB2312" w:hAnsi="仿宋_GB2312" w:cs="仿宋_GB2312" w:eastAsia="仿宋_GB2312"/>
              </w:rPr>
              <w:t>2-1-1-2、字体</w:t>
            </w:r>
          </w:p>
          <w:p>
            <w:pPr>
              <w:pStyle w:val="null3"/>
            </w:pPr>
            <w:r>
              <w:rPr>
                <w:rFonts w:ascii="仿宋_GB2312" w:hAnsi="仿宋_GB2312" w:cs="仿宋_GB2312" w:eastAsia="仿宋_GB2312"/>
              </w:rPr>
              <w:t>印文使用的汉字为国务院公布的简化汉字，字体应为五号宋体。民族自治地方的自治机关根据本地区的实际情况，在使用全国通用格式的同时，可以附加使用本民族的文字或选用一种当地通用的民族文字，并适当缩小字号。</w:t>
            </w:r>
          </w:p>
          <w:p>
            <w:pPr>
              <w:pStyle w:val="null3"/>
            </w:pPr>
            <w:r>
              <w:rPr>
                <w:rFonts w:ascii="仿宋_GB2312" w:hAnsi="仿宋_GB2312" w:cs="仿宋_GB2312" w:eastAsia="仿宋_GB2312"/>
              </w:rPr>
              <w:t>2-1-1-3、式样</w:t>
            </w:r>
          </w:p>
          <w:p>
            <w:pPr>
              <w:pStyle w:val="null3"/>
            </w:pPr>
            <w:r>
              <w:rPr>
                <w:rFonts w:ascii="仿宋_GB2312" w:hAnsi="仿宋_GB2312" w:cs="仿宋_GB2312" w:eastAsia="仿宋_GB2312"/>
              </w:rPr>
              <w:t>发证机关印章印文自左向右横向多排排列，刻写的文字为发证机关全称。</w:t>
            </w:r>
          </w:p>
          <w:p>
            <w:pPr>
              <w:pStyle w:val="null3"/>
            </w:pPr>
            <w:r>
              <w:rPr>
                <w:rFonts w:ascii="仿宋_GB2312" w:hAnsi="仿宋_GB2312" w:cs="仿宋_GB2312" w:eastAsia="仿宋_GB2312"/>
              </w:rPr>
              <w:t>2-1-1-4、颜色</w:t>
            </w:r>
          </w:p>
          <w:p>
            <w:pPr>
              <w:pStyle w:val="null3"/>
            </w:pPr>
            <w:r>
              <w:rPr>
                <w:rFonts w:ascii="仿宋_GB2312" w:hAnsi="仿宋_GB2312" w:cs="仿宋_GB2312" w:eastAsia="仿宋_GB2312"/>
              </w:rPr>
              <w:t>发证机关印章为红色，使用红色紫外荧光防伪油墨印制。紫外灯照射下，呈现红色荧光。</w:t>
            </w:r>
          </w:p>
          <w:p>
            <w:pPr>
              <w:pStyle w:val="null3"/>
            </w:pPr>
            <w:r>
              <w:rPr>
                <w:rFonts w:ascii="仿宋_GB2312" w:hAnsi="仿宋_GB2312" w:cs="仿宋_GB2312" w:eastAsia="仿宋_GB2312"/>
              </w:rPr>
              <w:t>2-1-2、材质</w:t>
            </w:r>
          </w:p>
          <w:p>
            <w:pPr>
              <w:pStyle w:val="null3"/>
            </w:pPr>
            <w:r>
              <w:rPr>
                <w:rFonts w:ascii="仿宋_GB2312" w:hAnsi="仿宋_GB2312" w:cs="仿宋_GB2312" w:eastAsia="仿宋_GB2312"/>
              </w:rPr>
              <w:t>证芯使用200g~250g的高密度、高白度白卡纸，应符合QB/T3523的要求。</w:t>
            </w:r>
          </w:p>
          <w:p>
            <w:pPr>
              <w:pStyle w:val="null3"/>
            </w:pPr>
            <w:r>
              <w:rPr>
                <w:rFonts w:ascii="仿宋_GB2312" w:hAnsi="仿宋_GB2312" w:cs="仿宋_GB2312" w:eastAsia="仿宋_GB2312"/>
              </w:rPr>
              <w:t>2-1-3、式样</w:t>
            </w:r>
          </w:p>
          <w:p>
            <w:pPr>
              <w:pStyle w:val="null3"/>
            </w:pPr>
            <w:r>
              <w:rPr>
                <w:rFonts w:ascii="仿宋_GB2312" w:hAnsi="仿宋_GB2312" w:cs="仿宋_GB2312" w:eastAsia="仿宋_GB2312"/>
              </w:rPr>
              <w:t>2-1-3-1、式样与颜色</w:t>
            </w:r>
          </w:p>
          <w:p>
            <w:pPr>
              <w:pStyle w:val="null3"/>
            </w:pPr>
            <w:r>
              <w:rPr>
                <w:rFonts w:ascii="仿宋_GB2312" w:hAnsi="仿宋_GB2312" w:cs="仿宋_GB2312" w:eastAsia="仿宋_GB2312"/>
              </w:rPr>
              <w:t>格式、内容应符合附录E的规定，底纹采用超线防伪设计技术，防伪图案为“农机监理主标志LOGO”(见附录F)，颜色为GB/T 3181中的G01苹果绿色。</w:t>
            </w:r>
          </w:p>
          <w:p>
            <w:pPr>
              <w:pStyle w:val="null3"/>
            </w:pPr>
            <w:r>
              <w:rPr>
                <w:rFonts w:ascii="仿宋_GB2312" w:hAnsi="仿宋_GB2312" w:cs="仿宋_GB2312" w:eastAsia="仿宋_GB2312"/>
              </w:rPr>
              <w:t>2-1-3-2、主页文字</w:t>
            </w:r>
          </w:p>
          <w:p>
            <w:pPr>
              <w:pStyle w:val="null3"/>
            </w:pPr>
            <w:r>
              <w:rPr>
                <w:rFonts w:ascii="仿宋_GB2312" w:hAnsi="仿宋_GB2312" w:cs="仿宋_GB2312" w:eastAsia="仿宋_GB2312"/>
              </w:rPr>
              <w:t>1、主页正面文字</w:t>
            </w:r>
          </w:p>
          <w:p>
            <w:pPr>
              <w:pStyle w:val="null3"/>
            </w:pPr>
            <w:r>
              <w:rPr>
                <w:rFonts w:ascii="仿宋_GB2312" w:hAnsi="仿宋_GB2312" w:cs="仿宋_GB2312" w:eastAsia="仿宋_GB2312"/>
              </w:rPr>
              <w:t>“中华人民共和国拖拉机和联合收割机驾驶证”字体为11pt黑体，位置居中，颜色为黑色；“证号”字体为10pt黑体，颜色为红色；“姓名”、“性别”、“国籍”、“住址”、“出生日期”、“初次领证日期”、“准驾机型”、“有效期限”、“照片”为8pt宋体，颜色为黑色。</w:t>
            </w:r>
          </w:p>
          <w:p>
            <w:pPr>
              <w:pStyle w:val="null3"/>
            </w:pPr>
            <w:r>
              <w:rPr>
                <w:rFonts w:ascii="仿宋_GB2312" w:hAnsi="仿宋_GB2312" w:cs="仿宋_GB2312" w:eastAsia="仿宋_GB2312"/>
              </w:rPr>
              <w:t>2、主页背面文字</w:t>
            </w:r>
          </w:p>
          <w:p>
            <w:pPr>
              <w:pStyle w:val="null3"/>
            </w:pPr>
            <w:r>
              <w:rPr>
                <w:rFonts w:ascii="仿宋_GB2312" w:hAnsi="仿宋_GB2312" w:cs="仿宋_GB2312" w:eastAsia="仿宋_GB2312"/>
              </w:rPr>
              <w:t>“准驾机型代号及准驾规定”字体为12pt黑体，位置居中；“G1：轮式拖拉机”、“G2：轮式拖拉机运输机组和G1”、“K1：手扶拖拉机”、“K2：手扶拖拉机运输机组和K1”、“L：履带拖拉机”、“R：轮式联合收割机”、“S：履带式联合收割机”等字体为11pt宋体，颜色为黑色。</w:t>
            </w:r>
          </w:p>
          <w:p>
            <w:pPr>
              <w:pStyle w:val="null3"/>
            </w:pPr>
            <w:r>
              <w:rPr>
                <w:rFonts w:ascii="仿宋_GB2312" w:hAnsi="仿宋_GB2312" w:cs="仿宋_GB2312" w:eastAsia="仿宋_GB2312"/>
              </w:rPr>
              <w:t>2-1-3-3、副页文字</w:t>
            </w:r>
          </w:p>
          <w:p>
            <w:pPr>
              <w:pStyle w:val="null3"/>
            </w:pPr>
            <w:r>
              <w:rPr>
                <w:rFonts w:ascii="仿宋_GB2312" w:hAnsi="仿宋_GB2312" w:cs="仿宋_GB2312" w:eastAsia="仿宋_GB2312"/>
              </w:rPr>
              <w:t>副页正面“中华人民共和国拖拉机和联合收割机驾驶证副页”字体为11pt黑体，位置居中，颜色为黑色；“证号”字体为10pt黑体，颜色为红色；“姓名”、“档案编号”和“记录” 等字体为8pt宋体，颜色为黑色。副页背面“记录” 等字体为8pt宋体，颜色为黑色。</w:t>
            </w:r>
          </w:p>
          <w:p>
            <w:pPr>
              <w:pStyle w:val="null3"/>
            </w:pPr>
            <w:r>
              <w:rPr>
                <w:rFonts w:ascii="仿宋_GB2312" w:hAnsi="仿宋_GB2312" w:cs="仿宋_GB2312" w:eastAsia="仿宋_GB2312"/>
              </w:rPr>
              <w:t>2-1-4、印刷</w:t>
            </w:r>
          </w:p>
          <w:p>
            <w:pPr>
              <w:pStyle w:val="null3"/>
            </w:pPr>
            <w:r>
              <w:rPr>
                <w:rFonts w:ascii="仿宋_GB2312" w:hAnsi="仿宋_GB2312" w:cs="仿宋_GB2312" w:eastAsia="仿宋_GB2312"/>
              </w:rPr>
              <w:t>2-1-4-1、外观</w:t>
            </w:r>
          </w:p>
          <w:p>
            <w:pPr>
              <w:pStyle w:val="null3"/>
            </w:pPr>
            <w:r>
              <w:rPr>
                <w:rFonts w:ascii="仿宋_GB2312" w:hAnsi="仿宋_GB2312" w:cs="仿宋_GB2312" w:eastAsia="仿宋_GB2312"/>
              </w:rPr>
              <w:t>文字采用普通胶印印刷，印刷应无缺色，无透印，版面整洁，无脏、花、糊，无缺笔道。</w:t>
            </w:r>
          </w:p>
          <w:p>
            <w:pPr>
              <w:pStyle w:val="null3"/>
            </w:pPr>
            <w:r>
              <w:rPr>
                <w:rFonts w:ascii="仿宋_GB2312" w:hAnsi="仿宋_GB2312" w:cs="仿宋_GB2312" w:eastAsia="仿宋_GB2312"/>
              </w:rPr>
              <w:t>2-1-4-2、证芯规格</w:t>
            </w:r>
          </w:p>
          <w:p>
            <w:pPr>
              <w:pStyle w:val="null3"/>
            </w:pPr>
            <w:r>
              <w:rPr>
                <w:rFonts w:ascii="仿宋_GB2312" w:hAnsi="仿宋_GB2312" w:cs="仿宋_GB2312" w:eastAsia="仿宋_GB2312"/>
              </w:rPr>
              <w:t>长度为88mm±0.5mm，宽度为60mm±0.5mm，圆角半径为4mm±0.1mm。证芯应采用上下连体方式印刷。</w:t>
            </w:r>
          </w:p>
          <w:p>
            <w:pPr>
              <w:pStyle w:val="null3"/>
            </w:pPr>
            <w:r>
              <w:rPr>
                <w:rFonts w:ascii="仿宋_GB2312" w:hAnsi="仿宋_GB2312" w:cs="仿宋_GB2312" w:eastAsia="仿宋_GB2312"/>
              </w:rPr>
              <w:t>2-1-4-3、套印</w:t>
            </w:r>
          </w:p>
          <w:p>
            <w:pPr>
              <w:pStyle w:val="null3"/>
            </w:pPr>
            <w:r>
              <w:rPr>
                <w:rFonts w:ascii="仿宋_GB2312" w:hAnsi="仿宋_GB2312" w:cs="仿宋_GB2312" w:eastAsia="仿宋_GB2312"/>
              </w:rPr>
              <w:t>套印位置上下允许偏差1mm，左右允许偏差1mm。</w:t>
            </w:r>
          </w:p>
          <w:p>
            <w:pPr>
              <w:pStyle w:val="null3"/>
            </w:pPr>
            <w:r>
              <w:rPr>
                <w:rFonts w:ascii="仿宋_GB2312" w:hAnsi="仿宋_GB2312" w:cs="仿宋_GB2312" w:eastAsia="仿宋_GB2312"/>
              </w:rPr>
              <w:t>2-2、签注</w:t>
            </w:r>
          </w:p>
          <w:p>
            <w:pPr>
              <w:pStyle w:val="null3"/>
            </w:pPr>
            <w:r>
              <w:rPr>
                <w:rFonts w:ascii="仿宋_GB2312" w:hAnsi="仿宋_GB2312" w:cs="仿宋_GB2312" w:eastAsia="仿宋_GB2312"/>
              </w:rPr>
              <w:t>2-2-1、证号</w:t>
            </w:r>
          </w:p>
          <w:p>
            <w:pPr>
              <w:pStyle w:val="null3"/>
            </w:pPr>
            <w:r>
              <w:rPr>
                <w:rFonts w:ascii="仿宋_GB2312" w:hAnsi="仿宋_GB2312" w:cs="仿宋_GB2312" w:eastAsia="仿宋_GB2312"/>
              </w:rPr>
              <w:t>证号采用持证者居民身份证件号码编号。</w:t>
            </w:r>
          </w:p>
          <w:p>
            <w:pPr>
              <w:pStyle w:val="null3"/>
            </w:pPr>
            <w:r>
              <w:rPr>
                <w:rFonts w:ascii="仿宋_GB2312" w:hAnsi="仿宋_GB2312" w:cs="仿宋_GB2312" w:eastAsia="仿宋_GB2312"/>
              </w:rPr>
              <w:t>2-2-2、档案编号</w:t>
            </w:r>
          </w:p>
          <w:p>
            <w:pPr>
              <w:pStyle w:val="null3"/>
            </w:pPr>
            <w:r>
              <w:rPr>
                <w:rFonts w:ascii="仿宋_GB2312" w:hAnsi="仿宋_GB2312" w:cs="仿宋_GB2312" w:eastAsia="仿宋_GB2312"/>
              </w:rPr>
              <w:t>档案编号为12位阿拉伯数字，第1位和第2位为省（自治区、直辖市）代码，第3位和第4位为市（地、州、盟）代码，第5位和第6位为县（市、区、旗）代码，后6位为发证地档案顺序编号。省市县代码应符合GB/T 2260的规定。</w:t>
            </w:r>
          </w:p>
          <w:p>
            <w:pPr>
              <w:pStyle w:val="null3"/>
            </w:pPr>
            <w:r>
              <w:drawing>
                <wp:inline distT="0" distR="0" distB="0" distL="0">
                  <wp:extent cx="1621155" cy="545167"/>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9"/>
                          <a:stretch>
                            <a:fillRect/>
                          </a:stretch>
                        </pic:blipFill>
                        <pic:spPr>
                          <a:xfrm>
                            <a:off x="0" y="0"/>
                            <a:ext cx="1621155" cy="5451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2-2-3、字体</w:t>
            </w:r>
          </w:p>
          <w:p>
            <w:pPr>
              <w:pStyle w:val="null3"/>
            </w:pPr>
            <w:r>
              <w:rPr>
                <w:rFonts w:ascii="仿宋_GB2312" w:hAnsi="仿宋_GB2312" w:cs="仿宋_GB2312" w:eastAsia="仿宋_GB2312"/>
              </w:rPr>
              <w:t>证件主页和副页上的签注内容应使用专用打印机打印，字体为仿宋体，颜色为黑色，其中，“姓名”、“性别”、“准驾机型”栏签注内容的字号为小四号；其它栏签注内容的字号为小五号。在民族自治地方，驾驶证的“姓名”栏可根据有关规定使用本民族文字和汉字填写，其他栏目均用汉字填写。</w:t>
            </w:r>
          </w:p>
          <w:p>
            <w:pPr>
              <w:pStyle w:val="null3"/>
            </w:pPr>
            <w:r>
              <w:rPr>
                <w:rFonts w:ascii="仿宋_GB2312" w:hAnsi="仿宋_GB2312" w:cs="仿宋_GB2312" w:eastAsia="仿宋_GB2312"/>
              </w:rPr>
              <w:t>2-2-4、照片</w:t>
            </w:r>
          </w:p>
          <w:p>
            <w:pPr>
              <w:pStyle w:val="null3"/>
            </w:pPr>
            <w:r>
              <w:rPr>
                <w:rFonts w:ascii="仿宋_GB2312" w:hAnsi="仿宋_GB2312" w:cs="仿宋_GB2312" w:eastAsia="仿宋_GB2312"/>
              </w:rPr>
              <w:t>为申请人申请拖拉机和联合收割机驾驶证前6个月内的直边正面免冠彩色本人单人半身证件照；背景颜色为白色；不着制式服装；照片尺寸为32mm×22mm；头部宽度14 mm～16 mm，头部长度19mm～22 mm；人像应清晰，神态自然，无明显畸变。</w:t>
            </w:r>
          </w:p>
          <w:p>
            <w:pPr>
              <w:pStyle w:val="null3"/>
            </w:pPr>
            <w:r>
              <w:rPr>
                <w:rFonts w:ascii="仿宋_GB2312" w:hAnsi="仿宋_GB2312" w:cs="仿宋_GB2312" w:eastAsia="仿宋_GB2312"/>
              </w:rPr>
              <w:t>2-2-5、准驾机型代号</w:t>
            </w:r>
          </w:p>
          <w:p>
            <w:pPr>
              <w:pStyle w:val="null3"/>
            </w:pPr>
            <w:r>
              <w:rPr>
                <w:rFonts w:ascii="仿宋_GB2312" w:hAnsi="仿宋_GB2312" w:cs="仿宋_GB2312" w:eastAsia="仿宋_GB2312"/>
              </w:rPr>
              <w:t>准驾机型用下列规定的代号签注，打印字体为12pt仿宋体：</w:t>
            </w:r>
          </w:p>
          <w:p>
            <w:pPr>
              <w:pStyle w:val="null3"/>
            </w:pPr>
            <w:r>
              <w:rPr>
                <w:rFonts w:ascii="仿宋_GB2312" w:hAnsi="仿宋_GB2312" w:cs="仿宋_GB2312" w:eastAsia="仿宋_GB2312"/>
              </w:rPr>
              <w:t>——G1：轮式拖拉机；</w:t>
            </w:r>
          </w:p>
          <w:p>
            <w:pPr>
              <w:pStyle w:val="null3"/>
            </w:pPr>
            <w:r>
              <w:rPr>
                <w:rFonts w:ascii="仿宋_GB2312" w:hAnsi="仿宋_GB2312" w:cs="仿宋_GB2312" w:eastAsia="仿宋_GB2312"/>
              </w:rPr>
              <w:t>——G2：轮式拖拉机运输机组和G1；</w:t>
            </w:r>
          </w:p>
          <w:p>
            <w:pPr>
              <w:pStyle w:val="null3"/>
            </w:pPr>
            <w:r>
              <w:rPr>
                <w:rFonts w:ascii="仿宋_GB2312" w:hAnsi="仿宋_GB2312" w:cs="仿宋_GB2312" w:eastAsia="仿宋_GB2312"/>
              </w:rPr>
              <w:t>——K1：手扶拖拉机；</w:t>
            </w:r>
          </w:p>
          <w:p>
            <w:pPr>
              <w:pStyle w:val="null3"/>
            </w:pPr>
            <w:r>
              <w:rPr>
                <w:rFonts w:ascii="仿宋_GB2312" w:hAnsi="仿宋_GB2312" w:cs="仿宋_GB2312" w:eastAsia="仿宋_GB2312"/>
              </w:rPr>
              <w:t>——K2：手扶拖拉机运输机组和K1；</w:t>
            </w:r>
          </w:p>
          <w:p>
            <w:pPr>
              <w:pStyle w:val="null3"/>
            </w:pPr>
            <w:r>
              <w:rPr>
                <w:rFonts w:ascii="仿宋_GB2312" w:hAnsi="仿宋_GB2312" w:cs="仿宋_GB2312" w:eastAsia="仿宋_GB2312"/>
              </w:rPr>
              <w:t>——L：履带拖拉机；</w:t>
            </w:r>
          </w:p>
          <w:p>
            <w:pPr>
              <w:pStyle w:val="null3"/>
            </w:pPr>
            <w:r>
              <w:rPr>
                <w:rFonts w:ascii="仿宋_GB2312" w:hAnsi="仿宋_GB2312" w:cs="仿宋_GB2312" w:eastAsia="仿宋_GB2312"/>
              </w:rPr>
              <w:t>——R：轮式联合收割机；</w:t>
            </w:r>
          </w:p>
          <w:p>
            <w:pPr>
              <w:pStyle w:val="null3"/>
            </w:pPr>
            <w:r>
              <w:rPr>
                <w:rFonts w:ascii="仿宋_GB2312" w:hAnsi="仿宋_GB2312" w:cs="仿宋_GB2312" w:eastAsia="仿宋_GB2312"/>
              </w:rPr>
              <w:t>——S：履带式联合收割机。</w:t>
            </w:r>
          </w:p>
          <w:p>
            <w:pPr>
              <w:pStyle w:val="null3"/>
            </w:pPr>
            <w:r>
              <w:rPr>
                <w:rFonts w:ascii="仿宋_GB2312" w:hAnsi="仿宋_GB2312" w:cs="仿宋_GB2312" w:eastAsia="仿宋_GB2312"/>
              </w:rPr>
              <w:t>2-3、塑封套</w:t>
            </w:r>
          </w:p>
          <w:p>
            <w:pPr>
              <w:pStyle w:val="null3"/>
            </w:pPr>
            <w:r>
              <w:rPr>
                <w:rFonts w:ascii="仿宋_GB2312" w:hAnsi="仿宋_GB2312" w:cs="仿宋_GB2312" w:eastAsia="仿宋_GB2312"/>
              </w:rPr>
              <w:t>2-3-1、组成</w:t>
            </w:r>
          </w:p>
          <w:p>
            <w:pPr>
              <w:pStyle w:val="null3"/>
            </w:pPr>
            <w:r>
              <w:rPr>
                <w:rFonts w:ascii="仿宋_GB2312" w:hAnsi="仿宋_GB2312" w:cs="仿宋_GB2312" w:eastAsia="仿宋_GB2312"/>
              </w:rPr>
              <w:t>塑封套由A、B两页沿短边一侧加热封合而成，用于塑封驾驶证主页。</w:t>
            </w:r>
          </w:p>
          <w:p>
            <w:pPr>
              <w:pStyle w:val="null3"/>
            </w:pPr>
            <w:r>
              <w:rPr>
                <w:rFonts w:ascii="仿宋_GB2312" w:hAnsi="仿宋_GB2312" w:cs="仿宋_GB2312" w:eastAsia="仿宋_GB2312"/>
              </w:rPr>
              <w:t>2-3-2、规格</w:t>
            </w:r>
          </w:p>
          <w:p>
            <w:pPr>
              <w:pStyle w:val="null3"/>
            </w:pPr>
            <w:r>
              <w:rPr>
                <w:rFonts w:ascii="仿宋_GB2312" w:hAnsi="仿宋_GB2312" w:cs="仿宋_GB2312" w:eastAsia="仿宋_GB2312"/>
              </w:rPr>
              <w:t>长度为95mm±0.5mm，宽度为66mm±0.5mm，圆角半径为4mm±0.1mm。</w:t>
            </w:r>
          </w:p>
          <w:p>
            <w:pPr>
              <w:pStyle w:val="null3"/>
            </w:pPr>
            <w:r>
              <w:rPr>
                <w:rFonts w:ascii="仿宋_GB2312" w:hAnsi="仿宋_GB2312" w:cs="仿宋_GB2312" w:eastAsia="仿宋_GB2312"/>
              </w:rPr>
              <w:t>2-3-3、材料</w:t>
            </w:r>
          </w:p>
          <w:p>
            <w:pPr>
              <w:pStyle w:val="null3"/>
            </w:pPr>
            <w:r>
              <w:rPr>
                <w:rFonts w:ascii="仿宋_GB2312" w:hAnsi="仿宋_GB2312" w:cs="仿宋_GB2312" w:eastAsia="仿宋_GB2312"/>
              </w:rPr>
              <w:t>A页和B页基材使用厚度为0.10mm±0.01mm的PET透明聚酯膜。</w:t>
            </w:r>
          </w:p>
          <w:p>
            <w:pPr>
              <w:pStyle w:val="null3"/>
            </w:pPr>
            <w:r>
              <w:rPr>
                <w:rFonts w:ascii="仿宋_GB2312" w:hAnsi="仿宋_GB2312" w:cs="仿宋_GB2312" w:eastAsia="仿宋_GB2312"/>
              </w:rPr>
              <w:t>2-3-4、涂层</w:t>
            </w:r>
          </w:p>
          <w:p>
            <w:pPr>
              <w:pStyle w:val="null3"/>
            </w:pPr>
            <w:r>
              <w:rPr>
                <w:rFonts w:ascii="仿宋_GB2312" w:hAnsi="仿宋_GB2312" w:cs="仿宋_GB2312" w:eastAsia="仿宋_GB2312"/>
              </w:rPr>
              <w:t>2-3-4-1、涂层与基材之间没有脱胶现象。</w:t>
            </w:r>
          </w:p>
          <w:p>
            <w:pPr>
              <w:pStyle w:val="null3"/>
            </w:pPr>
            <w:r>
              <w:rPr>
                <w:rFonts w:ascii="仿宋_GB2312" w:hAnsi="仿宋_GB2312" w:cs="仿宋_GB2312" w:eastAsia="仿宋_GB2312"/>
              </w:rPr>
              <w:t>2-3-4-2、涂层均匀，无气泡、灰层、油污和脏物。</w:t>
            </w:r>
          </w:p>
          <w:p>
            <w:pPr>
              <w:pStyle w:val="null3"/>
            </w:pPr>
            <w:r>
              <w:rPr>
                <w:rFonts w:ascii="仿宋_GB2312" w:hAnsi="仿宋_GB2312" w:cs="仿宋_GB2312" w:eastAsia="仿宋_GB2312"/>
              </w:rPr>
              <w:t>2-3-5、耐温性能</w:t>
            </w:r>
          </w:p>
          <w:p>
            <w:pPr>
              <w:pStyle w:val="null3"/>
            </w:pPr>
            <w:r>
              <w:rPr>
                <w:rFonts w:ascii="仿宋_GB2312" w:hAnsi="仿宋_GB2312" w:cs="仿宋_GB2312" w:eastAsia="仿宋_GB2312"/>
              </w:rPr>
              <w:t>在温度-50℃～60℃的环境下无开裂、黏连、脆化、软化等现象。</w:t>
            </w:r>
          </w:p>
          <w:p>
            <w:pPr>
              <w:pStyle w:val="null3"/>
            </w:pPr>
            <w:r>
              <w:rPr>
                <w:rFonts w:ascii="仿宋_GB2312" w:hAnsi="仿宋_GB2312" w:cs="仿宋_GB2312" w:eastAsia="仿宋_GB2312"/>
              </w:rPr>
              <w:t>2-4、证夹</w:t>
            </w:r>
          </w:p>
          <w:p>
            <w:pPr>
              <w:pStyle w:val="null3"/>
            </w:pPr>
            <w:r>
              <w:rPr>
                <w:rFonts w:ascii="仿宋_GB2312" w:hAnsi="仿宋_GB2312" w:cs="仿宋_GB2312" w:eastAsia="仿宋_GB2312"/>
              </w:rPr>
              <w:t>2-4-1、材质</w:t>
            </w:r>
          </w:p>
          <w:p>
            <w:pPr>
              <w:pStyle w:val="null3"/>
            </w:pPr>
            <w:r>
              <w:rPr>
                <w:rFonts w:ascii="仿宋_GB2312" w:hAnsi="仿宋_GB2312" w:cs="仿宋_GB2312" w:eastAsia="仿宋_GB2312"/>
              </w:rPr>
              <w:t>外皮为黑色人造革，内皮为透明无色塑料。</w:t>
            </w:r>
          </w:p>
          <w:p>
            <w:pPr>
              <w:pStyle w:val="null3"/>
            </w:pPr>
            <w:r>
              <w:rPr>
                <w:rFonts w:ascii="仿宋_GB2312" w:hAnsi="仿宋_GB2312" w:cs="仿宋_GB2312" w:eastAsia="仿宋_GB2312"/>
              </w:rPr>
              <w:t>2-4-2、式样</w:t>
            </w:r>
          </w:p>
          <w:p>
            <w:pPr>
              <w:pStyle w:val="null3"/>
            </w:pPr>
            <w:r>
              <w:rPr>
                <w:rFonts w:ascii="仿宋_GB2312" w:hAnsi="仿宋_GB2312" w:cs="仿宋_GB2312" w:eastAsia="仿宋_GB2312"/>
              </w:rPr>
              <w:t>正面压字“中华人民共和国拖拉机和联合收割机驾驶证”，其中“中华人民共和国” 字体为18pt宋体；“拖拉机和联合收割机驾驶证” 字体为18pt黑体，“中华人民共和国”和“拖拉机和联合收割机驾驶证”间距为15mm。具体式样应符合附录D的规定。</w:t>
            </w:r>
          </w:p>
          <w:p>
            <w:pPr>
              <w:pStyle w:val="null3"/>
            </w:pPr>
            <w:r>
              <w:rPr>
                <w:rFonts w:ascii="仿宋_GB2312" w:hAnsi="仿宋_GB2312" w:cs="仿宋_GB2312" w:eastAsia="仿宋_GB2312"/>
              </w:rPr>
              <w:t>2-4-3、规格</w:t>
            </w:r>
          </w:p>
          <w:p>
            <w:pPr>
              <w:pStyle w:val="null3"/>
            </w:pPr>
            <w:r>
              <w:rPr>
                <w:rFonts w:ascii="仿宋_GB2312" w:hAnsi="仿宋_GB2312" w:cs="仿宋_GB2312" w:eastAsia="仿宋_GB2312"/>
              </w:rPr>
              <w:t>折叠后，长度为102mm±1mm，宽度为73mm±1mm，圆角半径为4mm±0.1mm。</w:t>
            </w:r>
          </w:p>
          <w:p>
            <w:pPr>
              <w:pStyle w:val="null3"/>
            </w:pPr>
            <w:r>
              <w:rPr>
                <w:rFonts w:ascii="仿宋_GB2312" w:hAnsi="仿宋_GB2312" w:cs="仿宋_GB2312" w:eastAsia="仿宋_GB2312"/>
              </w:rPr>
              <w:t>2-4-4、外观</w:t>
            </w:r>
          </w:p>
          <w:p>
            <w:pPr>
              <w:pStyle w:val="null3"/>
            </w:pPr>
            <w:r>
              <w:rPr>
                <w:rFonts w:ascii="仿宋_GB2312" w:hAnsi="仿宋_GB2312" w:cs="仿宋_GB2312" w:eastAsia="仿宋_GB2312"/>
              </w:rPr>
              <w:t>证夹外表手感柔软，外型规正挺括，折叠后不错位，外表无气泡，色泽均匀，压印字清晰无边刺，内皮透明无裂纹，内外皮封口牢固、均匀、无错位，证卡应能轻松地插入和取出。</w:t>
            </w:r>
          </w:p>
          <w:p>
            <w:pPr>
              <w:pStyle w:val="null3"/>
            </w:pPr>
            <w:r>
              <w:rPr>
                <w:rFonts w:ascii="仿宋_GB2312" w:hAnsi="仿宋_GB2312" w:cs="仿宋_GB2312" w:eastAsia="仿宋_GB2312"/>
              </w:rPr>
              <w:t>2-4-5、耐温性能</w:t>
            </w:r>
          </w:p>
          <w:p>
            <w:pPr>
              <w:pStyle w:val="null3"/>
            </w:pPr>
            <w:r>
              <w:rPr>
                <w:rFonts w:ascii="仿宋_GB2312" w:hAnsi="仿宋_GB2312" w:cs="仿宋_GB2312" w:eastAsia="仿宋_GB2312"/>
              </w:rPr>
              <w:t>证夹在温度-50℃～60℃的环境下无开裂、黏连、脆化、软化等现象。</w:t>
            </w:r>
          </w:p>
          <w:p>
            <w:pPr>
              <w:pStyle w:val="null3"/>
            </w:pPr>
            <w:r>
              <w:rPr>
                <w:rFonts w:ascii="仿宋_GB2312" w:hAnsi="仿宋_GB2312" w:cs="仿宋_GB2312" w:eastAsia="仿宋_GB2312"/>
              </w:rPr>
              <w:t>2-5、塑封</w:t>
            </w:r>
          </w:p>
          <w:p>
            <w:pPr>
              <w:pStyle w:val="null3"/>
            </w:pPr>
            <w:r>
              <w:rPr>
                <w:rFonts w:ascii="仿宋_GB2312" w:hAnsi="仿宋_GB2312" w:cs="仿宋_GB2312" w:eastAsia="仿宋_GB2312"/>
              </w:rPr>
              <w:t>2-5-1、外观</w:t>
            </w:r>
          </w:p>
          <w:p>
            <w:pPr>
              <w:pStyle w:val="null3"/>
            </w:pPr>
            <w:r>
              <w:rPr>
                <w:rFonts w:ascii="仿宋_GB2312" w:hAnsi="仿宋_GB2312" w:cs="仿宋_GB2312" w:eastAsia="仿宋_GB2312"/>
              </w:rPr>
              <w:t>塑封套经塑封后，不起泡、不起皱。</w:t>
            </w:r>
          </w:p>
          <w:p>
            <w:pPr>
              <w:pStyle w:val="null3"/>
            </w:pPr>
            <w:r>
              <w:rPr>
                <w:rFonts w:ascii="仿宋_GB2312" w:hAnsi="仿宋_GB2312" w:cs="仿宋_GB2312" w:eastAsia="仿宋_GB2312"/>
              </w:rPr>
              <w:t>2-5-2、封边</w:t>
            </w:r>
          </w:p>
          <w:p>
            <w:pPr>
              <w:pStyle w:val="null3"/>
            </w:pPr>
            <w:r>
              <w:rPr>
                <w:rFonts w:ascii="仿宋_GB2312" w:hAnsi="仿宋_GB2312" w:cs="仿宋_GB2312" w:eastAsia="仿宋_GB2312"/>
              </w:rPr>
              <w:t>封边平整没有台阶和变形，封边宽度为1.0mm～2.5mm。</w:t>
            </w:r>
          </w:p>
          <w:p>
            <w:pPr>
              <w:pStyle w:val="null3"/>
            </w:pPr>
            <w:r>
              <w:rPr>
                <w:rFonts w:ascii="仿宋_GB2312" w:hAnsi="仿宋_GB2312" w:cs="仿宋_GB2312" w:eastAsia="仿宋_GB2312"/>
              </w:rPr>
              <w:t>2-5-3、抗剥离</w:t>
            </w:r>
          </w:p>
          <w:p>
            <w:pPr>
              <w:pStyle w:val="null3"/>
            </w:pPr>
            <w:r>
              <w:rPr>
                <w:rFonts w:ascii="仿宋_GB2312" w:hAnsi="仿宋_GB2312" w:cs="仿宋_GB2312" w:eastAsia="仿宋_GB2312"/>
              </w:rPr>
              <w:t>抗剥离应满足以下要求：</w:t>
            </w:r>
          </w:p>
          <w:p>
            <w:pPr>
              <w:pStyle w:val="null3"/>
            </w:pPr>
            <w:r>
              <w:rPr>
                <w:rFonts w:ascii="仿宋_GB2312" w:hAnsi="仿宋_GB2312" w:cs="仿宋_GB2312" w:eastAsia="仿宋_GB2312"/>
              </w:rPr>
              <w:t>1）用塑封套塑封后，应封接牢固，涂层与片基、证芯之间不应有自然脱离现象；</w:t>
            </w:r>
          </w:p>
          <w:p>
            <w:pPr>
              <w:pStyle w:val="null3"/>
            </w:pPr>
            <w:r>
              <w:rPr>
                <w:rFonts w:ascii="仿宋_GB2312" w:hAnsi="仿宋_GB2312" w:cs="仿宋_GB2312" w:eastAsia="仿宋_GB2312"/>
              </w:rPr>
              <w:t>2）剥离后，签注后的证芯被破坏，不可复用；</w:t>
            </w:r>
          </w:p>
          <w:p>
            <w:pPr>
              <w:pStyle w:val="null3"/>
            </w:pPr>
            <w:r>
              <w:rPr>
                <w:rFonts w:ascii="仿宋_GB2312" w:hAnsi="仿宋_GB2312" w:cs="仿宋_GB2312" w:eastAsia="仿宋_GB2312"/>
              </w:rPr>
              <w:t>3）复合膜胶的剥离强度不小于30N/25mm。</w:t>
            </w:r>
          </w:p>
          <w:p>
            <w:pPr>
              <w:pStyle w:val="null3"/>
            </w:pPr>
            <w:r>
              <w:rPr>
                <w:rFonts w:ascii="仿宋_GB2312" w:hAnsi="仿宋_GB2312" w:cs="仿宋_GB2312" w:eastAsia="仿宋_GB2312"/>
              </w:rPr>
              <w:t>3、检验</w:t>
            </w:r>
          </w:p>
          <w:p>
            <w:pPr>
              <w:pStyle w:val="null3"/>
            </w:pPr>
            <w:r>
              <w:rPr>
                <w:rFonts w:ascii="仿宋_GB2312" w:hAnsi="仿宋_GB2312" w:cs="仿宋_GB2312" w:eastAsia="仿宋_GB2312"/>
              </w:rPr>
              <w:t>生产企业按照本标准的技术要求制定产品质量检验规程，并实施检验。</w:t>
            </w:r>
          </w:p>
          <w:p>
            <w:pPr>
              <w:pStyle w:val="null3"/>
            </w:pPr>
            <w:r>
              <w:rPr>
                <w:rFonts w:ascii="仿宋_GB2312" w:hAnsi="仿宋_GB2312" w:cs="仿宋_GB2312" w:eastAsia="仿宋_GB2312"/>
              </w:rPr>
              <w:t>4、标志、包装、运输和贮存</w:t>
            </w:r>
          </w:p>
          <w:p>
            <w:pPr>
              <w:pStyle w:val="null3"/>
            </w:pPr>
            <w:r>
              <w:rPr>
                <w:rFonts w:ascii="仿宋_GB2312" w:hAnsi="仿宋_GB2312" w:cs="仿宋_GB2312" w:eastAsia="仿宋_GB2312"/>
              </w:rPr>
              <w:t>4-1、标志</w:t>
            </w:r>
          </w:p>
          <w:p>
            <w:pPr>
              <w:pStyle w:val="null3"/>
            </w:pPr>
            <w:r>
              <w:rPr>
                <w:rFonts w:ascii="仿宋_GB2312" w:hAnsi="仿宋_GB2312" w:cs="仿宋_GB2312" w:eastAsia="仿宋_GB2312"/>
              </w:rPr>
              <w:t>包装箱体上应有产品名称、数量、标准编号、包装箱外廓尺寸、总质量、生产单位名称、地址、出厂年月日及注意事项等内容。包装箱体上应有“小心轻放”、“常温贮存”、“勿受潮湿”等标志。标志应符合GB191的规定。</w:t>
            </w:r>
          </w:p>
          <w:p>
            <w:pPr>
              <w:pStyle w:val="null3"/>
            </w:pPr>
            <w:r>
              <w:rPr>
                <w:rFonts w:ascii="仿宋_GB2312" w:hAnsi="仿宋_GB2312" w:cs="仿宋_GB2312" w:eastAsia="仿宋_GB2312"/>
              </w:rPr>
              <w:t>4-2、包装</w:t>
            </w:r>
          </w:p>
          <w:p>
            <w:pPr>
              <w:pStyle w:val="null3"/>
            </w:pPr>
            <w:r>
              <w:rPr>
                <w:rFonts w:ascii="仿宋_GB2312" w:hAnsi="仿宋_GB2312" w:cs="仿宋_GB2312" w:eastAsia="仿宋_GB2312"/>
              </w:rPr>
              <w:t>证卡和塑封套每100张为一小包装，证夹每50个为一小包装，小包装应平整、无破损、防水、防潮，且使用防潮纸加封。包装内应有合格证，合格证上应标明产品名称、数量、生产单位、生产日期、检验人员章、验收注意事项等。</w:t>
            </w:r>
          </w:p>
          <w:p>
            <w:pPr>
              <w:pStyle w:val="null3"/>
            </w:pPr>
            <w:r>
              <w:rPr>
                <w:rFonts w:ascii="仿宋_GB2312" w:hAnsi="仿宋_GB2312" w:cs="仿宋_GB2312" w:eastAsia="仿宋_GB2312"/>
              </w:rPr>
              <w:t>4-3、运输</w:t>
            </w:r>
          </w:p>
          <w:p>
            <w:pPr>
              <w:pStyle w:val="null3"/>
            </w:pPr>
            <w:r>
              <w:rPr>
                <w:rFonts w:ascii="仿宋_GB2312" w:hAnsi="仿宋_GB2312" w:cs="仿宋_GB2312" w:eastAsia="仿宋_GB2312"/>
              </w:rPr>
              <w:t>在运输过程中应防雨防潮、防高温。</w:t>
            </w:r>
          </w:p>
          <w:p>
            <w:pPr>
              <w:pStyle w:val="null3"/>
            </w:pPr>
            <w:r>
              <w:rPr>
                <w:rFonts w:ascii="仿宋_GB2312" w:hAnsi="仿宋_GB2312" w:cs="仿宋_GB2312" w:eastAsia="仿宋_GB2312"/>
              </w:rPr>
              <w:t>4-4、贮存</w:t>
            </w:r>
          </w:p>
          <w:p>
            <w:pPr>
              <w:pStyle w:val="null3"/>
            </w:pPr>
            <w:r>
              <w:rPr>
                <w:rFonts w:ascii="仿宋_GB2312" w:hAnsi="仿宋_GB2312" w:cs="仿宋_GB2312" w:eastAsia="仿宋_GB2312"/>
              </w:rPr>
              <w:t>产品应保存在温度低于30℃，相对湿度不大于60%RH的仓库内，远离热源。</w:t>
            </w:r>
          </w:p>
          <w:p>
            <w:pPr>
              <w:pStyle w:val="null3"/>
            </w:pPr>
            <w:r>
              <w:rPr>
                <w:rFonts w:ascii="仿宋_GB2312" w:hAnsi="仿宋_GB2312" w:cs="仿宋_GB2312" w:eastAsia="仿宋_GB2312"/>
              </w:rPr>
              <w:t>附录  D</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拖拉机和联合收割机驾驶证证夹式样</w:t>
            </w:r>
          </w:p>
          <w:p>
            <w:pPr>
              <w:pStyle w:val="null3"/>
            </w:pPr>
            <w:r>
              <w:rPr>
                <w:rFonts w:ascii="仿宋_GB2312" w:hAnsi="仿宋_GB2312" w:cs="仿宋_GB2312" w:eastAsia="仿宋_GB2312"/>
              </w:rPr>
              <w:t>拖拉机和联合收割机驾驶证证夹式样见图D.1。</w:t>
            </w:r>
          </w:p>
          <w:p>
            <w:pPr>
              <w:pStyle w:val="null3"/>
            </w:pPr>
            <w:r>
              <w:drawing>
                <wp:inline distT="0" distR="0" distB="0" distL="0">
                  <wp:extent cx="1621155" cy="4232817"/>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3"/>
                          <a:stretch>
                            <a:fillRect/>
                          </a:stretch>
                        </pic:blipFill>
                        <pic:spPr>
                          <a:xfrm>
                            <a:off x="0" y="0"/>
                            <a:ext cx="1621155" cy="4232817"/>
                          </a:xfrm>
                          <a:prstGeom prst="rect">
                            <a:avLst/>
                          </a:prstGeom>
                        </pic:spPr>
                      </pic:pic>
                    </a:graphicData>
                  </a:graphic>
                </wp:inline>
              </w:drawing>
            </w:r>
          </w:p>
          <w:p>
            <w:pPr>
              <w:pStyle w:val="null3"/>
            </w:pPr>
            <w:r>
              <w:rPr>
                <w:rFonts w:ascii="仿宋_GB2312" w:hAnsi="仿宋_GB2312" w:cs="仿宋_GB2312" w:eastAsia="仿宋_GB2312"/>
              </w:rPr>
              <w:t>图D.1拖拉机和联合收割机驾驶证证夹</w:t>
            </w:r>
          </w:p>
          <w:p>
            <w:pPr>
              <w:pStyle w:val="null3"/>
            </w:pPr>
            <w:r>
              <w:rPr>
                <w:rFonts w:ascii="仿宋_GB2312" w:hAnsi="仿宋_GB2312" w:cs="仿宋_GB2312" w:eastAsia="仿宋_GB2312"/>
              </w:rPr>
              <w:t>附录  E</w:t>
            </w:r>
            <w:r>
              <w:br/>
            </w:r>
            <w:r>
              <w:rPr>
                <w:rFonts w:ascii="仿宋_GB2312" w:hAnsi="仿宋_GB2312" w:cs="仿宋_GB2312" w:eastAsia="仿宋_GB2312"/>
              </w:rPr>
              <w:t xml:space="preserve"> （规范性附录）</w:t>
            </w:r>
            <w:r>
              <w:br/>
            </w:r>
            <w:r>
              <w:rPr>
                <w:rFonts w:ascii="仿宋_GB2312" w:hAnsi="仿宋_GB2312" w:cs="仿宋_GB2312" w:eastAsia="仿宋_GB2312"/>
              </w:rPr>
              <w:t xml:space="preserve"> 拖拉机和联合收割机驾驶证证芯式样</w:t>
            </w:r>
          </w:p>
          <w:p>
            <w:pPr>
              <w:pStyle w:val="null3"/>
            </w:pPr>
            <w:r>
              <w:rPr>
                <w:rFonts w:ascii="仿宋_GB2312" w:hAnsi="仿宋_GB2312" w:cs="仿宋_GB2312" w:eastAsia="仿宋_GB2312"/>
              </w:rPr>
              <w:t>E.1拖拉机和联合收割机驾驶证主页正面</w:t>
            </w:r>
          </w:p>
          <w:p>
            <w:pPr>
              <w:pStyle w:val="null3"/>
            </w:pPr>
            <w:r>
              <w:rPr>
                <w:rFonts w:ascii="仿宋_GB2312" w:hAnsi="仿宋_GB2312" w:cs="仿宋_GB2312" w:eastAsia="仿宋_GB2312"/>
              </w:rPr>
              <w:t>拖拉机和联合收割机驾驶证主页正面式样见图E.1。</w:t>
            </w:r>
          </w:p>
          <w:p>
            <w:pPr>
              <w:pStyle w:val="null3"/>
            </w:pPr>
            <w:r>
              <w:drawing>
                <wp:inline distT="0" distR="0" distB="0" distL="0">
                  <wp:extent cx="1621155" cy="1117438"/>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4"/>
                          <a:stretch>
                            <a:fillRect/>
                          </a:stretch>
                        </pic:blipFill>
                        <pic:spPr>
                          <a:xfrm>
                            <a:off x="0" y="0"/>
                            <a:ext cx="1621155" cy="1117438"/>
                          </a:xfrm>
                          <a:prstGeom prst="rect">
                            <a:avLst/>
                          </a:prstGeom>
                        </pic:spPr>
                      </pic:pic>
                    </a:graphicData>
                  </a:graphic>
                </wp:inline>
              </w:drawing>
            </w:r>
          </w:p>
          <w:p>
            <w:pPr>
              <w:pStyle w:val="null3"/>
            </w:pPr>
            <w:r>
              <w:rPr>
                <w:rFonts w:ascii="仿宋_GB2312" w:hAnsi="仿宋_GB2312" w:cs="仿宋_GB2312" w:eastAsia="仿宋_GB2312"/>
              </w:rPr>
              <w:t>图E.1拖拉机和联合收割机驾驶证主页正面</w:t>
            </w:r>
          </w:p>
          <w:p>
            <w:pPr>
              <w:pStyle w:val="null3"/>
            </w:pPr>
            <w:r>
              <w:rPr>
                <w:rFonts w:ascii="仿宋_GB2312" w:hAnsi="仿宋_GB2312" w:cs="仿宋_GB2312" w:eastAsia="仿宋_GB2312"/>
              </w:rPr>
              <w:t>E.2拖拉机和联合收割机驾驶证主页背面</w:t>
            </w:r>
          </w:p>
          <w:p>
            <w:pPr>
              <w:pStyle w:val="null3"/>
            </w:pPr>
            <w:r>
              <w:rPr>
                <w:rFonts w:ascii="仿宋_GB2312" w:hAnsi="仿宋_GB2312" w:cs="仿宋_GB2312" w:eastAsia="仿宋_GB2312"/>
              </w:rPr>
              <w:t>拖拉机和联合收割机驾驶证主页背面式样见图E.2。</w:t>
            </w:r>
          </w:p>
          <w:p>
            <w:pPr>
              <w:pStyle w:val="null3"/>
            </w:pPr>
            <w:r>
              <w:drawing>
                <wp:inline distT="0" distR="0" distB="0" distL="0">
                  <wp:extent cx="1621155" cy="1117510"/>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5"/>
                          <a:stretch>
                            <a:fillRect/>
                          </a:stretch>
                        </pic:blipFill>
                        <pic:spPr>
                          <a:xfrm>
                            <a:off x="0" y="0"/>
                            <a:ext cx="1621155" cy="1117510"/>
                          </a:xfrm>
                          <a:prstGeom prst="rect">
                            <a:avLst/>
                          </a:prstGeom>
                        </pic:spPr>
                      </pic:pic>
                    </a:graphicData>
                  </a:graphic>
                </wp:inline>
              </w:drawing>
            </w:r>
          </w:p>
          <w:p>
            <w:pPr>
              <w:pStyle w:val="null3"/>
            </w:pPr>
            <w:r>
              <w:rPr>
                <w:rFonts w:ascii="仿宋_GB2312" w:hAnsi="仿宋_GB2312" w:cs="仿宋_GB2312" w:eastAsia="仿宋_GB2312"/>
              </w:rPr>
              <w:t>图E.2拖拉机和联合收割机驾驶证主页背面</w:t>
            </w:r>
          </w:p>
          <w:p>
            <w:pPr>
              <w:pStyle w:val="null3"/>
            </w:pPr>
            <w:r>
              <w:rPr>
                <w:rFonts w:ascii="仿宋_GB2312" w:hAnsi="仿宋_GB2312" w:cs="仿宋_GB2312" w:eastAsia="仿宋_GB2312"/>
              </w:rPr>
              <w:t>E.3拖拉机和联合收割机驾驶证副页正面</w:t>
            </w:r>
          </w:p>
          <w:p>
            <w:pPr>
              <w:pStyle w:val="null3"/>
            </w:pPr>
            <w:r>
              <w:rPr>
                <w:rFonts w:ascii="仿宋_GB2312" w:hAnsi="仿宋_GB2312" w:cs="仿宋_GB2312" w:eastAsia="仿宋_GB2312"/>
              </w:rPr>
              <w:t>拖拉机和联合收割机驾驶证副页正面式样见图E.3。</w:t>
            </w:r>
          </w:p>
          <w:p>
            <w:pPr>
              <w:pStyle w:val="null3"/>
            </w:pPr>
            <w:r>
              <w:drawing>
                <wp:inline distT="0" distR="0" distB="0" distL="0">
                  <wp:extent cx="1621155" cy="1124666"/>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26"/>
                          <a:stretch>
                            <a:fillRect/>
                          </a:stretch>
                        </pic:blipFill>
                        <pic:spPr>
                          <a:xfrm>
                            <a:off x="0" y="0"/>
                            <a:ext cx="1621155" cy="1124666"/>
                          </a:xfrm>
                          <a:prstGeom prst="rect">
                            <a:avLst/>
                          </a:prstGeom>
                        </pic:spPr>
                      </pic:pic>
                    </a:graphicData>
                  </a:graphic>
                </wp:inline>
              </w:drawing>
            </w:r>
          </w:p>
          <w:p>
            <w:pPr>
              <w:pStyle w:val="null3"/>
            </w:pPr>
            <w:r>
              <w:rPr>
                <w:rFonts w:ascii="仿宋_GB2312" w:hAnsi="仿宋_GB2312" w:cs="仿宋_GB2312" w:eastAsia="仿宋_GB2312"/>
              </w:rPr>
              <w:t>图E.3拖拉机和联合收割机驾驶证副页正面</w:t>
            </w:r>
          </w:p>
          <w:p>
            <w:pPr>
              <w:pStyle w:val="null3"/>
            </w:pPr>
            <w:r>
              <w:rPr>
                <w:rFonts w:ascii="仿宋_GB2312" w:hAnsi="仿宋_GB2312" w:cs="仿宋_GB2312" w:eastAsia="仿宋_GB2312"/>
              </w:rPr>
              <w:t>E.4拖拉机和联合收割机驾驶证副页背面</w:t>
            </w:r>
          </w:p>
          <w:p>
            <w:pPr>
              <w:pStyle w:val="null3"/>
            </w:pPr>
            <w:r>
              <w:drawing>
                <wp:inline distT="0" distR="0" distB="0" distL="0">
                  <wp:extent cx="1621155" cy="1269715"/>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27"/>
                          <a:stretch>
                            <a:fillRect/>
                          </a:stretch>
                        </pic:blipFill>
                        <pic:spPr>
                          <a:xfrm>
                            <a:off x="0" y="0"/>
                            <a:ext cx="1621155" cy="1269715"/>
                          </a:xfrm>
                          <a:prstGeom prst="rect">
                            <a:avLst/>
                          </a:prstGeom>
                        </pic:spPr>
                      </pic:pic>
                    </a:graphicData>
                  </a:graphic>
                </wp:inline>
              </w:drawing>
            </w:r>
          </w:p>
          <w:p>
            <w:pPr>
              <w:pStyle w:val="null3"/>
            </w:pPr>
            <w:r>
              <w:rPr>
                <w:rFonts w:ascii="仿宋_GB2312" w:hAnsi="仿宋_GB2312" w:cs="仿宋_GB2312" w:eastAsia="仿宋_GB2312"/>
              </w:rPr>
              <w:t>拖拉机和联合收割机驾驶证副页背面式样见图E.4。</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tc>
      </w:tr>
    </w:tbl>
    <w:p>
      <w:pPr>
        <w:pStyle w:val="null3"/>
        <w:outlineLvl w:val="2"/>
      </w:pPr>
      <w:r>
        <w:rPr>
          <w:rFonts w:ascii="仿宋_GB2312" w:hAnsi="仿宋_GB2312" w:cs="仿宋_GB2312" w:eastAsia="仿宋_GB2312"/>
          <w:sz w:val="28"/>
          <w:b/>
        </w:rPr>
        <w:t>3.2.3人员配置要求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满足采购需求的人员配置</w:t>
      </w:r>
    </w:p>
    <w:p>
      <w:pPr>
        <w:pStyle w:val="null3"/>
        <w:outlineLvl w:val="2"/>
      </w:pPr>
      <w:r>
        <w:rPr>
          <w:rFonts w:ascii="仿宋_GB2312" w:hAnsi="仿宋_GB2312" w:cs="仿宋_GB2312" w:eastAsia="仿宋_GB2312"/>
          <w:sz w:val="28"/>
          <w:b/>
        </w:rPr>
        <w:t>3.2.4设施设备要求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满足采购需求的设施设备</w:t>
      </w:r>
    </w:p>
    <w:p>
      <w:pPr>
        <w:pStyle w:val="null3"/>
        <w:outlineLvl w:val="2"/>
      </w:pPr>
      <w:r>
        <w:rPr>
          <w:rFonts w:ascii="仿宋_GB2312" w:hAnsi="仿宋_GB2312" w:cs="仿宋_GB2312" w:eastAsia="仿宋_GB2312"/>
          <w:sz w:val="28"/>
          <w:b/>
        </w:rPr>
        <w:t>3.2.5其他要求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无</w:t>
      </w:r>
    </w:p>
    <w:p>
      <w:pPr>
        <w:pStyle w:val="null3"/>
        <w:outlineLvl w:val="2"/>
      </w:pPr>
      <w:r>
        <w:rPr>
          <w:rFonts w:ascii="仿宋_GB2312" w:hAnsi="仿宋_GB2312" w:cs="仿宋_GB2312" w:eastAsia="仿宋_GB2312"/>
          <w:sz w:val="28"/>
          <w:b/>
        </w:rPr>
        <w:t>3.3商务要求</w:t>
      </w:r>
    </w:p>
    <w:p>
      <w:pPr>
        <w:pStyle w:val="null3"/>
        <w:outlineLvl w:val="3"/>
      </w:pPr>
      <w:r>
        <w:rPr>
          <w:rFonts w:ascii="仿宋_GB2312" w:hAnsi="仿宋_GB2312" w:cs="仿宋_GB2312" w:eastAsia="仿宋_GB2312"/>
          <w:sz w:val="24"/>
          <w:b/>
        </w:rPr>
        <w:t>3.3.1服务期限</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本项目服务期自合同签订之日起至2026年6月30日</w:t>
      </w:r>
    </w:p>
    <w:p>
      <w:pPr>
        <w:pStyle w:val="null3"/>
        <w:outlineLvl w:val="3"/>
      </w:pPr>
      <w:r>
        <w:rPr>
          <w:rFonts w:ascii="仿宋_GB2312" w:hAnsi="仿宋_GB2312" w:cs="仿宋_GB2312" w:eastAsia="仿宋_GB2312"/>
          <w:sz w:val="24"/>
          <w:b/>
        </w:rPr>
        <w:t>3.3.2服务地点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3.3.3考核（验收）标准和方法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按合同约定执行</w:t>
      </w:r>
    </w:p>
    <w:p>
      <w:pPr>
        <w:pStyle w:val="null3"/>
        <w:outlineLvl w:val="3"/>
      </w:pPr>
      <w:r>
        <w:rPr>
          <w:rFonts w:ascii="仿宋_GB2312" w:hAnsi="仿宋_GB2312" w:cs="仿宋_GB2312" w:eastAsia="仿宋_GB2312"/>
          <w:sz w:val="24"/>
          <w:b/>
        </w:rPr>
        <w:t>3.3.4支付方式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3.3.5支付约定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采购人收到拖拉机和联合收割机号牌、登记证书、行驶证和驾驶证并经验收无误后</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60.00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采购人收到拖拉机和联合收割机检验标志并经验收无误后</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3.3.6违约责任及解决争议的方法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按合同约定执行</w:t>
      </w:r>
    </w:p>
    <w:p>
      <w:pPr>
        <w:pStyle w:val="null3"/>
        <w:outlineLvl w:val="2"/>
      </w:pPr>
      <w:r>
        <w:rPr>
          <w:rFonts w:ascii="仿宋_GB2312" w:hAnsi="仿宋_GB2312" w:cs="仿宋_GB2312" w:eastAsia="仿宋_GB2312"/>
          <w:sz w:val="28"/>
          <w:b/>
        </w:rPr>
        <w:t>3.4其他要求</w:t>
      </w:r>
    </w:p>
    <w:p>
      <w:pPr>
        <w:pStyle w:val="null3"/>
      </w:pPr>
      <w:r>
        <w:rPr>
          <w:rFonts w:ascii="仿宋_GB2312" w:hAnsi="仿宋_GB2312" w:cs="仿宋_GB2312" w:eastAsia="仿宋_GB2312"/>
        </w:rPr>
        <w:t>无</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1、主体证明文件：（1）投标人是企业（包括合伙企业）的，应提供其在市场监督管理部门注册的有效“营业执照 ”的复印件；（2）投标人是事业单位的，应提供其有效的“事业单位法人证书”复印件；（3）投标人是非企业专业服务机构的，应提供其有效的“执业许可证”复印件；（4）投标人是民办非企业单位的，应提供其有效的登记证书复印件；（5）投标人是个体工商户的，应提供其有效的“营业执照”复印件；（6）投标人是自然人的，应提供其有效的自然人身份证明复印件。2、提供可满足履行合同所需设备和专业技术能力的证明材料或承诺 3、提供投标截止时间前近六个月中至少一个月的纳税证明或完税证明，依法免税的单位应提供相关证明材料；时间以税款所属时期为准 4、提供投标截止时间前近六个月中至少一个月的社会保障资金缴存单据或社保机构开具的社会保险参保缴费情况证明，依法不需要缴纳社会保障资金的单位应提供相关证明材料。 5、提供有效的参加政府采购活动前3年内在经营活动中没有重大违法记录的书面声明。</w:t>
            </w:r>
          </w:p>
        </w:tc>
        <w:tc>
          <w:tcPr>
            <w:tcW w:type="dxa" w:w="1661"/>
          </w:tcPr>
          <w:p>
            <w:pPr>
              <w:pStyle w:val="null3"/>
            </w:pPr>
            <w:r>
              <w:rPr>
                <w:rFonts w:ascii="仿宋_GB2312" w:hAnsi="仿宋_GB2312" w:cs="仿宋_GB2312" w:eastAsia="仿宋_GB2312"/>
              </w:rPr>
              <w:t>供应商应提交的相关资格证明材料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1）或提供（2）：（1）提供递交投标文件截止之日前两年内任意一个年度经审计的财务报告，应满足以下要求：①投标人是企业的，财务报告是指经会计师事务所审计的上述指定年度整个会计年度财务报表（须提供会计师事务所出具的审计报告复印件）,复印件至少须包括报告正文、资产负债表、现金流量表、利润表、附注和会计师事务所营业执照，报告正文应当有会计师事务所公章和2名注册会计师的签字及盖章。且2022年10月1日后出具的审计报告应当经过注册会计师行业统一监管平台备案赋码。②投标人适用《事业单位会计准则》的，财务报告是指上述指定年度整个会计年度财务报表（不要求必须是经审计的），复印件至少须包括资产负债表、收入支出表（或收入费用表）、财政补助收入支出表。③投标人适用《政府会计准则》的，财务报告是指上述指定年度整个会计年度财务报表（不要求必须是经审计的），复印件至少须包括资产负债表、收入费用表。④投标人适用《民间非营利组织会计制度》的，财务报告是指上述指定年度整个会计年度财务报表（不要求必须是经审计的），复印件至少须包括资产负债表、业务活动表、现金流量表。 ⑤投标人是上述四种情况以外情况的，按照其依法适用的会计制度、财务规则或会计准则提供财务报表复印件（不要求必须是经审计的）。（2）提供资信证明原件扫描件或复印件，应满足以下要求：①资信证明须为递交投标文件截止时间前三个月内由投标人开户银行出具。②无论开具银行是否标明“复印无效”，投标人提供的复印件在本次投标中予以认可（即不因“复印无效”字样而认定资信证明复印件无效）。③银行出具的存款证明不能替代银行资信证明。</w:t>
            </w:r>
          </w:p>
        </w:tc>
        <w:tc>
          <w:tcPr>
            <w:tcW w:type="dxa" w:w="1661"/>
          </w:tcPr>
          <w:p>
            <w:pPr>
              <w:pStyle w:val="null3"/>
            </w:pPr>
            <w:r>
              <w:rPr>
                <w:rFonts w:ascii="仿宋_GB2312" w:hAnsi="仿宋_GB2312" w:cs="仿宋_GB2312" w:eastAsia="仿宋_GB2312"/>
              </w:rPr>
              <w:t>供应商应提交的相关资格证明材料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参与的供应商（联合体）服务全部由符合政策要求的中小企业承接。</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供应商特定资格条件</w:t>
            </w:r>
          </w:p>
        </w:tc>
        <w:tc>
          <w:tcPr>
            <w:tcW w:type="dxa" w:w="3322"/>
          </w:tcPr>
          <w:p>
            <w:pPr>
              <w:pStyle w:val="null3"/>
            </w:pPr>
            <w:r>
              <w:rPr>
                <w:rFonts w:ascii="仿宋_GB2312" w:hAnsi="仿宋_GB2312" w:cs="仿宋_GB2312" w:eastAsia="仿宋_GB2312"/>
              </w:rPr>
              <w:t>供应商在递交响应文件截止时间前被“信用中国 ”网站（www.creditchina.gov.cn）和中国政 府采购网（www.ccgp.gov.cn）上被列入失信 被执行人、重大税收违法失信主体、政府采购严重违法失信行为记录名单的，不得参加磋商</w:t>
            </w:r>
          </w:p>
        </w:tc>
        <w:tc>
          <w:tcPr>
            <w:tcW w:type="dxa" w:w="1661"/>
          </w:tcPr>
          <w:p>
            <w:pPr>
              <w:pStyle w:val="null3"/>
            </w:pPr>
            <w:r>
              <w:rPr>
                <w:rFonts w:ascii="仿宋_GB2312" w:hAnsi="仿宋_GB2312" w:cs="仿宋_GB2312" w:eastAsia="仿宋_GB2312"/>
              </w:rPr>
              <w:t>供应商应提交的相关资格证明材料</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规章，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评审委员会成员使用互认的证书及签章进行签名后生效，供应商通过互认的证书及签章加盖其电子印章后生效。出现无法在线签章的特殊情况，评审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三、磋商小组按照磋商文件规定的磋商程序、评分方法和标准进行评审，并独立履行下列职责：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（五）起草资格审查报告、评审报告并进行签署；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出现上述应当停止评审情形的，磋商小组应当通过项目电子化交易系统向采购组织单位提交相关说明材料，说明停止评审的情形和具体理由。除上述情形外，磋商小组不得以任何方式和理由停止评审。</w:t>
      </w:r>
    </w:p>
    <w:p>
      <w:pPr>
        <w:pStyle w:val="null3"/>
        <w:ind w:firstLine="480"/>
        <w:jc w:val="left"/>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 xml:space="preserve"> 6.3.2符合性审查</w:t>
      </w:r>
    </w:p>
    <w:p>
      <w:pPr>
        <w:pStyle w:val="null3"/>
        <w:ind w:firstLine="480"/>
      </w:pPr>
      <w:r>
        <w:rPr>
          <w:rFonts w:ascii="仿宋_GB2312" w:hAnsi="仿宋_GB2312" w:cs="仿宋_GB2312" w:eastAsia="仿宋_GB2312"/>
        </w:rPr>
        <w:t xml:space="preserve"> 一、磋商小组依据本磋商文件的实质性要求，对符合资格的响应文件进行审查，以确定其是否满足本磋商文件的实质性要求。本项目的符合性审查事项必须以本磋商文件的明确规定的实质性要求为依据。</w:t>
      </w:r>
    </w:p>
    <w:p>
      <w:pPr>
        <w:pStyle w:val="null3"/>
        <w:ind w:firstLine="480"/>
      </w:pPr>
      <w:r>
        <w:rPr>
          <w:rFonts w:ascii="仿宋_GB2312" w:hAnsi="仿宋_GB2312" w:cs="仿宋_GB2312" w:eastAsia="仿宋_GB2312"/>
        </w:rPr>
        <w:t xml:space="preserve"> 二、在符合性审查过程中，如果出现磋商小组成员意见不一致的情况，按照少数服从多数的原则确定，但不得违背政府采购基本原则和磋商文件规定。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三、磋商小组对所有响应文件进行审查后，确定参加磋商的供应商名单。</w:t>
      </w:r>
    </w:p>
    <w:p>
      <w:pPr>
        <w:pStyle w:val="null3"/>
        <w:ind w:firstLine="480"/>
      </w:pPr>
      <w:r>
        <w:rPr>
          <w:rFonts w:ascii="仿宋_GB2312" w:hAnsi="仿宋_GB2312" w:cs="仿宋_GB2312" w:eastAsia="仿宋_GB2312"/>
        </w:rPr>
        <w:t>符合性审查标准见下表：</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磋商过程中，磋商小组认为供应商的报价明显低于其他实质性响应的供应商报价，有可能影响产品质量或者不能诚信履约的，磋商小组应当要求其在评审现场合理的时间内提供成本构成书面说明，并提交相关证明材料。书面说明应当按照国家财务会计制度的规定要求，逐项就供应商提供的货物、工程和服务的主营业务成本（应根据供应商企业类型予以区别）、税金及附加、销售费用、管理费用、财务费用等成本构成事项详细陈述。 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rFonts w:ascii="仿宋_GB2312" w:hAnsi="仿宋_GB2312" w:cs="仿宋_GB2312" w:eastAsia="仿宋_GB2312"/>
              </w:rPr>
              <w:t>分项报价表 标的清单 报价表</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响应文件签署、盖章</w:t>
            </w:r>
          </w:p>
        </w:tc>
        <w:tc>
          <w:tcPr>
            <w:tcW w:type="dxa" w:w="3322"/>
          </w:tcPr>
          <w:p>
            <w:pPr>
              <w:pStyle w:val="null3"/>
            </w:pPr>
            <w:r>
              <w:rPr>
                <w:rFonts w:ascii="仿宋_GB2312" w:hAnsi="仿宋_GB2312" w:cs="仿宋_GB2312" w:eastAsia="仿宋_GB2312"/>
              </w:rPr>
              <w:t>响应文件按采购文件要求签署、盖章</w:t>
            </w:r>
          </w:p>
        </w:tc>
        <w:tc>
          <w:tcPr>
            <w:tcW w:type="dxa" w:w="1661"/>
          </w:tcPr>
          <w:p>
            <w:pPr>
              <w:pStyle w:val="null3"/>
            </w:pPr>
            <w:r>
              <w:rPr>
                <w:rFonts w:ascii="仿宋_GB2312" w:hAnsi="仿宋_GB2312" w:cs="仿宋_GB2312" w:eastAsia="仿宋_GB2312"/>
              </w:rPr>
              <w:t>响应文件封面 服务内容及服务邀请应答表 分项报价表 中小企业声明函 残疾人福利性单位声明函 商务应答表 服务方案 供应商应提交的相关资格证明材料 标的清单 报价表 响应函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响应文件有效期</w:t>
            </w:r>
          </w:p>
        </w:tc>
        <w:tc>
          <w:tcPr>
            <w:tcW w:type="dxa" w:w="3322"/>
          </w:tcPr>
          <w:p>
            <w:pPr>
              <w:pStyle w:val="null3"/>
            </w:pPr>
            <w:r>
              <w:rPr>
                <w:rFonts w:ascii="仿宋_GB2312" w:hAnsi="仿宋_GB2312" w:cs="仿宋_GB2312" w:eastAsia="仿宋_GB2312"/>
              </w:rPr>
              <w:t>响应文件有效期有效期满足采购文件要求</w:t>
            </w:r>
          </w:p>
        </w:tc>
        <w:tc>
          <w:tcPr>
            <w:tcW w:type="dxa" w:w="1661"/>
          </w:tcPr>
          <w:p>
            <w:pPr>
              <w:pStyle w:val="null3"/>
            </w:pPr>
            <w:r>
              <w:rPr>
                <w:rFonts w:ascii="仿宋_GB2312" w:hAnsi="仿宋_GB2312" w:cs="仿宋_GB2312" w:eastAsia="仿宋_GB2312"/>
              </w:rPr>
              <w:t>响应函</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首次磋商报价</w:t>
            </w:r>
          </w:p>
        </w:tc>
        <w:tc>
          <w:tcPr>
            <w:tcW w:type="dxa" w:w="3322"/>
          </w:tcPr>
          <w:p>
            <w:pPr>
              <w:pStyle w:val="null3"/>
            </w:pPr>
            <w:r>
              <w:rPr>
                <w:rFonts w:ascii="仿宋_GB2312" w:hAnsi="仿宋_GB2312" w:cs="仿宋_GB2312" w:eastAsia="仿宋_GB2312"/>
              </w:rPr>
              <w:t>供应商首次磋商报价没有超出采购预算或最高限价</w:t>
            </w:r>
          </w:p>
        </w:tc>
        <w:tc>
          <w:tcPr>
            <w:tcW w:type="dxa" w:w="1661"/>
          </w:tcPr>
          <w:p>
            <w:pPr>
              <w:pStyle w:val="null3"/>
            </w:pPr>
            <w:r>
              <w:rPr>
                <w:rFonts w:ascii="仿宋_GB2312" w:hAnsi="仿宋_GB2312" w:cs="仿宋_GB2312" w:eastAsia="仿宋_GB2312"/>
              </w:rPr>
              <w:t>分项报价表 标的清单 报价表</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响应内容</w:t>
            </w:r>
          </w:p>
        </w:tc>
        <w:tc>
          <w:tcPr>
            <w:tcW w:type="dxa" w:w="3322"/>
          </w:tcPr>
          <w:p>
            <w:pPr>
              <w:pStyle w:val="null3"/>
            </w:pPr>
            <w:r>
              <w:rPr>
                <w:rFonts w:ascii="仿宋_GB2312" w:hAnsi="仿宋_GB2312" w:cs="仿宋_GB2312" w:eastAsia="仿宋_GB2312"/>
              </w:rPr>
              <w:t>响应内容不存在漏项或数量与要求不符合采购文件规定情形，响应内容满足采购文件的商务、技术等实质性要求，不存在采购档次降低或影响采购性能、功能的情形</w:t>
            </w:r>
          </w:p>
        </w:tc>
        <w:tc>
          <w:tcPr>
            <w:tcW w:type="dxa" w:w="1661"/>
          </w:tcPr>
          <w:p>
            <w:pPr>
              <w:pStyle w:val="null3"/>
            </w:pPr>
            <w:r>
              <w:rPr>
                <w:rFonts w:ascii="仿宋_GB2312" w:hAnsi="仿宋_GB2312" w:cs="仿宋_GB2312" w:eastAsia="仿宋_GB2312"/>
              </w:rPr>
              <w:t>服务内容及服务邀请应答表 商务应答表 服务方案</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附加条件</w:t>
            </w:r>
          </w:p>
        </w:tc>
        <w:tc>
          <w:tcPr>
            <w:tcW w:type="dxa" w:w="3322"/>
          </w:tcPr>
          <w:p>
            <w:pPr>
              <w:pStyle w:val="null3"/>
            </w:pPr>
            <w:r>
              <w:rPr>
                <w:rFonts w:ascii="仿宋_GB2312" w:hAnsi="仿宋_GB2312" w:cs="仿宋_GB2312" w:eastAsia="仿宋_GB2312"/>
              </w:rPr>
              <w:t>响应文件不含有采购人不能接受的附加条件。</w:t>
            </w:r>
          </w:p>
        </w:tc>
        <w:tc>
          <w:tcPr>
            <w:tcW w:type="dxa" w:w="1661"/>
          </w:tcPr>
          <w:p>
            <w:pPr>
              <w:pStyle w:val="null3"/>
            </w:pPr>
            <w:r>
              <w:rPr>
                <w:rFonts w:ascii="仿宋_GB2312" w:hAnsi="仿宋_GB2312" w:cs="仿宋_GB2312" w:eastAsia="仿宋_GB2312"/>
              </w:rPr>
              <w:t>服务内容及服务邀请应答表 商务应答表 服务方案</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公平竞争</w:t>
            </w:r>
          </w:p>
        </w:tc>
        <w:tc>
          <w:tcPr>
            <w:tcW w:type="dxa" w:w="3322"/>
          </w:tcPr>
          <w:p>
            <w:pPr>
              <w:pStyle w:val="null3"/>
            </w:pPr>
            <w:r>
              <w:rPr>
                <w:rFonts w:ascii="仿宋_GB2312" w:hAnsi="仿宋_GB2312" w:cs="仿宋_GB2312" w:eastAsia="仿宋_GB2312"/>
              </w:rPr>
              <w:t>遵循公平竞争的原则，没有弄虚作假、恶意串通或妨碍其他投标人的竞争行为，损害采购人或者其他投标人的合法权益。（弄虚作假、串通投标的情形见附注）</w:t>
            </w:r>
          </w:p>
        </w:tc>
        <w:tc>
          <w:tcPr>
            <w:tcW w:type="dxa" w:w="1661"/>
          </w:tcPr>
          <w:p>
            <w:pPr>
              <w:pStyle w:val="null3"/>
            </w:pPr>
            <w:r>
              <w:rPr>
                <w:rFonts w:ascii="仿宋_GB2312" w:hAnsi="仿宋_GB2312" w:cs="仿宋_GB2312" w:eastAsia="仿宋_GB2312"/>
              </w:rPr>
              <w:t>服务内容及服务邀请应答表 商务应答表 服务方案</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其它</w:t>
            </w:r>
          </w:p>
        </w:tc>
        <w:tc>
          <w:tcPr>
            <w:tcW w:type="dxa" w:w="3322"/>
          </w:tcPr>
          <w:p>
            <w:pPr>
              <w:pStyle w:val="null3"/>
            </w:pPr>
            <w:r>
              <w:rPr>
                <w:rFonts w:ascii="仿宋_GB2312" w:hAnsi="仿宋_GB2312" w:cs="仿宋_GB2312" w:eastAsia="仿宋_GB2312"/>
              </w:rPr>
              <w:t>不存在其它不符合法律法规或采购文件规定的响应无效条款的情形</w:t>
            </w:r>
          </w:p>
        </w:tc>
        <w:tc>
          <w:tcPr>
            <w:tcW w:type="dxa" w:w="1661"/>
          </w:tcPr>
          <w:p>
            <w:pPr>
              <w:pStyle w:val="null3"/>
            </w:pPr>
            <w:r>
              <w:rPr>
                <w:rFonts w:ascii="仿宋_GB2312" w:hAnsi="仿宋_GB2312" w:cs="仿宋_GB2312" w:eastAsia="仿宋_GB2312"/>
              </w:rPr>
              <w:t>服务内容及服务邀请应答表 商务应答表 服务方案</w:t>
            </w:r>
          </w:p>
        </w:tc>
      </w:tr>
    </w:tbl>
    <w:p>
      <w:pPr>
        <w:pStyle w:val="null3"/>
        <w:outlineLvl w:val="3"/>
      </w:pPr>
      <w:r>
        <w:rPr>
          <w:rFonts w:ascii="仿宋_GB2312" w:hAnsi="仿宋_GB2312" w:cs="仿宋_GB2312" w:eastAsia="仿宋_GB2312"/>
          <w:sz w:val="24"/>
          <w:b/>
        </w:rPr>
        <w:t>6.3.3磋商</w:t>
      </w:r>
    </w:p>
    <w:p>
      <w:pPr>
        <w:pStyle w:val="null3"/>
        <w:ind w:firstLine="480"/>
      </w:pPr>
      <w:r>
        <w:rPr>
          <w:rFonts w:ascii="仿宋_GB2312" w:hAnsi="仿宋_GB2312" w:cs="仿宋_GB2312" w:eastAsia="仿宋_GB2312"/>
        </w:rPr>
        <w:t>一、 磋商小组按照磋商文件的规定与邀请参加磋商的供应商分别进行磋商，磋商顺序由磋商小组确定。</w:t>
      </w:r>
    </w:p>
    <w:p>
      <w:pPr>
        <w:pStyle w:val="null3"/>
        <w:ind w:firstLine="480"/>
      </w:pPr>
      <w:r>
        <w:rPr>
          <w:rFonts w:ascii="仿宋_GB2312" w:hAnsi="仿宋_GB2312" w:cs="仿宋_GB2312" w:eastAsia="仿宋_GB2312"/>
        </w:rPr>
        <w:t>二、 磋商小组所有成员集中与单一供应商对技术、服务、合同条款等内容分别进行一轮或多轮的磋商。在磋商中，磋商的任何一方不得透露与磋商有关的其他供应商的技术资料、价格和其他信息。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三、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ind w:firstLine="480"/>
      </w:pPr>
      <w:r>
        <w:rPr>
          <w:rFonts w:ascii="仿宋_GB2312" w:hAnsi="仿宋_GB2312" w:cs="仿宋_GB2312" w:eastAsia="仿宋_GB2312"/>
        </w:rPr>
        <w:t>四、 对磋商文件作出的实质性变动是磋商文件的有效组成部分，磋商小组应通过项目电子化交易系统，将变动情况同时通知所有参加磋商的供应商。磋商过程中，磋商小组可以根据磋商情况调整磋商轮次。</w:t>
      </w:r>
    </w:p>
    <w:p>
      <w:pPr>
        <w:pStyle w:val="null3"/>
        <w:ind w:firstLine="480"/>
      </w:pPr>
      <w:r>
        <w:rPr>
          <w:rFonts w:ascii="仿宋_GB2312" w:hAnsi="仿宋_GB2312" w:cs="仿宋_GB2312" w:eastAsia="仿宋_GB2312"/>
        </w:rPr>
        <w:t>五、 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能够详细列明采购标的的技术、服务要求，磋商/谈判/协商结束后，磋商/谈判/协商小组可以根据磋商/谈判/协商情况要求所有实质性响应的供应商在规定时间内提交最后报价，提交最后报价的供应商不得少于3家。</w:t>
      </w:r>
    </w:p>
    <w:p>
      <w:pPr>
        <w:pStyle w:val="null3"/>
        <w:ind w:firstLine="480"/>
      </w:pPr>
      <w:r>
        <w:rPr>
          <w:rFonts w:ascii="仿宋_GB2312" w:hAnsi="仿宋_GB2312" w:cs="仿宋_GB2312" w:eastAsia="仿宋_GB2312"/>
        </w:rPr>
        <w:t xml:space="preserve"> 二、磋商小组开启报价后，供应商应随时关注项目电子化交易系统信息提醒，登录项目电子化交易系统，通过“等候大厅”进行报价并签章后提交。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三、供应商在未提高响应文件中承诺的标准情况下，其最后报价不得高于对该项目之前的报价，否则，磋商小组将对其响应文件作无效处理，并通过电子化交易系统告知供应商，说明理由。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jc w:val="left"/>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五、代理机构宣布评审结束之前，供应商应通过项目电子化交易系统随时关注评审消息提示，及时响应磋商小组发出的澄清、说明或更正要求。供应商未能及时响应的，自行承担不利后果。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磋商小组应当按照磋商文件规定的评标细则及标准，对符合性检查合格的响应文件进行商务和技术评估，综合比较和评价。</w:t>
      </w:r>
    </w:p>
    <w:p>
      <w:pPr>
        <w:pStyle w:val="null3"/>
        <w:outlineLvl w:val="3"/>
      </w:pPr>
      <w:r>
        <w:rPr>
          <w:rFonts w:ascii="仿宋_GB2312" w:hAnsi="仿宋_GB2312" w:cs="仿宋_GB2312" w:eastAsia="仿宋_GB2312"/>
          <w:sz w:val="24"/>
          <w:b/>
        </w:rPr>
        <w:t xml:space="preserve"> 6.3.7复核</w:t>
      </w:r>
    </w:p>
    <w:p>
      <w:pPr>
        <w:pStyle w:val="null3"/>
        <w:ind w:firstLine="480"/>
      </w:pPr>
      <w:r>
        <w:rPr>
          <w:rFonts w:ascii="仿宋_GB2312" w:hAnsi="仿宋_GB2312" w:cs="仿宋_GB2312" w:eastAsia="仿宋_GB2312"/>
        </w:rPr>
        <w:t xml:space="preserve"> 评审结束后，磋商小组应当进行复核，特别要对拟推荐为成交候选供应商的、报价最低的、响应文件被认定为无效的进行重点复核。</w:t>
      </w:r>
    </w:p>
    <w:p>
      <w:pPr>
        <w:pStyle w:val="null3"/>
        <w:ind w:firstLine="480"/>
      </w:pPr>
      <w:r>
        <w:rPr>
          <w:rFonts w:ascii="仿宋_GB2312" w:hAnsi="仿宋_GB2312" w:cs="仿宋_GB2312" w:eastAsia="仿宋_GB2312"/>
        </w:rPr>
        <w:t xml:space="preserve"> 评审结果汇总完成后，磋商小组拟出具磋商报告前，代理机构应当组织2名以上的工作人员，在采购现场监督人员的监督之下，依据有关的法律制度和磋商文件对评审结果进行复核，出具复核报告。代理机构复核过程中，磋商小组成员不得离开评审现场。</w:t>
      </w:r>
    </w:p>
    <w:p>
      <w:pPr>
        <w:pStyle w:val="null3"/>
        <w:ind w:firstLine="480"/>
      </w:pPr>
      <w:r>
        <w:rPr>
          <w:rFonts w:ascii="仿宋_GB2312" w:hAnsi="仿宋_GB2312" w:cs="仿宋_GB2312" w:eastAsia="仿宋_GB2312"/>
        </w:rPr>
        <w:t xml:space="preserve"> 除资格检查认定错误、分值汇总计算错误、分项评分超出评分标准范围、客观评分不一致、经磋商小组一致认定评分畸高、畸低的情形外，采购人或者代理机构不得以任何理由组织重新评审。采购人、代理机构发现磋商小组未按照磋商文件规定的评审标准进行评审的，应当重新开展采购活动，并同时书面报告本级财政部门。</w:t>
      </w:r>
    </w:p>
    <w:p>
      <w:pPr>
        <w:pStyle w:val="null3"/>
        <w:outlineLvl w:val="3"/>
      </w:pPr>
      <w:r>
        <w:rPr>
          <w:rFonts w:ascii="仿宋_GB2312" w:hAnsi="仿宋_GB2312" w:cs="仿宋_GB2312" w:eastAsia="仿宋_GB2312"/>
          <w:sz w:val="24"/>
          <w:b/>
        </w:rPr>
        <w:t>6.3.8推荐成交候选供应商</w:t>
      </w:r>
    </w:p>
    <w:p>
      <w:pPr>
        <w:pStyle w:val="null3"/>
        <w:ind w:firstLine="480"/>
      </w:pPr>
      <w:r>
        <w:rPr>
          <w:rFonts w:ascii="仿宋_GB2312" w:hAnsi="仿宋_GB2312" w:cs="仿宋_GB2312" w:eastAsia="仿宋_GB2312"/>
        </w:rPr>
        <w:t xml:space="preserve"> 磋商小组应当根据综合评分情况，按照评审得分由高到低顺序推荐如下成交候选供应商，并编写磋商报告。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6.3.9编写磋商报告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6.3.10评审争议处理规则</w:t>
      </w:r>
    </w:p>
    <w:p>
      <w:pPr>
        <w:pStyle w:val="null3"/>
        <w:ind w:firstLine="480"/>
      </w:pPr>
      <w:r>
        <w:rPr>
          <w:rFonts w:ascii="仿宋_GB2312" w:hAnsi="仿宋_GB2312" w:cs="仿宋_GB2312" w:eastAsia="仿宋_GB2312"/>
        </w:rPr>
        <w:t xml:space="preserve"> 在磋商过程中，对于符合性审查、对响应文件作无效响应处理的及其他需要共同认定的事项存在争议的，应当以少数服从多数的原则作出结论，但不得违背磋商文件规定。持不同意见的磋商小组成员应当在磋商报告中签署不同意见及理由，否则视为同意评审报告。持不同意见的磋商小组成员认为认定过程和结果不符合法律法规或者磋商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 xml:space="preserve"> 一、磋商小组只对通过资格审查的响应文件，根据磋商文件的要求采用相同的评审程序、评分办法及标准进行评价和比较。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详细评审90.00分</w:t>
            </w:r>
          </w:p>
          <w:p>
            <w:pPr>
              <w:pStyle w:val="null3"/>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印制服务方案</w:t>
            </w:r>
          </w:p>
        </w:tc>
        <w:tc>
          <w:tcPr>
            <w:tcW w:type="dxa" w:w="2492"/>
          </w:tcPr>
          <w:p>
            <w:pPr>
              <w:pStyle w:val="null3"/>
            </w:pPr>
            <w:r>
              <w:rPr>
                <w:rFonts w:ascii="仿宋_GB2312" w:hAnsi="仿宋_GB2312" w:cs="仿宋_GB2312" w:eastAsia="仿宋_GB2312"/>
              </w:rPr>
              <w:t>针对项目印制服务方案的要求，提出具体的办法和保障措 施，并对印刷工作的重难点进行分析。针对投标人提供的本项目服务内容、服务方案的要求、印刷工作的重难点分析完 善、全面、合理和可操作性赋分。 方案完善，分析全面，具有很强的合理性和可操作性，得15分； 方案较完善，分析到位，具有较强的合理性和可操作性，得10分； 方案不完善，分析不足，没有合理性和可操作性，得5分。 未提供不得分。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检验检测报告</w:t>
            </w:r>
          </w:p>
        </w:tc>
        <w:tc>
          <w:tcPr>
            <w:tcW w:type="dxa" w:w="2492"/>
          </w:tcPr>
          <w:p>
            <w:pPr>
              <w:pStyle w:val="null3"/>
            </w:pPr>
            <w:r>
              <w:rPr>
                <w:rFonts w:ascii="仿宋_GB2312" w:hAnsi="仿宋_GB2312" w:cs="仿宋_GB2312" w:eastAsia="仿宋_GB2312"/>
              </w:rPr>
              <w:t>提供第三方检测机构出具的产品检验检测报告，每提供一份得2.5分，满分5分。未提供不得分。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质量保证措施</w:t>
            </w:r>
          </w:p>
        </w:tc>
        <w:tc>
          <w:tcPr>
            <w:tcW w:type="dxa" w:w="2492"/>
          </w:tcPr>
          <w:p>
            <w:pPr>
              <w:pStyle w:val="null3"/>
            </w:pPr>
            <w:r>
              <w:rPr>
                <w:rFonts w:ascii="仿宋_GB2312" w:hAnsi="仿宋_GB2312" w:cs="仿宋_GB2312" w:eastAsia="仿宋_GB2312"/>
              </w:rPr>
              <w:t>对产品供货渠道、质量等方面有较好的保证措施和控制方法。对供应商根据项目的实际情况提供质量保证措施进行综合评审。 措施完善，分析全面，具有很强的合理性和可操作性，得10分； 措施较完善，分析到位，具有较强的合理性，得6分； 措施不完善，分析不足，没有合理性和可操作性，得3分。 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运输配送方案</w:t>
            </w:r>
          </w:p>
        </w:tc>
        <w:tc>
          <w:tcPr>
            <w:tcW w:type="dxa" w:w="2492"/>
          </w:tcPr>
          <w:p>
            <w:pPr>
              <w:pStyle w:val="null3"/>
            </w:pPr>
            <w:r>
              <w:rPr>
                <w:rFonts w:ascii="仿宋_GB2312" w:hAnsi="仿宋_GB2312" w:cs="仿宋_GB2312" w:eastAsia="仿宋_GB2312"/>
              </w:rPr>
              <w:t>对产品运输配送有合理、有效方案，能保证时效性，安全性。对供应商根据项目的实际情况提供运输配送方案进行综合评审。 方案完善，分析全面，具有很强的时效性和安全性，得10分； 方案较完善，分析到位，具有较强的时效性，得6分； 方案不完善，分析不足，没有时效性和安全性，得3分。 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供货计划和验收方案</w:t>
            </w:r>
          </w:p>
        </w:tc>
        <w:tc>
          <w:tcPr>
            <w:tcW w:type="dxa" w:w="2492"/>
          </w:tcPr>
          <w:p>
            <w:pPr>
              <w:pStyle w:val="null3"/>
            </w:pPr>
            <w:r>
              <w:rPr>
                <w:rFonts w:ascii="仿宋_GB2312" w:hAnsi="仿宋_GB2312" w:cs="仿宋_GB2312" w:eastAsia="仿宋_GB2312"/>
              </w:rPr>
              <w:t>对产品供货和验收有合理、有效的计划、方案。对供应商根据项目的实际情况提供供货计划和验收方案进行综合评审。 方案完善，分析全面，具有很强的合理性和可操作性，得10分； 方案较完善，分析到位，具有较强的合理性，得6分； 方案不完善，分析不足，没有合理性和可操作性，得3分。 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进度安排</w:t>
            </w:r>
          </w:p>
        </w:tc>
        <w:tc>
          <w:tcPr>
            <w:tcW w:type="dxa" w:w="2492"/>
          </w:tcPr>
          <w:p>
            <w:pPr>
              <w:pStyle w:val="null3"/>
            </w:pPr>
            <w:r>
              <w:rPr>
                <w:rFonts w:ascii="仿宋_GB2312" w:hAnsi="仿宋_GB2312" w:cs="仿宋_GB2312" w:eastAsia="仿宋_GB2312"/>
              </w:rPr>
              <w:t>对各阶段实施进度的能准确把握，有较好的手段和方法控制进度，能够在承诺的时间内完成服务。对服务商根据项目的实际情况提供进度安排进行综合评审。 方案完善，分析全面，具有很强的合理性和可操作性，得10分； 方案较完善，分析到位，具有较强的合理性，得6分； 方案不完善，分析不足，没有合理性和可操作性，得3分。 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人员配备及内部管理制度</w:t>
            </w:r>
          </w:p>
        </w:tc>
        <w:tc>
          <w:tcPr>
            <w:tcW w:type="dxa" w:w="2492"/>
          </w:tcPr>
          <w:p>
            <w:pPr>
              <w:pStyle w:val="null3"/>
            </w:pPr>
            <w:r>
              <w:rPr>
                <w:rFonts w:ascii="仿宋_GB2312" w:hAnsi="仿宋_GB2312" w:cs="仿宋_GB2312" w:eastAsia="仿宋_GB2312"/>
              </w:rPr>
              <w:t>人员配制科学合理，有健全的内部管理制度。对供应商根据项目的实际情况提供人员配备及内部管理制度进行综合评审。 人员配置合理，制度全面，具有很强的合理性和针对性，得10分； 人员配置较合理，制度到位，具有较强的合理性，得6分； 方案不完善，分析不足，没有合理性和针对性，得3分。 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售后服务保障方案</w:t>
            </w:r>
          </w:p>
        </w:tc>
        <w:tc>
          <w:tcPr>
            <w:tcW w:type="dxa" w:w="2492"/>
          </w:tcPr>
          <w:p>
            <w:pPr>
              <w:pStyle w:val="null3"/>
            </w:pPr>
            <w:r>
              <w:rPr>
                <w:rFonts w:ascii="仿宋_GB2312" w:hAnsi="仿宋_GB2312" w:cs="仿宋_GB2312" w:eastAsia="仿宋_GB2312"/>
              </w:rPr>
              <w:t>对成品配送、验收、残损品调换、销货具有完备的售后服务保障方案，对供应商根据项目的实际情况提供售后服务保障方案进行综合评审。 售后服务保障方案完善高效、可行性强，得10分； 售后服务保障方案基本规范、基本可行，得6分； 售后服务保障方案不详尽或可行性差，得3分。 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2022年1月1日（含）至今，供应商具有已完成的类似项目业绩，每提供一份业绩得2分，最高得10分。（以中标通知书或合同签订时间为准） 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满足竞争性磋商文件要求且最终报价价格最低的报价为评标基准价，其价格分为满分。其他供应商的价格分统一按照下列公式计算：价格分=(评标基准价／招标报价)×10注：计算分数时四舍五入取小数点后两位</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6.5终止采购活动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 xml:space="preserve"> （三）除《政府采购竞争性磋商采购方式管理暂行办法》第二十一条第三款规定的情形外，在采购过程中符合要求的供应商或者报价未超过采购预算的供应商不足3家的（财政部另有规定的除外）；</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6.6确定成交供应商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6.7评审专家在政府采购活动中承担以下义务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6.8评审专家在政府采购活动中应当遵守以下工作纪律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不得发表倾向性、引导性意见，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详见附件：供应商应提交的相关资格证明材料</w:t>
      </w:r>
    </w:p>
    <w:p>
      <w:pPr>
        <w:pStyle w:val="null3"/>
        <w:ind w:firstLine="960"/>
      </w:pPr>
      <w:r>
        <w:rPr>
          <w:rFonts w:ascii="仿宋_GB2312" w:hAnsi="仿宋_GB2312" w:cs="仿宋_GB2312" w:eastAsia="仿宋_GB2312"/>
        </w:rPr>
        <w:t>详见附件：服务内容及服务邀请应答表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详见附件：报价表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详见附件：服务方案</w:t>
      </w:r>
    </w:p>
    <w:p>
      <w:pPr>
        <w:pStyle w:val="null3"/>
        <w:ind w:firstLine="960"/>
      </w:pPr>
      <w:r>
        <w:rPr>
          <w:rFonts w:ascii="仿宋_GB2312" w:hAnsi="仿宋_GB2312" w:cs="仿宋_GB2312" w:eastAsia="仿宋_GB2312"/>
        </w:rPr>
        <w:t>详见附件：分项报价表</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详见附件：第八章 拟签订采购合同文本.docx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decimal"/>
      <w:lvlText w:val="%1."/>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17" Target="numbering.xml" Type="http://schemas.openxmlformats.org/officeDocument/2006/relationships/numbering"/><Relationship Id="rId18" Target="media/image12.png" Type="http://schemas.openxmlformats.org/officeDocument/2006/relationships/image"/><Relationship Id="rId19" Target="media/image13.png" Type="http://schemas.openxmlformats.org/officeDocument/2006/relationships/image"/><Relationship Id="rId2" Target="settings.xml" Type="http://schemas.openxmlformats.org/officeDocument/2006/relationships/settings"/><Relationship Id="rId20" Target="media/image14.png" Type="http://schemas.openxmlformats.org/officeDocument/2006/relationships/image"/><Relationship Id="rId21" Target="media/image15.png" Type="http://schemas.openxmlformats.org/officeDocument/2006/relationships/image"/><Relationship Id="rId22" Target="media/image16.png" Type="http://schemas.openxmlformats.org/officeDocument/2006/relationships/image"/><Relationship Id="rId23" Target="media/image17.png" Type="http://schemas.openxmlformats.org/officeDocument/2006/relationships/image"/><Relationship Id="rId24" Target="media/image18.png" Type="http://schemas.openxmlformats.org/officeDocument/2006/relationships/image"/><Relationship Id="rId25" Target="media/image19.png" Type="http://schemas.openxmlformats.org/officeDocument/2006/relationships/image"/><Relationship Id="rId26" Target="media/image20.png" Type="http://schemas.openxmlformats.org/officeDocument/2006/relationships/image"/><Relationship Id="rId27" Target="media/image21.png" Type="http://schemas.openxmlformats.org/officeDocument/2006/relationships/image"/><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