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版本号：WSQ-2025-578.1.2B120251017002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2025年度文物标本绘图等信息服务(二次)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WSQ-2025-578.1.2B1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2025年度文物标本绘图等信息服务(二次)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WSQ-2025-578.1.2B1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2025年度文物标本绘图等信息服务(二次)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陕西省考古研究院2025年度文物标本绘图等信息服务，共分为两个包，具体内容详见磋商文件第三章。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采购包1（陕西省考古研究院2025年度文物标本绘图等信息服务标段一）：属于专门面向中小企业采购。</w:t>
      </w:r>
    </w:p>
    <w:p>
      <w:pPr>
        <w:pStyle w:val="null3"/>
      </w:pPr>
      <w:r>
        <w:rPr>
          <w:rFonts w:ascii="仿宋_GB2312" w:hAnsi="仿宋_GB2312" w:cs="仿宋_GB2312" w:eastAsia="仿宋_GB2312"/>
        </w:rPr>
        <w:t>采购包2（陕西省考古研究院2025年度文物标本绘图等信息服务标段二）：属于专门面向null采购。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包预算60万元，1.数字绘图服务：使用专业绘图软件绘制，精度不低于0.2毫米，形制复杂文物每件不少于3张图；2.文物摄影服务：采用高分辨率数码相机进行多角度拍摄，色彩还原准确，每件文物提供不少于3张高清照片，分辨率不低300DPI。 包2：本包预算38万元，传统手绘服务：采用手绘方式绘制可量测特征线图，精度不低于0.2厘米，形制复杂文物每件不少于3张图（主要包括多面正投影图、展开图及几何展开线图），几何展开线图要求与实际平面弧度曲率一致，正投影主视图反映物体主要特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文物标本绘图等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文物标本绘图等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标的名称：文物标本绘图等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采购需求：</w:t>
            </w:r>
          </w:p>
          <w:p>
            <w:pPr>
              <w:pStyle w:val="null3"/>
            </w:pPr>
            <w:r>
              <w:rPr>
                <w:rFonts w:ascii="仿宋_GB2312" w:hAnsi="仿宋_GB2312" w:cs="仿宋_GB2312" w:eastAsia="仿宋_GB2312"/>
                <w:sz w:val="24"/>
              </w:rPr>
              <w:t>1.数字绘图服务：使用专业绘图软件绘制，精度不低于0.2毫米，形制复杂文物每件不少于3张图；</w:t>
            </w:r>
          </w:p>
          <w:p>
            <w:pPr>
              <w:pStyle w:val="null3"/>
              <w:jc w:val="both"/>
            </w:pPr>
            <w:r>
              <w:rPr>
                <w:rFonts w:ascii="仿宋_GB2312" w:hAnsi="仿宋_GB2312" w:cs="仿宋_GB2312" w:eastAsia="仿宋_GB2312"/>
                <w:sz w:val="24"/>
              </w:rPr>
              <w:t>2.文物摄影服务：采用高分辨率数码相机进行多角度拍摄，色彩还原准确，每件文物提供不少于3张高清照片，分辨率不低300DPI。</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技术要求：</w:t>
            </w:r>
          </w:p>
          <w:p>
            <w:pPr>
              <w:pStyle w:val="null3"/>
            </w:pPr>
            <w:r>
              <w:rPr>
                <w:rFonts w:ascii="仿宋_GB2312" w:hAnsi="仿宋_GB2312" w:cs="仿宋_GB2312" w:eastAsia="仿宋_GB2312"/>
                <w:sz w:val="24"/>
              </w:rPr>
              <w:t>1．每件文物要求绘制可量测特征线图，线图要求层次清晰，主次分明，包含分级比例尺，线图能够准确表现文物的结构特征，具有可量测性；精度不得低于0.2厘米；</w:t>
            </w:r>
          </w:p>
          <w:p>
            <w:pPr>
              <w:pStyle w:val="null3"/>
            </w:pPr>
            <w:r>
              <w:rPr>
                <w:rFonts w:ascii="仿宋_GB2312" w:hAnsi="仿宋_GB2312" w:cs="仿宋_GB2312" w:eastAsia="仿宋_GB2312"/>
                <w:sz w:val="24"/>
              </w:rPr>
              <w:t>2．线图能够准确表现文物的结构特征。线条使用灵活、优美具有艺术观赏性。形制复杂文物每件不少于3张，包括文物的多面正投影图；</w:t>
            </w:r>
          </w:p>
          <w:p>
            <w:pPr>
              <w:pStyle w:val="null3"/>
            </w:pPr>
            <w:r>
              <w:rPr>
                <w:rFonts w:ascii="仿宋_GB2312" w:hAnsi="仿宋_GB2312" w:cs="仿宋_GB2312" w:eastAsia="仿宋_GB2312"/>
                <w:sz w:val="24"/>
              </w:rPr>
              <w:t>3．部分器物提供几何展开线图，要求和实际平面弧度曲率一致，用于今后学术研究、资料刊布等；</w:t>
            </w:r>
          </w:p>
          <w:p>
            <w:pPr>
              <w:pStyle w:val="null3"/>
            </w:pPr>
            <w:r>
              <w:rPr>
                <w:rFonts w:ascii="仿宋_GB2312" w:hAnsi="仿宋_GB2312" w:cs="仿宋_GB2312" w:eastAsia="仿宋_GB2312"/>
                <w:sz w:val="24"/>
              </w:rPr>
              <w:t>4．正投影要求从前方投影的视图应尽量反映物体的主要特征，该视图为主视图；</w:t>
            </w:r>
          </w:p>
          <w:p>
            <w:pPr>
              <w:pStyle w:val="null3"/>
            </w:pPr>
            <w:r>
              <w:rPr>
                <w:rFonts w:ascii="仿宋_GB2312" w:hAnsi="仿宋_GB2312" w:cs="仿宋_GB2312" w:eastAsia="仿宋_GB2312"/>
                <w:sz w:val="24"/>
              </w:rPr>
              <w:t>5．考古绘图应依据正投影的原理，用点、线、面等绘画表现形式来提炼并呈现文物信息。线图的绘制是严格提取其中的有效信息，剥离和去除其中多余的信息，补全影像图无法体现的信息，使研究者更直观清晰的获取信息为最终目的；</w:t>
            </w:r>
          </w:p>
          <w:p>
            <w:pPr>
              <w:pStyle w:val="null3"/>
            </w:pPr>
            <w:r>
              <w:rPr>
                <w:rFonts w:ascii="仿宋_GB2312" w:hAnsi="仿宋_GB2312" w:cs="仿宋_GB2312" w:eastAsia="仿宋_GB2312"/>
                <w:sz w:val="24"/>
              </w:rPr>
              <w:t>6．由于文物的种类繁多、形态各异，考古图样的比例选择、表现形式、线型处理应根据实际情况规范设置，以达到清晰、简明、真实的效果；</w:t>
            </w:r>
          </w:p>
          <w:p>
            <w:pPr>
              <w:pStyle w:val="null3"/>
            </w:pPr>
            <w:r>
              <w:rPr>
                <w:rFonts w:ascii="仿宋_GB2312" w:hAnsi="仿宋_GB2312" w:cs="仿宋_GB2312" w:eastAsia="仿宋_GB2312"/>
                <w:sz w:val="24"/>
              </w:rPr>
              <w:t>7．为保障线图信息准确，供应商至少安排 1 名专业技术人员在项目地现场进行审核修正；</w:t>
            </w:r>
          </w:p>
          <w:p>
            <w:pPr>
              <w:pStyle w:val="null3"/>
            </w:pPr>
            <w:r>
              <w:rPr>
                <w:rFonts w:ascii="仿宋_GB2312" w:hAnsi="仿宋_GB2312" w:cs="仿宋_GB2312" w:eastAsia="仿宋_GB2312"/>
                <w:sz w:val="24"/>
              </w:rPr>
              <w:t>8．成果符合《WW/T 0035-2012田野考古制图》及 《田野考古工作规程（2009年10月版）》相关要求；</w:t>
            </w:r>
          </w:p>
          <w:p>
            <w:pPr>
              <w:pStyle w:val="null3"/>
              <w:jc w:val="both"/>
            </w:pPr>
            <w:r>
              <w:rPr>
                <w:rFonts w:ascii="仿宋_GB2312" w:hAnsi="仿宋_GB2312" w:cs="仿宋_GB2312" w:eastAsia="仿宋_GB2312"/>
                <w:sz w:val="24"/>
              </w:rPr>
              <w:t>9．每件文物均需拍摄高清文物照，单张不低于4000万像素，要求使用色彩管理软件对影像色彩进行真实还原，每件文物不少于3张。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其他要求：</w:t>
            </w:r>
          </w:p>
          <w:p>
            <w:pPr>
              <w:pStyle w:val="null3"/>
            </w:pPr>
            <w:r>
              <w:rPr>
                <w:rFonts w:ascii="仿宋_GB2312" w:hAnsi="仿宋_GB2312" w:cs="仿宋_GB2312" w:eastAsia="仿宋_GB2312"/>
                <w:sz w:val="24"/>
                <w:b/>
              </w:rPr>
              <w:t>接项目任务后按以下时间完成项目，并根据甲方要求时间提交成果数据。（服务期内按甲方要求每天工作量不少于多少件在如下表格）</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452"/>
              <w:gridCol w:w="635"/>
              <w:gridCol w:w="583"/>
              <w:gridCol w:w="563"/>
            </w:tblGrid>
            <w:tr>
              <w:tc>
                <w:tcPr>
                  <w:tcW w:type="dxa" w:w="302"/>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难易度</w:t>
                  </w:r>
                </w:p>
              </w:tc>
              <w:tc>
                <w:tcPr>
                  <w:tcW w:type="dxa" w:w="452"/>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类型</w:t>
                  </w:r>
                </w:p>
              </w:tc>
              <w:tc>
                <w:tcPr>
                  <w:tcW w:type="dxa" w:w="635"/>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具体细类</w:t>
                  </w:r>
                </w:p>
              </w:tc>
              <w:tc>
                <w:tcPr>
                  <w:tcW w:type="dxa" w:w="583"/>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工作内容</w:t>
                  </w:r>
                </w:p>
              </w:tc>
              <w:tc>
                <w:tcPr>
                  <w:tcW w:type="dxa" w:w="563"/>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服务期要求（件</w:t>
                  </w:r>
                  <w:r>
                    <w:rPr>
                      <w:rFonts w:ascii="仿宋_GB2312" w:hAnsi="仿宋_GB2312" w:cs="仿宋_GB2312" w:eastAsia="仿宋_GB2312"/>
                      <w:sz w:val="24"/>
                      <w:b/>
                      <w:color w:val="000000"/>
                    </w:rPr>
                    <w:t>/天）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素面</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简单纹饰</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动物</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猪狗牛羊鸡、马、小骆驼等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套件类</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九子莲灯、牛拉车、陶灶等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20件套≤1天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III类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复杂纹饰</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小陶俑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小骑马俑、侍女俑、乐俑等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IV类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大陶俑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生肖俑、侍女俑、大骆驼，大陶马等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大型骑马俑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武士俑、天王俑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武士俑、天王俑等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镇墓兽</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5件≤1天</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价格要求：由于考古发掘的不确定性，最终结算按照按绘图的工作量和单价结算；在磋商环节，每个工作量的单价也须最终报价，且不超过第一次报价，由于系统无法进行单价明细报价，故供应商在系统报总价的同时，代理公司将单价最终报价表发至参与本项目磋商的供应商邮箱，供应商应在要求的时间内将单价最终报价表发送至代理公司邮箱（</w:t>
            </w:r>
            <w:r>
              <w:rPr>
                <w:rFonts w:ascii="仿宋_GB2312" w:hAnsi="仿宋_GB2312" w:cs="仿宋_GB2312" w:eastAsia="仿宋_GB2312"/>
                <w:sz w:val="24"/>
              </w:rPr>
              <w:t>3640299393@qq.com），单价不作为报价评审依据；本项目涉及文物包含但不仅限于以下几类，每件文物单价不超过以下价格标准，否则按照废标处理：</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75"/>
              <w:gridCol w:w="370"/>
              <w:gridCol w:w="887"/>
              <w:gridCol w:w="394"/>
              <w:gridCol w:w="276"/>
            </w:tblGrid>
            <w:tr>
              <w:tc>
                <w:tcPr>
                  <w:tcW w:type="dxa" w:w="2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难易度</w:t>
                  </w:r>
                </w:p>
              </w:tc>
              <w:tc>
                <w:tcPr>
                  <w:tcW w:type="dxa" w:w="37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类型</w:t>
                  </w:r>
                </w:p>
              </w:tc>
              <w:tc>
                <w:tcPr>
                  <w:tcW w:type="dxa" w:w="88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具体细类</w:t>
                  </w:r>
                </w:p>
              </w:tc>
              <w:tc>
                <w:tcPr>
                  <w:tcW w:type="dxa" w:w="39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单价限价（元）</w:t>
                  </w:r>
                </w:p>
              </w:tc>
              <w:tc>
                <w:tcPr>
                  <w:tcW w:type="dxa" w:w="27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最低数量（件）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I类</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素面</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4408</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75"/>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简单纹饰</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2558</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II类</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动物</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猪狗牛羊鸡、马、小骆驼等</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75"/>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套件类</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九子莲灯、牛拉车、陶灶等</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429</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III类</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复杂纹饰</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673</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75"/>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小陶俑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小骑马俑、侍女俑、乐俑等</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159</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IV类</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大陶俑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生肖俑、侍女俑、大骆驼，大陶马等</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276</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75"/>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大型骑马俑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V类</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武士俑、天王俑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武士俑、天王俑等</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75"/>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镇墓兽</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文物照拍摄</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图片不偏色，器物主体清晰，重点器物宜多角度拍摄或附局部特写，文物根据实际情况拍摄数量为</w:t>
                  </w:r>
                  <w:r>
                    <w:rPr>
                      <w:rFonts w:ascii="仿宋_GB2312" w:hAnsi="仿宋_GB2312" w:cs="仿宋_GB2312" w:eastAsia="仿宋_GB2312"/>
                      <w:sz w:val="22"/>
                    </w:rPr>
                    <w:t>2-4张</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¥90.00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标的名称：文物标本绘图等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采购需求：</w:t>
            </w:r>
          </w:p>
          <w:p>
            <w:pPr>
              <w:pStyle w:val="null3"/>
              <w:jc w:val="both"/>
            </w:pPr>
            <w:r>
              <w:rPr>
                <w:rFonts w:ascii="仿宋_GB2312" w:hAnsi="仿宋_GB2312" w:cs="仿宋_GB2312" w:eastAsia="仿宋_GB2312"/>
                <w:sz w:val="24"/>
              </w:rPr>
              <w:t>传统手绘服务：采用手绘方式绘制可量测特征线图，精度不低于</w:t>
            </w:r>
            <w:r>
              <w:rPr>
                <w:rFonts w:ascii="仿宋_GB2312" w:hAnsi="仿宋_GB2312" w:cs="仿宋_GB2312" w:eastAsia="仿宋_GB2312"/>
                <w:sz w:val="24"/>
              </w:rPr>
              <w:t>0.2厘米，形制复杂文物每件不少于3张图（主要包括多面正投影图、展开图及几何展开线图），几何展开线图要求与实际平面弧度曲率一致，正投影主视图反映物体主要特征。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技术要求：</w:t>
            </w:r>
          </w:p>
          <w:p>
            <w:pPr>
              <w:pStyle w:val="null3"/>
            </w:pPr>
            <w:r>
              <w:rPr>
                <w:rFonts w:ascii="仿宋_GB2312" w:hAnsi="仿宋_GB2312" w:cs="仿宋_GB2312" w:eastAsia="仿宋_GB2312"/>
                <w:sz w:val="24"/>
              </w:rPr>
              <w:t>1．每件文物要求绘制可量测特征线图，线图要求层次清晰，主次分明，包含分级比例尺，线图能够准确表现文物的结构特征，具有可量测性；精度不得低于0.2厘米；</w:t>
            </w:r>
          </w:p>
          <w:p>
            <w:pPr>
              <w:pStyle w:val="null3"/>
            </w:pPr>
            <w:r>
              <w:rPr>
                <w:rFonts w:ascii="仿宋_GB2312" w:hAnsi="仿宋_GB2312" w:cs="仿宋_GB2312" w:eastAsia="仿宋_GB2312"/>
                <w:sz w:val="24"/>
              </w:rPr>
              <w:t>2．线图能够准确表现文物的结构特征。线条使用灵活、优美具有艺术观赏性。形制复杂文物每件不少于3张，包括文物的多面正投影图；</w:t>
            </w:r>
          </w:p>
          <w:p>
            <w:pPr>
              <w:pStyle w:val="null3"/>
            </w:pPr>
            <w:r>
              <w:rPr>
                <w:rFonts w:ascii="仿宋_GB2312" w:hAnsi="仿宋_GB2312" w:cs="仿宋_GB2312" w:eastAsia="仿宋_GB2312"/>
                <w:sz w:val="24"/>
              </w:rPr>
              <w:t>3．部分器物提供几何展开线图，要求和实际平面弧度曲率一致，用于今后学术研究、资料刊布等；</w:t>
            </w:r>
          </w:p>
          <w:p>
            <w:pPr>
              <w:pStyle w:val="null3"/>
            </w:pPr>
            <w:r>
              <w:rPr>
                <w:rFonts w:ascii="仿宋_GB2312" w:hAnsi="仿宋_GB2312" w:cs="仿宋_GB2312" w:eastAsia="仿宋_GB2312"/>
                <w:sz w:val="24"/>
              </w:rPr>
              <w:t>4．正投影要求从前方投影的视图应尽量反映物体的主要特征，该视图为主视图；</w:t>
            </w:r>
          </w:p>
          <w:p>
            <w:pPr>
              <w:pStyle w:val="null3"/>
            </w:pPr>
            <w:r>
              <w:rPr>
                <w:rFonts w:ascii="仿宋_GB2312" w:hAnsi="仿宋_GB2312" w:cs="仿宋_GB2312" w:eastAsia="仿宋_GB2312"/>
                <w:sz w:val="24"/>
              </w:rPr>
              <w:t>5．考古绘图应依据正投影的原理，用点、线、面等绘画表现形式来提炼并呈现文物信息。线图的绘制是严格提取其中的有效信息，剥离和去除其中多余的信息，补全影像图无法体现的信息，使研究者更直观清晰的获取信息为最终目的；</w:t>
            </w:r>
          </w:p>
          <w:p>
            <w:pPr>
              <w:pStyle w:val="null3"/>
            </w:pPr>
            <w:r>
              <w:rPr>
                <w:rFonts w:ascii="仿宋_GB2312" w:hAnsi="仿宋_GB2312" w:cs="仿宋_GB2312" w:eastAsia="仿宋_GB2312"/>
                <w:sz w:val="24"/>
              </w:rPr>
              <w:t>6．由于文物的种类繁多、形态各异，考古图样的比例选择、表现形式、线型处理应根据实际情况规范设置，以达到清晰、简明、真实的效果；</w:t>
            </w:r>
          </w:p>
          <w:p>
            <w:pPr>
              <w:pStyle w:val="null3"/>
            </w:pPr>
            <w:r>
              <w:rPr>
                <w:rFonts w:ascii="仿宋_GB2312" w:hAnsi="仿宋_GB2312" w:cs="仿宋_GB2312" w:eastAsia="仿宋_GB2312"/>
                <w:sz w:val="24"/>
              </w:rPr>
              <w:t>7．为保障线图信息准确，供应商至少安排 1 名专业技术人员在项目地现场进行审核修正；</w:t>
            </w:r>
          </w:p>
          <w:p>
            <w:pPr>
              <w:pStyle w:val="null3"/>
            </w:pPr>
            <w:r>
              <w:rPr>
                <w:rFonts w:ascii="仿宋_GB2312" w:hAnsi="仿宋_GB2312" w:cs="仿宋_GB2312" w:eastAsia="仿宋_GB2312"/>
                <w:sz w:val="24"/>
              </w:rPr>
              <w:t>8．成果符合《WW/T 0035-2012田野考古制图》及 《田野考古工作规程（2009年10月版）》相关要求；</w:t>
            </w:r>
          </w:p>
          <w:p>
            <w:pPr>
              <w:pStyle w:val="null3"/>
              <w:jc w:val="both"/>
            </w:pPr>
            <w:r>
              <w:rPr>
                <w:rFonts w:ascii="仿宋_GB2312" w:hAnsi="仿宋_GB2312" w:cs="仿宋_GB2312" w:eastAsia="仿宋_GB2312"/>
                <w:sz w:val="24"/>
              </w:rPr>
              <w:t>9．每件文物均需拍摄高清文物照，单张不低于4000万像素，要求使用色彩管理软件对影像色彩进行真实还原，每件文物不少于3张。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其他要求：</w:t>
            </w:r>
          </w:p>
          <w:p>
            <w:pPr>
              <w:pStyle w:val="null3"/>
            </w:pPr>
            <w:r>
              <w:rPr>
                <w:rFonts w:ascii="仿宋_GB2312" w:hAnsi="仿宋_GB2312" w:cs="仿宋_GB2312" w:eastAsia="仿宋_GB2312"/>
                <w:sz w:val="24"/>
                <w:b/>
              </w:rPr>
              <w:t>接项目任务后按以下时间完成项目，并根据甲方要求时间提交成果数据。（服务期内按甲方要求每天工作量不少于多少件在如下表格）</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452"/>
              <w:gridCol w:w="635"/>
              <w:gridCol w:w="583"/>
              <w:gridCol w:w="563"/>
            </w:tblGrid>
            <w:tr>
              <w:tc>
                <w:tcPr>
                  <w:tcW w:type="dxa" w:w="302"/>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难易度</w:t>
                  </w:r>
                </w:p>
              </w:tc>
              <w:tc>
                <w:tcPr>
                  <w:tcW w:type="dxa" w:w="452"/>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类型</w:t>
                  </w:r>
                </w:p>
              </w:tc>
              <w:tc>
                <w:tcPr>
                  <w:tcW w:type="dxa" w:w="635"/>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具体细类</w:t>
                  </w:r>
                </w:p>
              </w:tc>
              <w:tc>
                <w:tcPr>
                  <w:tcW w:type="dxa" w:w="583"/>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工作内容</w:t>
                  </w:r>
                </w:p>
              </w:tc>
              <w:tc>
                <w:tcPr>
                  <w:tcW w:type="dxa" w:w="563"/>
                  <w:tcBorders>
                    <w:top w:val="single" w:color="000000" w:sz="8"/>
                    <w:left w:val="single" w:color="000000" w:sz="8"/>
                    <w:bottom w:val="single" w:color="000000" w:sz="8"/>
                    <w:right w:val="single" w:color="000000" w:sz="8"/>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服务期要求（件</w:t>
                  </w:r>
                  <w:r>
                    <w:rPr>
                      <w:rFonts w:ascii="仿宋_GB2312" w:hAnsi="仿宋_GB2312" w:cs="仿宋_GB2312" w:eastAsia="仿宋_GB2312"/>
                      <w:sz w:val="24"/>
                      <w:b/>
                      <w:color w:val="000000"/>
                    </w:rPr>
                    <w:t>/天）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素面</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简单纹饰</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动物</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猪狗牛羊鸡、马、小骆驼等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套件类</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九子莲灯、牛拉车、陶灶等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20件套≤1天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III类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复杂纹饰</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小陶俑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小骑马俑、侍女俑、乐俑等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IV类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大陶俑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生肖俑、侍女俑、大骆驼，大陶马等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大型骑马俑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12件≤1天</w:t>
                  </w:r>
                </w:p>
              </w:tc>
            </w:tr>
            <w:tr>
              <w:tc>
                <w:tcPr>
                  <w:tcW w:type="dxa" w:w="30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V类</w:t>
                  </w: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武士俑、天王俑</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武士俑、天王俑等</w:t>
                  </w: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5件≤1天</w:t>
                  </w:r>
                </w:p>
              </w:tc>
            </w:tr>
            <w:tr>
              <w:tc>
                <w:tcPr>
                  <w:tcW w:type="dxa" w:w="302"/>
                  <w:vMerge/>
                  <w:tcBorders>
                    <w:top w:val="none" w:color="000000" w:sz="4"/>
                    <w:left w:val="single" w:color="000000" w:sz="8"/>
                    <w:bottom w:val="single" w:color="000000" w:sz="8"/>
                    <w:right w:val="single" w:color="000000" w:sz="8"/>
                  </w:tcBorders>
                </w:tcPr>
                <w:p/>
              </w:tc>
              <w:tc>
                <w:tcPr>
                  <w:tcW w:type="dxa" w:w="45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镇墓兽</w:t>
                  </w:r>
                </w:p>
              </w:tc>
              <w:tc>
                <w:tcPr>
                  <w:tcW w:type="dxa" w:w="63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拍照及线条绘制</w:t>
                  </w:r>
                </w:p>
              </w:tc>
              <w:tc>
                <w:tcPr>
                  <w:tcW w:type="dxa" w:w="56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5件≤1天</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价格要求：由于考古发掘的不确定性，最终结算按照按绘图的工作量和单价结算；在磋商环节，每个工作量的单价也须最终报价，且不超过第一次报价，由于系统无法进行单价明细报价，故供应商在系统报总价的同时，代理公司将单价最终报价表发至参与本项目磋商的供应商邮箱，供应商应在要求的时间内将单价最终报价表发送至代理公司邮箱（</w:t>
            </w:r>
            <w:r>
              <w:rPr>
                <w:rFonts w:ascii="仿宋_GB2312" w:hAnsi="仿宋_GB2312" w:cs="仿宋_GB2312" w:eastAsia="仿宋_GB2312"/>
                <w:sz w:val="24"/>
              </w:rPr>
              <w:t>3640299393@qq.com），单价不作为报价评审依据；本项目涉及文物包含但不仅限于以下几类，每件文物单价不超过以下价格标准，否则按照废标处理：</w:t>
            </w:r>
          </w:p>
          <w:tbl>
            <w:tblPr>
              <w:tblBorders>
                <w:top w:val="none" w:color="000000" w:sz="4"/>
                <w:left w:val="none" w:color="000000" w:sz="4"/>
                <w:bottom w:val="none" w:color="000000" w:sz="4"/>
                <w:right w:val="none" w:color="000000" w:sz="4"/>
                <w:insideH w:val="none"/>
                <w:insideV w:val="none"/>
              </w:tblBorders>
            </w:tblPr>
            <w:tblGrid>
              <w:gridCol w:w="242"/>
              <w:gridCol w:w="368"/>
              <w:gridCol w:w="364"/>
              <w:gridCol w:w="883"/>
              <w:gridCol w:w="387"/>
              <w:gridCol w:w="262"/>
            </w:tblGrid>
            <w:tr>
              <w:tc>
                <w:tcPr>
                  <w:tcW w:type="dxa" w:w="24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6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难易度</w:t>
                  </w:r>
                </w:p>
              </w:tc>
              <w:tc>
                <w:tcPr>
                  <w:tcW w:type="dxa" w:w="3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类型</w:t>
                  </w:r>
                </w:p>
              </w:tc>
              <w:tc>
                <w:tcPr>
                  <w:tcW w:type="dxa" w:w="88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具体细类</w:t>
                  </w:r>
                </w:p>
              </w:tc>
              <w:tc>
                <w:tcPr>
                  <w:tcW w:type="dxa" w:w="38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单价限价（元）</w:t>
                  </w:r>
                </w:p>
              </w:tc>
              <w:tc>
                <w:tcPr>
                  <w:tcW w:type="dxa" w:w="26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最低数量（件）</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I类</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素面</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2792</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简单纹饰</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II类</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动物</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猪狗牛羊鸡、马、小骆驼等</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套件类</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九子莲灯、牛拉车、陶灶等</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III类</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复杂纹饰</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427</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小陶俑</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小骑马俑、侍女俑、乐俑等</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IV类</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大陶俑</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生肖俑、侍女俑、大骆驼，大陶马等</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175</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大型骑马俑</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V类</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武士俑、天王俑</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武士俑、天王俑等</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镇墓兽</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¥580.00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陕西省境内委托方指定地点。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陕西省境内委托方指定地点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协商解决或提起诉讼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服务内容及服务邀请应答表 类似项目业绩一览表.docx 中小企业声明函 单价报价明细包1.docx 商务应答表 承诺书.docx 报价表 响应文件封面 拟派人员配置情况表.docx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（1）供应商总报价未超过采购预算价或者最高限价； （2）明细报价表中单价不允许超过磋商文件中给定的单价。</w:t>
            </w:r>
          </w:p>
        </w:tc>
        <w:tc>
          <w:tcPr>
            <w:tcW w:type="dxa" w:w="1661"/>
          </w:tcPr>
          <w:p>
            <w:pPr>
              <w:pStyle w:val="null3"/>
            </w:pPr>
            <w:r>
              <w:rPr>
                <w:rFonts w:ascii="仿宋_GB2312" w:hAnsi="仿宋_GB2312" w:cs="仿宋_GB2312" w:eastAsia="仿宋_GB2312"/>
              </w:rPr>
              <w:t>响应文件封面 单价报价明细包1.docx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承诺书.docx 报价表 响应文件封面 单价报价明细包2.docx 拟派人员配置情况表.docx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（1）供应商总报价未超过采购预算价或者最高限价； （2）明细报价表中单价不允许超过磋商文件中给定的单价。</w:t>
            </w:r>
          </w:p>
        </w:tc>
        <w:tc>
          <w:tcPr>
            <w:tcW w:type="dxa" w:w="1661"/>
          </w:tcPr>
          <w:p>
            <w:pPr>
              <w:pStyle w:val="null3"/>
            </w:pPr>
            <w:r>
              <w:rPr>
                <w:rFonts w:ascii="仿宋_GB2312" w:hAnsi="仿宋_GB2312" w:cs="仿宋_GB2312" w:eastAsia="仿宋_GB2312"/>
              </w:rPr>
              <w:t>响应文件封面 单价报价明细包2.docx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供应商针对本项目提供实施方案，内容包括： ①文物数据采集方案： ②文物线图绘制方案； ③高清文物照拍摄方案；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①文物数据采集方案：每满足一个评审标准得2分，满分6分； ②文物线图绘制方案：每满足一个评审标准得2分，满分6分； ③高清文物照拍摄方案：每满足一个评审标准得2分，满分6分。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案例图</w:t>
            </w:r>
          </w:p>
        </w:tc>
        <w:tc>
          <w:tcPr>
            <w:tcW w:type="dxa" w:w="2492"/>
          </w:tcPr>
          <w:p>
            <w:pPr>
              <w:pStyle w:val="null3"/>
            </w:pPr>
            <w:r>
              <w:rPr>
                <w:rFonts w:ascii="仿宋_GB2312" w:hAnsi="仿宋_GB2312" w:cs="仿宋_GB2312" w:eastAsia="仿宋_GB2312"/>
              </w:rPr>
              <w:t>供应商提供带纹饰复杂器形的案例图，每件文物包括扇形展开彩图（展开图需要符合数学弧度规律的扇形展开，而非示意性直线展开）、展开特征线图、剖面线图。每提供一件符合要求的文物案例图并加盖供应商公章得2分，最高得12分。供应商在响应文件中提供案例图不存在任何版权纠纷的承诺，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项目实施保障措施</w:t>
            </w:r>
          </w:p>
        </w:tc>
        <w:tc>
          <w:tcPr>
            <w:tcW w:type="dxa" w:w="2492"/>
          </w:tcPr>
          <w:p>
            <w:pPr>
              <w:pStyle w:val="null3"/>
            </w:pPr>
            <w:r>
              <w:rPr>
                <w:rFonts w:ascii="仿宋_GB2312" w:hAnsi="仿宋_GB2312" w:cs="仿宋_GB2312" w:eastAsia="仿宋_GB2312"/>
              </w:rPr>
              <w:t>一、评审内容 供应商针对本项目提供项目实施保障措施，内容包括： ①质量控制措施（含质量控制目标、质量控制流程、质量保障计划）； ②项目进度保障措施； ③文物安全保障措施；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①质量控制措施（含质量控制目标、质量控制流程、质量保障计划）：每满足一个评审标准得2分，满分6分； ②项目进度保障措施：每满足一个评审标准得2分，满分6分； ③文物安全保障措施：每满足一个评审标准得2分，满分6分。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售后及技术支持服务方案</w:t>
            </w:r>
          </w:p>
        </w:tc>
        <w:tc>
          <w:tcPr>
            <w:tcW w:type="dxa" w:w="2492"/>
          </w:tcPr>
          <w:p>
            <w:pPr>
              <w:pStyle w:val="null3"/>
            </w:pPr>
            <w:r>
              <w:rPr>
                <w:rFonts w:ascii="仿宋_GB2312" w:hAnsi="仿宋_GB2312" w:cs="仿宋_GB2312" w:eastAsia="仿宋_GB2312"/>
              </w:rPr>
              <w:t>一、评审内容 供应商针对本项目提供售后及技术支持服务方案，内容包括： ①售后服务内容； ②服务承诺书； ③技术支持团队； ④服务的响应时限。 二、评审标准 ①可实施性：方案内容符合项目实际特点，合理、恰当； ②针对性：切合本项目实际情况，根据磋商文件要求提出针对本 项目实际操作性强的方案。 三、赋分标准 ①售后服务内容：每满足一个评审标准得1分，满分2分； ②服务承诺书：每满足一个评审标准得1分，满分2分； ③技术支持团队：每满足一个评审标准得1分，满分2分； ④服务的响应时限：每满足一个评审标准得1分，满分2分。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供应商拟为本项目提供的技术团队人员，具有测绘类或摄影类或博物馆类或设计类或考古类相关专业的，提供1人得1.5分，本项共计得9分。 说明：以上所有人员需提供资格证书或毕业证书并加盖公章 ；同一技术人员提供多项证书，只能计1次得分，不重复记分；未按要求提供证明材料的不得分。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项目设备配置</w:t>
            </w:r>
          </w:p>
        </w:tc>
        <w:tc>
          <w:tcPr>
            <w:tcW w:type="dxa" w:w="2492"/>
          </w:tcPr>
          <w:p>
            <w:pPr>
              <w:pStyle w:val="null3"/>
            </w:pPr>
            <w:r>
              <w:rPr>
                <w:rFonts w:ascii="仿宋_GB2312" w:hAnsi="仿宋_GB2312" w:cs="仿宋_GB2312" w:eastAsia="仿宋_GB2312"/>
              </w:rPr>
              <w:t>供应商拟投入项目实施设备，包含三维激光扫描仪、数码相机、电脑等。需在响应文件中提供设备参数及设备证明文件（供应商采购设备合同或发票），每提供1套满足上述所有要求设备的得1.5分，最高得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提供2022年1月1日至今（时间以合同签订时间为准）类似项目业绩，每提供一个得4分，满分16分。 备注：磋商响应文件中提供合同复印件（合同中需能反映相关信息），未提供不得分。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满足竞争性磋商文件要求的有效报价中最低报价为最高得分点：报价最低计10分，其它报价所得分值按（最低报价／磋商报价）×10的公式计算。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供应商针对本项目提供实施方案，内容包括： ①文物数据采集方案： ②文物线图绘制方案； ③绘图规则方法方案；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①文物数据采集方案：每满足一个评审标准得2分，满分6分； ②文物线图绘制方案：每满足一个评审标准得2分，满分6分； ③绘图规则方法方案：每满足一个评审标准得2分，满分6分。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案例图</w:t>
            </w:r>
          </w:p>
        </w:tc>
        <w:tc>
          <w:tcPr>
            <w:tcW w:type="dxa" w:w="2492"/>
          </w:tcPr>
          <w:p>
            <w:pPr>
              <w:pStyle w:val="null3"/>
            </w:pPr>
            <w:r>
              <w:rPr>
                <w:rFonts w:ascii="仿宋_GB2312" w:hAnsi="仿宋_GB2312" w:cs="仿宋_GB2312" w:eastAsia="仿宋_GB2312"/>
              </w:rPr>
              <w:t>供应商提供带纹饰复杂器形的案例图，每件文物包括扇形展开彩图（展开图需要符合数学弧度规律的扇形展开，而非示意性直线展开）、展开特征线图、剖面线图。每提供一件符合要求的文物案例图并加盖供应商公章得2分，最高得12分。供应商在响应文件中提供案例图不存在任何版权纠纷的承诺，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项目实施保障措施</w:t>
            </w:r>
          </w:p>
        </w:tc>
        <w:tc>
          <w:tcPr>
            <w:tcW w:type="dxa" w:w="2492"/>
          </w:tcPr>
          <w:p>
            <w:pPr>
              <w:pStyle w:val="null3"/>
            </w:pPr>
            <w:r>
              <w:rPr>
                <w:rFonts w:ascii="仿宋_GB2312" w:hAnsi="仿宋_GB2312" w:cs="仿宋_GB2312" w:eastAsia="仿宋_GB2312"/>
              </w:rPr>
              <w:t>一、评审内容 供应商针对本项目提供项目实施保障措施，内容包括： ①质量控制措施（含质量控制目标、质量控制流程、质量保障计划）； ②项目进度保障措施； ③文物安全保障措施；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①质量控制措施（含质量控制目标、质量控制流程、质量保障计划）：每满足一个评审标准得2分，满分6分； ②项目进度保障措施：每满足一个评审标准得2分，满分6分； ③文物安全保障措施：每满足一个评审标准得2分，满分6分。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售后及技术支持服务方案</w:t>
            </w:r>
          </w:p>
        </w:tc>
        <w:tc>
          <w:tcPr>
            <w:tcW w:type="dxa" w:w="2492"/>
          </w:tcPr>
          <w:p>
            <w:pPr>
              <w:pStyle w:val="null3"/>
            </w:pPr>
            <w:r>
              <w:rPr>
                <w:rFonts w:ascii="仿宋_GB2312" w:hAnsi="仿宋_GB2312" w:cs="仿宋_GB2312" w:eastAsia="仿宋_GB2312"/>
              </w:rPr>
              <w:t>一、评审内容 供应商针对本项目提供售后及技术支持服务方案，内容包括： ①售后服务内容； ②服务承诺书； ③技术支持团队； ④服务的响应时限。 二、评审标准 ①可实施性：方案内容符合项目实际特点，合理、恰当； ②针对性：切合本项目实际情况，根据磋商文件要求提出针对本 项目实际操作性强的方案。 三、赋分标准 ①售后服务内容：每满足一个评审标准得1分，满分2分； ②服务承诺书：每满足一个评审标准得1分，满分2分； ③技术支持团队：每满足一个评审标准得1分，满分2分； ④服务的响应时限：每满足一个评审标准得1分，满分2分。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供应商拟为本项目提供的技术团队人员，具有测绘类或摄影类或博物馆类或设计类或考古类相关专业的，提供1人得1.5分，本项共计得9分。 说明：以上所有人员需提供资格证书或毕业证书并加盖公章 ；同一技术人员提供多项证书，只能计1次得分，不重复记分；未按要求提供证明材料的不得分。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项目设备配置</w:t>
            </w:r>
          </w:p>
        </w:tc>
        <w:tc>
          <w:tcPr>
            <w:tcW w:type="dxa" w:w="2492"/>
          </w:tcPr>
          <w:p>
            <w:pPr>
              <w:pStyle w:val="null3"/>
            </w:pPr>
            <w:r>
              <w:rPr>
                <w:rFonts w:ascii="仿宋_GB2312" w:hAnsi="仿宋_GB2312" w:cs="仿宋_GB2312" w:eastAsia="仿宋_GB2312"/>
              </w:rPr>
              <w:t>供应商拟投入项目实施设备，包含三维激光扫描仪、数码相机、电脑等。需在响应文件中提供设备参数及设备证明文件（供应商采购设备合同或发票），每提供1套满足上述所有要求设备的得1.5分，最高得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提供2022年1月1日至今（时间以合同签订时间为准）类似项目业绩，每提供一个得4分，满分16分。 备注：磋商响应文件中提供合同复印件（合同中需能反映相关信息），未提供不得分。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满足竞争性磋商文件要求的有效报价中最低报价为最高得分点：报价最低计10分，其它报价所得分值按（最低报价／磋商报价）×10的公式计算。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详见附件：单价报价明细包1.docx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详见附件：单价报价明细包2.docx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