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版本号：SCZJ2025-CS-2093-00120251009001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陕西省智能建造与新型建筑工业化产业链大湾区招商引资推介会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SCZJ2025-CS-2093-001</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陕西省智能建造与新型建筑工业化产业链大湾区招商引资推介会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SCZJ2025-CS-2093-001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陕西省智能建造与新型建筑工业化产业链大湾区招商引资推介会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陕西省智能建造与新型建筑工业化产业链大湾区招商引资推介会，会议流程整体策划、场地设计与装修搭建、现场组织策划、会议宣传、制作《陕西省智能建造与新型建筑工业化产业链提升工作成效宣传片》等。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采购包1（陕西省智能建造与新型建筑工业化产业链大湾区招商引资推介会）：属于专门面向中小企业采购。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1、具有独立承担民事责任的能力：（1）供应商是企业（包括合伙企业）的，应提供其在市场监督管理部门注册的有效“营业执照”的复印件；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w:t>
      </w:r>
    </w:p>
    <w:p>
      <w:pPr>
        <w:pStyle w:val="null3"/>
      </w:pPr>
      <w:r>
        <w:rPr>
          <w:rFonts w:ascii="仿宋_GB2312" w:hAnsi="仿宋_GB2312" w:cs="仿宋_GB2312" w:eastAsia="仿宋_GB2312"/>
        </w:rPr>
        <w:t>2、依法缴纳税收的相关材料：（1）供应商应提供递交响应文件截止时间前近六个月（2025年2月至今）任何一个月缴纳增值税或企业所得税的凭证，时间以税款所属时期为准（银行出具的缴税凭证或税务机关出具的证明的复印件，并加盖本单位公章）。 （2）供应商采用汇算清缴方式缴纳企业所得税的，应提供递交响应文件截止时间前近六个月（2025年2月至今）任何一个月缴纳增值税或最近一期缴纳企业所得税的凭证，时间以税款所属时期为准（银行出具的缴税凭证或税务机关出具的证明的复印件，并加盖本单位公章）。 （3）缴纳凭证复印件须清晰可辨，并能显示出供应商名称和所缴纳税种种类，单位代扣代缴的个人所得税不能作为单位纳税的凭证。 （4）依法免税或无须缴纳税收的供应商，应提供相应文件证明。</w:t>
      </w:r>
    </w:p>
    <w:p>
      <w:pPr>
        <w:pStyle w:val="null3"/>
      </w:pPr>
      <w:r>
        <w:rPr>
          <w:rFonts w:ascii="仿宋_GB2312" w:hAnsi="仿宋_GB2312" w:cs="仿宋_GB2312" w:eastAsia="仿宋_GB2312"/>
        </w:rPr>
        <w:t>3、依法缴纳社会保障资金的相关材料：（1）供应商应提供递交响应文件截止时间前近六个月（2025年2月至今）任何一个月的缴纳社会保险的凭据（专用收据或社会保险缴纳清单），并加盖本单位公章。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w:t>
      </w:r>
    </w:p>
    <w:p>
      <w:pPr>
        <w:pStyle w:val="null3"/>
      </w:pPr>
      <w:r>
        <w:rPr>
          <w:rFonts w:ascii="仿宋_GB2312" w:hAnsi="仿宋_GB2312" w:cs="仿宋_GB2312" w:eastAsia="仿宋_GB2312"/>
        </w:rPr>
        <w:t>4、具有履行合同所必需的设备和专业技术能力：提供具备履行合同所必需的设备和专业技术能力的承诺原件</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5、参加政府采购活动前三年内，在经营活动中没有重大违法记录：提供参加政府采购活动前三年内，在经营活动中没有重大违法记录承诺书</w:t>
      </w:r>
    </w:p>
    <w:p>
      <w:pPr>
        <w:pStyle w:val="null3"/>
      </w:pPr>
      <w:r>
        <w:rPr>
          <w:rFonts w:ascii="仿宋_GB2312" w:hAnsi="仿宋_GB2312" w:cs="仿宋_GB2312" w:eastAsia="仿宋_GB2312"/>
        </w:rPr>
        <w:t>6、法律、行政法规规定的其他条件：(1)供应商控股股东名称、控股公司的名称和存在管理、被管理关系的单位名称说明 (2)供应商是否属于为本项目提供整体设计、规范编制或者项目管理、检测等服务的供应商声明原件</w:t>
      </w:r>
    </w:p>
    <w:p>
      <w:pPr>
        <w:pStyle w:val="null3"/>
      </w:pPr>
      <w:r>
        <w:rPr>
          <w:rFonts w:ascii="仿宋_GB2312" w:hAnsi="仿宋_GB2312" w:cs="仿宋_GB2312" w:eastAsia="仿宋_GB2312"/>
        </w:rPr>
        <w:t>7、本采购包专门面向中小企业采购：参与的供应商（联合体）服务全部由符合政策要求的中小企业承接。项目所属行业：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pStyle w:val="null3"/>
      </w:pPr>
      <w:r>
        <w:rPr>
          <w:rFonts w:ascii="仿宋_GB2312" w:hAnsi="仿宋_GB2312" w:cs="仿宋_GB2312" w:eastAsia="仿宋_GB2312"/>
        </w:rPr>
        <w:t>8、“信用中国”网站和中国政府采购网（www.ccgp.gov.cn）查询记录：在递交响应文件截止时间前被“信用中国”网站（www.creditchina.gov.cn）列入失信被执行人、重大税收违法失信主体的,或被中国政府采购网（www.ccgp.gov.cn）上列入政府采购严重违法失信行为记录名单的，不得参加磋商 附查询截图，查询时间为购买磋商文件至磋商截止时间前。</w:t>
      </w:r>
    </w:p>
    <w:p>
      <w:pPr>
        <w:pStyle w:val="null3"/>
      </w:pPr>
      <w:r>
        <w:rPr>
          <w:rFonts w:ascii="仿宋_GB2312" w:hAnsi="仿宋_GB2312" w:cs="仿宋_GB2312" w:eastAsia="仿宋_GB2312"/>
        </w:rPr>
        <w:t>9、供应商应授权合法的人员参加磋商全过程：其中法定代表人直接参加磋商的，须出具法人身份证，并与营业执照上信息一致。法定代表人授权代表参加磋商的，须出具法定代表人授权书及授权代表身份证复印件、授权代表在本单位的养老保险缴纳证明或劳动合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029-63915744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许明艳、黄雪、魏小旖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029-85227597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代理服务费收费标准：代理服务费参照原国家计委计价格〔2002〕1980号文和国家发改委发改办价格〔2003〕857号文的计算方法收取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陕西省智能建造与新型建筑工业化产业链大湾区招商引资推介会，会议流程整体策划、场地设计与装修搭建、现场组织策划、会议宣传、制作《陕西省智能建造与新型建筑工业化产业链提升工作成效宣传片》等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陕西省智能建造与新型建筑工业化产业链大湾区 招商引资推介会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标的名称：陕西省智能建造与新型建筑工业化产业链大湾区 招商引资推介会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会议流程整体策划</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会议场馆预定、设计与布局：主会场设计规划、贵宾接待厅、商务洽谈厅（会后领导与企业交流用）、媒体工作区、签到处、核心功能区域的分布与布局，各区域既独立又互联互通。入口、通道、会场的装饰搭建；规划参会人员及嘉宾从入场、休息、入座到洽谈、离场的参会路线规划，清晰指示标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场地搭建装修：协助采购人落实活动举办场地，负责活动的场地布置方案的制定、现场搭建布置及撤场、音电设备租赁与安装、调试等工作。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现场支持与服务：活动现场总体策划与调控，组织现场工作人员进行培训和执行分工，摄影及搭建、技术人员的支持，协助做好与会嘉宾、代表和媒体签到、接待（活动后提供人员签到表单），提供确保活动全流程顺畅实施的保障服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内容制作：制作《陕西省智能建造与新型建筑工业化产业链提升工作成效宣传片》(10分钟版)、制作客商电子邀请函、活动议程PPT、会议手册、收集汇总各发言嘉宾PPT、名牌、胸牌、纸张、笔等物品的文件袋设计与制作，活动照片直播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需要配置设计师、场地搭建技术人员、灯光及音响控制人员等满足服务要求所必须的人员。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根据竞争性磋商文件、竞争性磋商响应文件及合同约定执行。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合同签订后支付合同价款的50%为项目预付款，合同履行结束并验收合格后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（一）甲方：逾期支付费用或无正当理由拒收乙方服务工作成果的，从逾期之日起每逾期1天，甲方向乙方支付欠款总额的 2 ‰作为违约金，但累计违约金总额不超过欠款总额的5％。（二）乙方：1.乙方逾期完成服务工作的，从逾期之日起每逾期1天，乙方向甲方支付服务费用的2 ‰作为违约金；如乙方逾期完成服务内容累计达5天，甲方有权解除本合同，同时乙方应将已收取的款项退还甲方，另向甲方支付合同总金额2％的违约金，如违约金不能弥补甲方所遭受损失的，乙方应就该部分损失对甲方作出相应赔偿。2.乙方提供的服务工作成果验收未通过，经整改后再次验收依然未通过的，甲方有权拒收并解除本合同，乙方应将已收取的款项退还甲方并支付合同总金额2%的违约金，如违约金不能弥补甲方所遭受损失的，乙方应就该部分损失对甲方作出相应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 （1）提供2024年度经审计的财务报告，应满足以下要求：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①资信证明须为递交响应文件截止时间前三个月内由供应商基本账户开户银行出具。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 中小企业声明函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（1）供应商是企业（包括合伙企业）的，应提供其在市场监督管理部门注册的有效“营业执照”的复印件；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供应商应提供递交响应文件截止时间前近六个月（2025年2月至今）任何一个月缴纳增值税或企业所得税的凭证，时间以税款所属时期为准（银行出具的缴税凭证或税务机关出具的证明的复印件，并加盖本单位公章）。 （2）供应商采用汇算清缴方式缴纳企业所得税的，应提供递交响应文件截止时间前近六个月（2025年2月至今）任何一个月缴纳增值税或最近一期缴纳企业所得税的凭证，时间以税款所属时期为准（银行出具的缴税凭证或税务机关出具的证明的复印件，并加盖本单位公章）。 （3）缴纳凭证复印件须清晰可辨，并能显示出供应商名称和所缴纳税种种类，单位代扣代缴的个人所得税不能作为单位纳税的凭证。 （4）依法免税或无须缴纳税收的供应商，应提供相应文件证明。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（1）供应商应提供递交响应文件截止时间前近六个月（2025年2月至今）任何一个月的缴纳社会保险的凭据（专用收据或社会保险缴纳清单），并加盖本单位公章。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提供具备履行合同所必需的设备和专业技术能力的承诺原件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提供参加政府采购活动前三年内，在经营活动中没有重大违法记录承诺书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(1)供应商控股股东名称、控股公司的名称和存在管理、被管理关系的单位名称说明 (2)供应商是否属于为本项目提供整体设计、规范编制或者项目管理、检测等服务的供应商声明原件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项目所属行业：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在递交响应文件截止时间前被“信用中国”网站（www.creditchina.gov.cn）列入失信被执行人、重大税收违法失信主体的,或被中国政府采购网（www.ccgp.gov.cn）上列入政府采购严重违法失信行为记录名单的，不得参加磋商 附查询截图，查询时间为购买磋商文件至磋商截止时间前。</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其中法定代表人直接参加磋商的，须出具法人身份证，并与营业执照上信息一致。法定代表人授权代表参加磋商的，须出具法定代表人授权书及授权代表身份证复印件、授权代表在本单位的养老保险缴纳证明或劳动合同</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投标人应提交的相关资格证明材料.docx 服务内容及服务邀请应答表 中小企业声明函 残疾人福利性单位声明函 投标方案或技术方案.docx 商务应答表 标的清单 报价表 响应函 其他.docx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技术方案1</w:t>
            </w:r>
          </w:p>
        </w:tc>
        <w:tc>
          <w:tcPr>
            <w:tcW w:type="dxa" w:w="2492"/>
          </w:tcPr>
          <w:p>
            <w:pPr>
              <w:pStyle w:val="null3"/>
            </w:pPr>
            <w:r>
              <w:rPr>
                <w:rFonts w:ascii="仿宋_GB2312" w:hAnsi="仿宋_GB2312" w:cs="仿宋_GB2312" w:eastAsia="仿宋_GB2312"/>
              </w:rPr>
              <w:t>1.项目总体实施方案。活动现场总体策划与调控，组织现场工作人员进行培训和执行分工，摄影及搭建、技术人员的支持，协助做好与会嘉宾、代表和媒体签到、接待（活动后提供人员签到表单），提供确保活动全流程顺畅实施的保障服务。针对本项目服务要求编制，结合项目实际情况，对供应商服务方案的完善程度及合理性进行赋分。方案合理、完善的赋10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技术方案2</w:t>
            </w:r>
          </w:p>
        </w:tc>
        <w:tc>
          <w:tcPr>
            <w:tcW w:type="dxa" w:w="2492"/>
          </w:tcPr>
          <w:p>
            <w:pPr>
              <w:pStyle w:val="null3"/>
            </w:pPr>
            <w:r>
              <w:rPr>
                <w:rFonts w:ascii="仿宋_GB2312" w:hAnsi="仿宋_GB2312" w:cs="仿宋_GB2312" w:eastAsia="仿宋_GB2312"/>
              </w:rPr>
              <w:t>2.工作进度计划及服务质量保障措施。工作进度计划合理、有可操作性，有详细的服务质量保障措施,在采购人规定的时间内高质量完成服务。措施方案合理、完善的赋7 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没有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技术方案3</w:t>
            </w:r>
          </w:p>
        </w:tc>
        <w:tc>
          <w:tcPr>
            <w:tcW w:type="dxa" w:w="2492"/>
          </w:tcPr>
          <w:p>
            <w:pPr>
              <w:pStyle w:val="null3"/>
            </w:pPr>
            <w:r>
              <w:rPr>
                <w:rFonts w:ascii="仿宋_GB2312" w:hAnsi="仿宋_GB2312" w:cs="仿宋_GB2312" w:eastAsia="仿宋_GB2312"/>
              </w:rPr>
              <w:t>3.会议场馆的预定、设计与布置：主会场设计规划、贵宾接待厅、商务洽谈厅（会后领导与企业交流用）、媒体工作区、签到处、核心功能区域的分布与布局，各区域既独立又互联互通。入口、通道、会场的装饰搭建；规划参会人员及嘉宾从入场、休息、入座到洽谈、离场的参会路线规划，清晰指示标识。协助采购人落实活动举办场地，负责活动的场地布置方案的制定、现场搭建布置及撤场、音电设备租赁与安装、调试等工作。布局合理、主题突出、特色鲜明、设计新颖、简洁大方，将传统与现代相结合，方案完善、合理、可行，得10 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技术方案4</w:t>
            </w:r>
          </w:p>
        </w:tc>
        <w:tc>
          <w:tcPr>
            <w:tcW w:type="dxa" w:w="2492"/>
          </w:tcPr>
          <w:p>
            <w:pPr>
              <w:pStyle w:val="null3"/>
            </w:pPr>
            <w:r>
              <w:rPr>
                <w:rFonts w:ascii="仿宋_GB2312" w:hAnsi="仿宋_GB2312" w:cs="仿宋_GB2312" w:eastAsia="仿宋_GB2312"/>
              </w:rPr>
              <w:t>4.具有可行完善的突发事件及紧急情况处理措施方案。方案细致完整、可行、描述条理清晰，内容齐全，有较高的针对性赋6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技术方案5</w:t>
            </w:r>
          </w:p>
        </w:tc>
        <w:tc>
          <w:tcPr>
            <w:tcW w:type="dxa" w:w="2492"/>
          </w:tcPr>
          <w:p>
            <w:pPr>
              <w:pStyle w:val="null3"/>
            </w:pPr>
            <w:r>
              <w:rPr>
                <w:rFonts w:ascii="仿宋_GB2312" w:hAnsi="仿宋_GB2312" w:cs="仿宋_GB2312" w:eastAsia="仿宋_GB2312"/>
              </w:rPr>
              <w:t>5.提供本项目消防安全、设施设备等确保活动顺利实施。方案完善、合理、可行，得6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技术方案6</w:t>
            </w:r>
          </w:p>
        </w:tc>
        <w:tc>
          <w:tcPr>
            <w:tcW w:type="dxa" w:w="2492"/>
          </w:tcPr>
          <w:p>
            <w:pPr>
              <w:pStyle w:val="null3"/>
            </w:pPr>
            <w:r>
              <w:rPr>
                <w:rFonts w:ascii="仿宋_GB2312" w:hAnsi="仿宋_GB2312" w:cs="仿宋_GB2312" w:eastAsia="仿宋_GB2312"/>
              </w:rPr>
              <w:t>6.安全保障措施。保证活动顺利进行的安全方案。方案完善、合理、可行，得6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详细的人员配置方案，人员岗位分工及职责明确、合理计15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具有良好的本地化服务能力，能够准确提供本地化服务。提供 7*24 小时售后， 如设备或系统发生故障，在10分钟内响应，2小时内到达现场解决问题，附本项目售后人员联系方式。（包括但不限于服务人员配备、响应时间、响应程度、解决问题能力、紧急故障处理预案等）进行综合评价。售后服务方案齐全合理、可操作性赋10 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展会进行前，供应商需对相应人员进行技术培训，在设备发生故障时的补救措施等方面有明确的承诺，承诺内容完善、合理、可行计8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供应商须确保项目能按时、按质完成，提供服务承诺；且有具体的技术服务保障措施、服务能力方案；方案完善、合理、可行计7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供应商提供（2022年8月至今）类似项目业绩，每提供 1 个得5分，最高得5分；业绩证明（以合同签订日期为准）的类似项目业绩，投标文件中至少提供合同关键页（合同首页、服务内容页及双方签字盖章页）复印件并加盖投标人公章。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1、评审基准价有效响应文件中的最后报价的最低报价为评审基准价。 2、供应商报价得分：报价得分=(评审基准价／最后报价)×10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