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版本号：【KRDL】K2-250910120251009001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秦岭物种全基因组数据管理平台采购项目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【KRDL】K2-2509101</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秦岭物种全基因组数据管理平台采购项目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【KRDL】K2-2509101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秦岭物种全基因组数据管理平台采购项目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本项目拟采购计算服务器6台、分布式存储服务器1台、智能服务器1台、机柜1台及相关配件以支持生物信息大数据的分析工作。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1、营业执照：供应商为向采购人提供相应货物的法人或其他组织；</w:t>
      </w:r>
    </w:p>
    <w:p>
      <w:pPr>
        <w:pStyle w:val="null3"/>
      </w:pPr>
      <w:r>
        <w:rPr>
          <w:rFonts w:ascii="仿宋_GB2312" w:hAnsi="仿宋_GB2312" w:cs="仿宋_GB2312" w:eastAsia="仿宋_GB2312"/>
        </w:rPr>
        <w:t>2、信誉要求：截止至响应文件递交截止时间之前，供应商未被“信用中国”网站列入失信被执行人、重大税收违法失信主体名单；未被列入“中国政府采购网（www.ccgp.gov.cn)”政府采购严重违法失信行为记录名单；</w:t>
      </w:r>
    </w:p>
    <w:p>
      <w:pPr>
        <w:pStyle w:val="null3"/>
      </w:pPr>
      <w:r>
        <w:rPr>
          <w:rFonts w:ascii="仿宋_GB2312" w:hAnsi="仿宋_GB2312" w:cs="仿宋_GB2312" w:eastAsia="仿宋_GB2312"/>
        </w:rPr>
        <w:t>3、财务状况报告：法人提供会计师事务所出具的完整的2024年度经第三方会计事务所审计过的财务报告，或响应截止时间前90天内基本账户银行出具的资信证明。注：①提供财务报告的，内容至少包括 审计报告、附注。②提供资信证明的，必须提供资信证明全部页以及基本户信息（提供 开户许可证或提供基本银行账户信息）。银行出具的存款证明不能代替资信证明，存款证明无效，并进行电子签章；</w:t>
      </w:r>
    </w:p>
    <w:p>
      <w:pPr>
        <w:pStyle w:val="null3"/>
      </w:pPr>
      <w:r>
        <w:rPr>
          <w:rFonts w:ascii="仿宋_GB2312" w:hAnsi="仿宋_GB2312" w:cs="仿宋_GB2312" w:eastAsia="仿宋_GB2312"/>
        </w:rPr>
        <w:t>4、税收缴纳证明：供应商截止日前6个月内至少一个月依法纳税的相关凭证(税种至少提供任意一种)。注：依法免税的应提供说明，无须缴纳税收的应提供说明以及6个月内的纳税凭证，零报税的提供申报成功的凭证；成立不足一个月的提供将依法纳税的承诺书（格式自拟）；时间以税款所属时段为准，并进行电子签章；</w:t>
      </w:r>
    </w:p>
    <w:p>
      <w:pPr>
        <w:pStyle w:val="null3"/>
      </w:pPr>
      <w:r>
        <w:rPr>
          <w:rFonts w:ascii="仿宋_GB2312" w:hAnsi="仿宋_GB2312" w:cs="仿宋_GB2312" w:eastAsia="仿宋_GB2312"/>
        </w:rPr>
        <w:t>5、社会保障资金缴纳证明：提供谈判截止日前6个月内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并进行电子签章；</w:t>
      </w:r>
    </w:p>
    <w:p>
      <w:pPr>
        <w:pStyle w:val="null3"/>
      </w:pPr>
      <w:r>
        <w:rPr>
          <w:rFonts w:ascii="仿宋_GB2312" w:hAnsi="仿宋_GB2312" w:cs="仿宋_GB2312" w:eastAsia="仿宋_GB2312"/>
        </w:rPr>
        <w:t>6、是否面向中小企业：本项目为非专门面向中小企业；</w:t>
      </w:r>
    </w:p>
    <w:p>
      <w:pPr>
        <w:pStyle w:val="null3"/>
      </w:pPr>
      <w:r>
        <w:rPr>
          <w:rFonts w:ascii="仿宋_GB2312" w:hAnsi="仿宋_GB2312" w:cs="仿宋_GB2312" w:eastAsia="仿宋_GB2312"/>
        </w:rPr>
        <w:t>7、法定代表人证明书及授权书：供应商应授权合法的人员参加本项目谈判会议全过程。法定代表人参加谈判会议的，应出具法定代表人证明书以及法定代表人合法有效的身份证，且应与营业执照上信息一致。法定代表人授权合法授权代表参加谈判会议的，应出具法定代表人证明书、法定代表人授权书及授权代表合法有效的身份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西安市太白北路229号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029-88302974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赵婉婷、刘昆、姚瑶、王昭、代光艳、张晨、王森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029-89581311、15667290283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采购包1保证金金额：4,002.00元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说明：中标供应商在与采购人签订合同前，须缴纳履约保证金。 转账银行：交通银行太白路支行 转账账号：西北大学611301015018001145006 说明：转账金额到账后，可持银行回执到西北大学国有资产管理处换取收据。 待合同执行完毕、项目验收合格后凭验收单和缴款收据，合同履约保证金予以退还。如遇下列情况之一者，合同履约保证金不予退还，作为对采购人的赔偿：（1）合同签订后不能按合同时限要求供货或安装调试；（2）所供货物不合格、与合同不符；（3）不能按合同履约；（4）货物验收不合格。</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代理服务费收费标准：确定成交供应商后3日内，由成交供应商参照国家计委颁发的《招标代理服务收费管理暂行办法》（计价格[2002]1980号）和国家发展 改革委员会办公厅颁发的《关于招标代理服务收费有关问题的通知》（发改办价格[2003] 857号）的有关规定下浮20%，向采购代理机构一次付清采购代理服务费。备注：在对采购代理服务费或者谈判保证金转账时需备注项目名称+采购代理服务费或投标保证金。</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西北大学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开瑞项目管理有限公司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根据竞争性谈判文件要求及合同约定执行。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联系人：赵婉婷、刘昆</w:t>
      </w:r>
    </w:p>
    <w:p>
      <w:pPr>
        <w:pStyle w:val="null3"/>
      </w:pPr>
      <w:r>
        <w:rPr>
          <w:rFonts w:ascii="仿宋_GB2312" w:hAnsi="仿宋_GB2312" w:cs="仿宋_GB2312" w:eastAsia="仿宋_GB2312"/>
        </w:rPr>
        <w:t>联系电话：029-89581311、15667290283</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本项目拟采购计算服务器6台、分布式存储服务器1台、智能服务器1台、机柜1台及相关配件以支持生物信息大数据的分析工作。</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秦岭物种全基因组数据管理平台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标的名称：秦岭物种全基因组数据管理平台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07"/>
              <w:gridCol w:w="216"/>
              <w:gridCol w:w="1732"/>
              <w:gridCol w:w="207"/>
              <w:gridCol w:w="191"/>
            </w:tblGrid>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序号</w:t>
                  </w:r>
                </w:p>
              </w:tc>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货物名称</w:t>
                  </w:r>
                </w:p>
              </w:tc>
              <w:tc>
                <w:tcPr>
                  <w:tcW w:type="dxa" w:w="17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技术参数</w:t>
                  </w:r>
                </w:p>
              </w:tc>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数量</w:t>
                  </w: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单位</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计算服务器</w:t>
                  </w:r>
                </w:p>
              </w:tc>
              <w:tc>
                <w:tcPr>
                  <w:tcW w:type="dxa" w:w="1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机型：机架式服务器</w:t>
                  </w:r>
                </w:p>
                <w:p>
                  <w:pPr>
                    <w:pStyle w:val="null3"/>
                    <w:jc w:val="both"/>
                  </w:pPr>
                  <w:r>
                    <w:rPr>
                      <w:rFonts w:ascii="仿宋_GB2312" w:hAnsi="仿宋_GB2312" w:cs="仿宋_GB2312" w:eastAsia="仿宋_GB2312"/>
                      <w:sz w:val="24"/>
                    </w:rPr>
                    <w:t>处理器：</w:t>
                  </w:r>
                  <w:r>
                    <w:rPr>
                      <w:rFonts w:ascii="仿宋_GB2312" w:hAnsi="仿宋_GB2312" w:cs="仿宋_GB2312" w:eastAsia="仿宋_GB2312"/>
                      <w:sz w:val="24"/>
                    </w:rPr>
                    <w:t>≥2颗，≥64核心处理器，主频≥2.25G，三级缓存≥192MB</w:t>
                  </w:r>
                </w:p>
                <w:p>
                  <w:pPr>
                    <w:pStyle w:val="null3"/>
                    <w:jc w:val="both"/>
                  </w:pPr>
                  <w:r>
                    <w:rPr>
                      <w:rFonts w:ascii="仿宋_GB2312" w:hAnsi="仿宋_GB2312" w:cs="仿宋_GB2312" w:eastAsia="仿宋_GB2312"/>
                      <w:sz w:val="24"/>
                    </w:rPr>
                    <w:t>硬盘：</w:t>
                  </w:r>
                  <w:r>
                    <w:rPr>
                      <w:rFonts w:ascii="仿宋_GB2312" w:hAnsi="仿宋_GB2312" w:cs="仿宋_GB2312" w:eastAsia="仿宋_GB2312"/>
                      <w:sz w:val="24"/>
                    </w:rPr>
                    <w:t>≥1块≥1.92TB U.2固态硬盘，最大支持≥24个≥2.5寸硬盘扩展</w:t>
                  </w:r>
                </w:p>
                <w:p>
                  <w:pPr>
                    <w:pStyle w:val="null3"/>
                    <w:jc w:val="both"/>
                  </w:pPr>
                  <w:r>
                    <w:rPr>
                      <w:rFonts w:ascii="仿宋_GB2312" w:hAnsi="仿宋_GB2312" w:cs="仿宋_GB2312" w:eastAsia="仿宋_GB2312"/>
                      <w:sz w:val="24"/>
                    </w:rPr>
                    <w:t>内存：</w:t>
                  </w:r>
                  <w:r>
                    <w:rPr>
                      <w:rFonts w:ascii="仿宋_GB2312" w:hAnsi="仿宋_GB2312" w:cs="仿宋_GB2312" w:eastAsia="仿宋_GB2312"/>
                      <w:sz w:val="24"/>
                    </w:rPr>
                    <w:t>≥384GB DDR4 ≥3200内存，最大支持≥32个内存插槽</w:t>
                  </w:r>
                </w:p>
                <w:p>
                  <w:pPr>
                    <w:pStyle w:val="null3"/>
                    <w:jc w:val="both"/>
                  </w:pPr>
                  <w:r>
                    <w:rPr>
                      <w:rFonts w:ascii="仿宋_GB2312" w:hAnsi="仿宋_GB2312" w:cs="仿宋_GB2312" w:eastAsia="仿宋_GB2312"/>
                      <w:sz w:val="24"/>
                    </w:rPr>
                    <w:t>网络：</w:t>
                  </w:r>
                  <w:r>
                    <w:rPr>
                      <w:rFonts w:ascii="仿宋_GB2312" w:hAnsi="仿宋_GB2312" w:cs="仿宋_GB2312" w:eastAsia="仿宋_GB2312"/>
                      <w:sz w:val="24"/>
                    </w:rPr>
                    <w:t>≥100Gb IB网口，支持RDMA通信</w:t>
                  </w:r>
                </w:p>
                <w:p>
                  <w:pPr>
                    <w:pStyle w:val="null3"/>
                    <w:jc w:val="both"/>
                  </w:pPr>
                  <w:r>
                    <w:rPr>
                      <w:rFonts w:ascii="仿宋_GB2312" w:hAnsi="仿宋_GB2312" w:cs="仿宋_GB2312" w:eastAsia="仿宋_GB2312"/>
                      <w:sz w:val="24"/>
                    </w:rPr>
                    <w:t>线缆：</w:t>
                  </w:r>
                  <w:r>
                    <w:rPr>
                      <w:rFonts w:ascii="仿宋_GB2312" w:hAnsi="仿宋_GB2312" w:cs="仿宋_GB2312" w:eastAsia="仿宋_GB2312"/>
                      <w:sz w:val="24"/>
                    </w:rPr>
                    <w:t>≥1根≥100Gb IB 线缆，长度根据实施需求进行配套</w:t>
                  </w:r>
                </w:p>
                <w:p>
                  <w:pPr>
                    <w:pStyle w:val="null3"/>
                    <w:jc w:val="both"/>
                  </w:pPr>
                  <w:r>
                    <w:rPr>
                      <w:rFonts w:ascii="仿宋_GB2312" w:hAnsi="仿宋_GB2312" w:cs="仿宋_GB2312" w:eastAsia="仿宋_GB2312"/>
                      <w:sz w:val="24"/>
                    </w:rPr>
                    <w:t>电源：配置冗余电源</w:t>
                  </w:r>
                </w:p>
                <w:p>
                  <w:pPr>
                    <w:pStyle w:val="null3"/>
                    <w:jc w:val="both"/>
                  </w:pPr>
                  <w:r>
                    <w:rPr>
                      <w:rFonts w:ascii="仿宋_GB2312" w:hAnsi="仿宋_GB2312" w:cs="仿宋_GB2312" w:eastAsia="仿宋_GB2312"/>
                      <w:sz w:val="24"/>
                    </w:rPr>
                    <w:t>软件：实现桌面登录和并行计算一体化功能，桌面支持</w:t>
                  </w:r>
                  <w:r>
                    <w:rPr>
                      <w:rFonts w:ascii="仿宋_GB2312" w:hAnsi="仿宋_GB2312" w:cs="仿宋_GB2312" w:eastAsia="仿宋_GB2312"/>
                      <w:sz w:val="24"/>
                    </w:rPr>
                    <w:t>4K视频流畅传输，能够按照用户账号进行单点登陆并进行权限区分，用户可根据个性化需求进行科研环境私有化配置，不依赖平台限制的开发环境，平台计算资源可以弹性管理和调度，可通过web登陆实现文件管理（如文件/文件夹上传、新建、移动、复制、删除等）及交互式应用（如VScode、Jupyter）等开发</w:t>
                  </w:r>
                </w:p>
                <w:p>
                  <w:pPr>
                    <w:pStyle w:val="null3"/>
                    <w:jc w:val="both"/>
                  </w:pPr>
                  <w:r>
                    <w:rPr>
                      <w:rFonts w:ascii="仿宋_GB2312" w:hAnsi="仿宋_GB2312" w:cs="仿宋_GB2312" w:eastAsia="仿宋_GB2312"/>
                      <w:sz w:val="24"/>
                    </w:rPr>
                    <w:t>兼容性保障：硬件配置可与原有计算管理平台形成同一个计算队列，并无缝兼容及统一管理</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分布式存储服务器</w:t>
                  </w:r>
                </w:p>
              </w:tc>
              <w:tc>
                <w:tcPr>
                  <w:tcW w:type="dxa" w:w="1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机型：机架式存储服务器</w:t>
                  </w:r>
                </w:p>
                <w:p>
                  <w:pPr>
                    <w:pStyle w:val="null3"/>
                    <w:jc w:val="both"/>
                  </w:pPr>
                  <w:r>
                    <w:rPr>
                      <w:rFonts w:ascii="仿宋_GB2312" w:hAnsi="仿宋_GB2312" w:cs="仿宋_GB2312" w:eastAsia="仿宋_GB2312"/>
                      <w:sz w:val="24"/>
                    </w:rPr>
                    <w:t>处理器：</w:t>
                  </w:r>
                  <w:r>
                    <w:rPr>
                      <w:rFonts w:ascii="仿宋_GB2312" w:hAnsi="仿宋_GB2312" w:cs="仿宋_GB2312" w:eastAsia="仿宋_GB2312"/>
                      <w:sz w:val="24"/>
                    </w:rPr>
                    <w:t>≥2颗多核处理器</w:t>
                  </w:r>
                </w:p>
                <w:p>
                  <w:pPr>
                    <w:pStyle w:val="null3"/>
                    <w:jc w:val="both"/>
                  </w:pPr>
                  <w:r>
                    <w:rPr>
                      <w:rFonts w:ascii="仿宋_GB2312" w:hAnsi="仿宋_GB2312" w:cs="仿宋_GB2312" w:eastAsia="仿宋_GB2312"/>
                      <w:sz w:val="24"/>
                    </w:rPr>
                    <w:t>硬盘：容量</w:t>
                  </w:r>
                  <w:r>
                    <w:rPr>
                      <w:rFonts w:ascii="仿宋_GB2312" w:hAnsi="仿宋_GB2312" w:cs="仿宋_GB2312" w:eastAsia="仿宋_GB2312"/>
                      <w:sz w:val="24"/>
                    </w:rPr>
                    <w:t>≥120TB，须配置跟容量匹配的固态盘作为缓存盘，实现读/写IO ≥500K IOPS</w:t>
                  </w:r>
                </w:p>
                <w:p>
                  <w:pPr>
                    <w:pStyle w:val="null3"/>
                    <w:jc w:val="both"/>
                  </w:pPr>
                  <w:r>
                    <w:rPr>
                      <w:rFonts w:ascii="仿宋_GB2312" w:hAnsi="仿宋_GB2312" w:cs="仿宋_GB2312" w:eastAsia="仿宋_GB2312"/>
                      <w:sz w:val="24"/>
                    </w:rPr>
                    <w:t>内存：</w:t>
                  </w:r>
                  <w:r>
                    <w:rPr>
                      <w:rFonts w:ascii="仿宋_GB2312" w:hAnsi="仿宋_GB2312" w:cs="仿宋_GB2312" w:eastAsia="仿宋_GB2312"/>
                      <w:sz w:val="24"/>
                    </w:rPr>
                    <w:t>≥64GB DDR4 ≥3200内存，支持≥16个内存扩展插槽</w:t>
                  </w:r>
                </w:p>
                <w:p>
                  <w:pPr>
                    <w:pStyle w:val="null3"/>
                    <w:jc w:val="both"/>
                  </w:pPr>
                  <w:r>
                    <w:rPr>
                      <w:rFonts w:ascii="仿宋_GB2312" w:hAnsi="仿宋_GB2312" w:cs="仿宋_GB2312" w:eastAsia="仿宋_GB2312"/>
                      <w:sz w:val="24"/>
                    </w:rPr>
                    <w:t>网络：</w:t>
                  </w:r>
                  <w:r>
                    <w:rPr>
                      <w:rFonts w:ascii="仿宋_GB2312" w:hAnsi="仿宋_GB2312" w:cs="仿宋_GB2312" w:eastAsia="仿宋_GB2312"/>
                      <w:sz w:val="24"/>
                    </w:rPr>
                    <w:t>≥3个≥100Gb IB网口，支持RDMA通信，≥2个25Gb以太网接口</w:t>
                  </w:r>
                </w:p>
                <w:p>
                  <w:pPr>
                    <w:pStyle w:val="null3"/>
                    <w:jc w:val="both"/>
                  </w:pPr>
                  <w:r>
                    <w:rPr>
                      <w:rFonts w:ascii="仿宋_GB2312" w:hAnsi="仿宋_GB2312" w:cs="仿宋_GB2312" w:eastAsia="仿宋_GB2312"/>
                      <w:sz w:val="24"/>
                    </w:rPr>
                    <w:t>线缆：</w:t>
                  </w:r>
                  <w:r>
                    <w:rPr>
                      <w:rFonts w:ascii="仿宋_GB2312" w:hAnsi="仿宋_GB2312" w:cs="仿宋_GB2312" w:eastAsia="仿宋_GB2312"/>
                      <w:sz w:val="24"/>
                    </w:rPr>
                    <w:t>≥3根≥100Gb IB 线缆，≥2根≥25G AOC线缆</w:t>
                  </w:r>
                </w:p>
                <w:p>
                  <w:pPr>
                    <w:pStyle w:val="null3"/>
                    <w:jc w:val="both"/>
                  </w:pPr>
                  <w:r>
                    <w:rPr>
                      <w:rFonts w:ascii="仿宋_GB2312" w:hAnsi="仿宋_GB2312" w:cs="仿宋_GB2312" w:eastAsia="仿宋_GB2312"/>
                      <w:sz w:val="24"/>
                    </w:rPr>
                    <w:t>软件功能：</w:t>
                  </w:r>
                  <w:r>
                    <w:rPr>
                      <w:rFonts w:ascii="仿宋_GB2312" w:hAnsi="仿宋_GB2312" w:cs="仿宋_GB2312" w:eastAsia="仿宋_GB2312"/>
                      <w:sz w:val="24"/>
                    </w:rPr>
                    <w:t>1）数据保护：≥4个硬盘故障数据不丢失；2）配额管理：可实现对不同用户的配额管理，配额容量空间可进行ACL权限管理；3）用户通过NAS挂载的方式在本地端访问数据，并且数据可以按照策略进行归档同步</w:t>
                  </w:r>
                </w:p>
                <w:p>
                  <w:pPr>
                    <w:pStyle w:val="null3"/>
                    <w:jc w:val="both"/>
                  </w:pPr>
                  <w:r>
                    <w:rPr>
                      <w:rFonts w:ascii="仿宋_GB2312" w:hAnsi="仿宋_GB2312" w:cs="仿宋_GB2312" w:eastAsia="仿宋_GB2312"/>
                      <w:sz w:val="24"/>
                    </w:rPr>
                    <w:t>电源：配置冗余电源</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智能服务器</w:t>
                  </w:r>
                </w:p>
              </w:tc>
              <w:tc>
                <w:tcPr>
                  <w:tcW w:type="dxa" w:w="1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机型：机架式服务器</w:t>
                  </w:r>
                </w:p>
                <w:p>
                  <w:pPr>
                    <w:pStyle w:val="null3"/>
                    <w:jc w:val="both"/>
                  </w:pPr>
                  <w:r>
                    <w:rPr>
                      <w:rFonts w:ascii="仿宋_GB2312" w:hAnsi="仿宋_GB2312" w:cs="仿宋_GB2312" w:eastAsia="仿宋_GB2312"/>
                      <w:sz w:val="24"/>
                    </w:rPr>
                    <w:t>处理器：多核处理器，主频</w:t>
                  </w:r>
                  <w:r>
                    <w:rPr>
                      <w:rFonts w:ascii="仿宋_GB2312" w:hAnsi="仿宋_GB2312" w:cs="仿宋_GB2312" w:eastAsia="仿宋_GB2312"/>
                      <w:sz w:val="24"/>
                    </w:rPr>
                    <w:t>≥2.8GHz</w:t>
                  </w:r>
                </w:p>
                <w:p>
                  <w:pPr>
                    <w:pStyle w:val="null3"/>
                    <w:jc w:val="both"/>
                  </w:pPr>
                  <w:r>
                    <w:rPr>
                      <w:rFonts w:ascii="仿宋_GB2312" w:hAnsi="仿宋_GB2312" w:cs="仿宋_GB2312" w:eastAsia="仿宋_GB2312"/>
                      <w:sz w:val="24"/>
                    </w:rPr>
                    <w:t>内存：</w:t>
                  </w:r>
                  <w:r>
                    <w:rPr>
                      <w:rFonts w:ascii="仿宋_GB2312" w:hAnsi="仿宋_GB2312" w:cs="仿宋_GB2312" w:eastAsia="仿宋_GB2312"/>
                      <w:sz w:val="24"/>
                    </w:rPr>
                    <w:t>≥32GB内存</w:t>
                  </w:r>
                </w:p>
                <w:p>
                  <w:pPr>
                    <w:pStyle w:val="null3"/>
                    <w:jc w:val="both"/>
                  </w:pPr>
                  <w:r>
                    <w:rPr>
                      <w:rFonts w:ascii="仿宋_GB2312" w:hAnsi="仿宋_GB2312" w:cs="仿宋_GB2312" w:eastAsia="仿宋_GB2312"/>
                      <w:sz w:val="24"/>
                    </w:rPr>
                    <w:t>硬盘：</w:t>
                  </w:r>
                  <w:r>
                    <w:rPr>
                      <w:rFonts w:ascii="仿宋_GB2312" w:hAnsi="仿宋_GB2312" w:cs="仿宋_GB2312" w:eastAsia="仿宋_GB2312"/>
                      <w:sz w:val="24"/>
                    </w:rPr>
                    <w:t>≥480GB SSD固态硬盘，支持≥2个硬盘扩展</w:t>
                  </w:r>
                </w:p>
                <w:p>
                  <w:pPr>
                    <w:pStyle w:val="null3"/>
                    <w:jc w:val="both"/>
                  </w:pPr>
                  <w:r>
                    <w:rPr>
                      <w:rFonts w:ascii="仿宋_GB2312" w:hAnsi="仿宋_GB2312" w:cs="仿宋_GB2312" w:eastAsia="仿宋_GB2312"/>
                      <w:sz w:val="24"/>
                    </w:rPr>
                    <w:t>网络：</w:t>
                  </w:r>
                  <w:r>
                    <w:rPr>
                      <w:rFonts w:ascii="仿宋_GB2312" w:hAnsi="仿宋_GB2312" w:cs="仿宋_GB2312" w:eastAsia="仿宋_GB2312"/>
                      <w:sz w:val="24"/>
                    </w:rPr>
                    <w:t>≥2个25Gb光口，≥2个千兆电口</w:t>
                  </w:r>
                </w:p>
                <w:p>
                  <w:pPr>
                    <w:pStyle w:val="null3"/>
                    <w:jc w:val="both"/>
                  </w:pPr>
                  <w:r>
                    <w:rPr>
                      <w:rFonts w:ascii="仿宋_GB2312" w:hAnsi="仿宋_GB2312" w:cs="仿宋_GB2312" w:eastAsia="仿宋_GB2312"/>
                      <w:sz w:val="24"/>
                    </w:rPr>
                    <w:t>软件功能：拥有智能</w:t>
                  </w:r>
                  <w:r>
                    <w:rPr>
                      <w:rFonts w:ascii="仿宋_GB2312" w:hAnsi="仿宋_GB2312" w:cs="仿宋_GB2312" w:eastAsia="仿宋_GB2312"/>
                      <w:sz w:val="24"/>
                    </w:rPr>
                    <w:t>DPI引擎，能识别七层应用协议，可还原业务流量视图，实现终端级的可视化流控。配合多线路接入、链路负载均衡，支持多WAN链路接入，融合DPI流量识别、行为审计、多种身份认证、安全防护与VPN接入等功能</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机柜</w:t>
                  </w:r>
                </w:p>
              </w:tc>
              <w:tc>
                <w:tcPr>
                  <w:tcW w:type="dxa" w:w="1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标准服务器机柜</w:t>
                  </w:r>
                  <w:r>
                    <w:rPr>
                      <w:rFonts w:ascii="仿宋_GB2312" w:hAnsi="仿宋_GB2312" w:cs="仿宋_GB2312" w:eastAsia="仿宋_GB2312"/>
                      <w:sz w:val="24"/>
                    </w:rPr>
                    <w:t>/宽*高*深约（600mm*2050mm*1100mm）/≥2个PDU</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bl>
          <w:p>
            <w:pPr>
              <w:pStyle w:val="null3"/>
              <w:jc w:val="both"/>
            </w:pPr>
            <w:r>
              <w:rPr>
                <w:rFonts w:ascii="仿宋_GB2312" w:hAnsi="仿宋_GB2312" w:cs="仿宋_GB2312" w:eastAsia="仿宋_GB2312"/>
                <w:sz w:val="24"/>
              </w:rPr>
              <w:t>备注：</w:t>
            </w:r>
            <w:r>
              <w:rPr>
                <w:rFonts w:ascii="仿宋_GB2312" w:hAnsi="仿宋_GB2312" w:cs="仿宋_GB2312" w:eastAsia="仿宋_GB2312"/>
                <w:sz w:val="24"/>
              </w:rPr>
              <w:t>1.以上所有技术指标必须满足要求没有负偏离，否则按无效文件处理。</w:t>
            </w:r>
          </w:p>
          <w:p>
            <w:pPr>
              <w:pStyle w:val="null3"/>
              <w:jc w:val="both"/>
            </w:pPr>
            <w:r>
              <w:rPr>
                <w:rFonts w:ascii="仿宋_GB2312" w:hAnsi="仿宋_GB2312" w:cs="仿宋_GB2312" w:eastAsia="仿宋_GB2312"/>
                <w:sz w:val="24"/>
              </w:rPr>
              <w:t>2.本项目核心产品为：计算服务器。</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自合同签订之日起30天内到货，7天内安装调试并交付使用。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西北大学太白校区生命科学学院指定地点。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合同生效后，乙方开具合同金额等额银行保函，甲方收到银行保函正本后预付合同货款，待货物到达指定地点、安装调试验收合格后，甲方退还银行保函正本</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（1）保修范围： 1）质保期内供应商负责提供设备的维修及部件更换，质保期自采购人终验合格之日起计算。质保期满之前，供应商需派遣专业工程师对设备进行全面维护及校准。质保期满后，供应商对其提供的设备提供终身的技术支援。以上要求所产生的费用由供应商承担。 2）设备到货后，供应商负责安装和调试。设备安装调试期间，由供应商工程师在现场为采购人操作人员进行培训，受培训人数不限，培训内容包括但不限于：设备原理、结构、操作、日常维护及保养等，保证采购人操作人员熟悉掌握设备相关知识。设备使用一段时间后，供应商按采购人要求组织工程师，提供不少于3天的高阶应用培训。不定期提供设备使用方面的技术咨询与支持。以上要求所产生的费用由供应商承担。 （2）质保期：3年质保服务及远程实时软件支持服务。</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依照采购方要求。</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财政部、国家发改委、生态环境部、市监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供应商应提交的相关资格证明材料.docx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供应商为向采购人提供相应货物的法人或其他组织；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截止至响应文件递交截止时间之前，供应商未被“信用中国”网站列入失信被执行人、重大税收违法失信主体名单；未被列入“中国政府采购网（www.ccgp.gov.cn)”政府采购严重违法失信行为记录名单；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法人提供会计师事务所出具的完整的2024年度经第三方会计事务所审计过的财务报告，或响应截止时间前90天内基本账户银行出具的资信证明。注：①提供财务报告的，内容至少包括 审计报告、附注。②提供资信证明的，必须提供资信证明全部页以及基本户信息（提供 开户许可证或提供基本银行账户信息）。银行出具的存款证明不能代替资信证明，存款证明无效，并进行电子签章；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截止日前6个月内至少一个月依法纳税的相关凭证(税种至少提供任意一种)。注：依法免税的应提供说明，无须缴纳税收的应提供说明以及6个月内的纳税凭证，零报税的提供申报成功的凭证；成立不足一个月的提供将依法纳税的承诺书（格式自拟）；时间以税款所属时段为准，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谈判截止日前6个月内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是否面向中小企业</w:t>
            </w:r>
          </w:p>
        </w:tc>
        <w:tc>
          <w:tcPr>
            <w:tcW w:type="dxa" w:w="3322"/>
          </w:tcPr>
          <w:p>
            <w:pPr>
              <w:pStyle w:val="null3"/>
            </w:pPr>
            <w:r>
              <w:rPr>
                <w:rFonts w:ascii="仿宋_GB2312" w:hAnsi="仿宋_GB2312" w:cs="仿宋_GB2312" w:eastAsia="仿宋_GB2312"/>
              </w:rPr>
              <w:t>本项目为非专门面向中小企业；</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法定代表人证明书及授权书</w:t>
            </w:r>
          </w:p>
        </w:tc>
        <w:tc>
          <w:tcPr>
            <w:tcW w:type="dxa" w:w="3322"/>
          </w:tcPr>
          <w:p>
            <w:pPr>
              <w:pStyle w:val="null3"/>
            </w:pPr>
            <w:r>
              <w:rPr>
                <w:rFonts w:ascii="仿宋_GB2312" w:hAnsi="仿宋_GB2312" w:cs="仿宋_GB2312" w:eastAsia="仿宋_GB2312"/>
              </w:rPr>
              <w:t>供应商应授权合法的人员参加本项目谈判会议全过程。法定代表人参加谈判会议的，应出具法定代表人证明书以及法定代表人合法有效的身份证，且应与营业执照上信息一致。法定代表人授权合法授权代表参加谈判会议的，应出具法定代表人证明书、法定代表人授权书及授权代表合法有效的身份证。</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报价须不超过谈判文件中规定的预算金额或者最高限价；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响应文件须按照招标文件要求签署、盖章；</w:t>
            </w:r>
          </w:p>
        </w:tc>
        <w:tc>
          <w:tcPr>
            <w:tcW w:type="dxa" w:w="1661"/>
          </w:tcPr>
          <w:p>
            <w:pPr>
              <w:pStyle w:val="null3"/>
            </w:pPr>
            <w:r>
              <w:rPr>
                <w:rFonts w:ascii="仿宋_GB2312" w:hAnsi="仿宋_GB2312" w:cs="仿宋_GB2312" w:eastAsia="仿宋_GB2312"/>
              </w:rPr>
              <w:t>响应文件封面 产品技术参数表 供应商应提交的相关资格证明材料.docx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响应文件封面 产品技术参数表 供应商应提交的相关资格证明材料.docx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技术、服务、商务及其他要求</w:t>
            </w:r>
          </w:p>
        </w:tc>
        <w:tc>
          <w:tcPr>
            <w:tcW w:type="dxa" w:w="3322"/>
          </w:tcPr>
          <w:p>
            <w:pPr>
              <w:pStyle w:val="null3"/>
            </w:pPr>
            <w:r>
              <w:rPr>
                <w:rFonts w:ascii="仿宋_GB2312" w:hAnsi="仿宋_GB2312" w:cs="仿宋_GB2312" w:eastAsia="仿宋_GB2312"/>
              </w:rPr>
              <w:t>须满足谈判文件第三章谈判项目技术、服务、商务及其他要求3.3技术要求全部内容。</w:t>
            </w:r>
          </w:p>
        </w:tc>
        <w:tc>
          <w:tcPr>
            <w:tcW w:type="dxa" w:w="1661"/>
          </w:tcPr>
          <w:p>
            <w:pPr>
              <w:pStyle w:val="null3"/>
            </w:pPr>
            <w:r>
              <w:rPr>
                <w:rFonts w:ascii="仿宋_GB2312" w:hAnsi="仿宋_GB2312" w:cs="仿宋_GB2312" w:eastAsia="仿宋_GB2312"/>
              </w:rPr>
              <w:t>响应文件封面 产品技术参数表 供应商应提交的相关资格证明材料.docx 中小企业声明函 残疾人福利性单位声明函 商务应答表 标的清单 报价表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详见附件：西北大学秦岭物种全基因组数据管理平台采购项目--合同.docx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