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版本号：THXZB2025-107120250930001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实时荧光定量PCR仪、智能全温型厌氧生物培养系统项目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THXZB2025-1071</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实时荧光定量PCR仪、智能全温型厌氧生物培养系统项目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实时荧光定量PCR仪、智能全温型厌氧生物培养系统项目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本项目拟采购1套实时荧光定量PCR仪和1套智能全温型厌氧生物培养系统，具体采购内容及要求详见公开采购文件。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pPr>
      <w:r>
        <w:rPr>
          <w:rFonts w:ascii="仿宋_GB2312" w:hAnsi="仿宋_GB2312" w:cs="仿宋_GB2312" w:eastAsia="仿宋_GB2312"/>
        </w:rPr>
        <w:t>9、进口产品要求：供应商所投产品为进口产品须提供产品制造厂商针对该产品完整授权链的授权书。供应商需在项目电子化交易系统中按要求上传相应证明文件并进行电子签章。国产产品不需要提供。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pPr>
      <w:r>
        <w:rPr>
          <w:rFonts w:ascii="仿宋_GB2312" w:hAnsi="仿宋_GB2312" w:cs="仿宋_GB2312" w:eastAsia="仿宋_GB2312"/>
        </w:rPr>
        <w:t>9、进口产品要求：供应商所投产品为进口产品须提供产品制造厂商针对该产品完整授权链的授权书。供应商需在项目电子化交易系统中按要求上传相应证明文件并进行电子签章。国产产品不需要提供。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本项目拟采购1套实时荧光定量PCR仪和1套智能全温型厌氧生物培养系统，具体采购内容及要求详见公开采购文件。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实时荧光定量PCR仪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智能全温型厌氧生物培养系统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标的名称：实时荧光定量PCR仪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267"/>
              <w:gridCol w:w="1616"/>
              <w:gridCol w:w="299"/>
              <w:gridCol w:w="169"/>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技术标准</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配置要求</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实时荧光定量</w:t>
                  </w:r>
                  <w:r>
                    <w:rPr>
                      <w:rFonts w:ascii="仿宋_GB2312" w:hAnsi="仿宋_GB2312" w:cs="仿宋_GB2312" w:eastAsia="仿宋_GB2312"/>
                      <w:sz w:val="21"/>
                    </w:rPr>
                    <w:t>PCR仪</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1、装机指标：可区分1000拷贝和2000拷贝模板浓度的差异；</w:t>
                  </w:r>
                </w:p>
                <w:p>
                  <w:pPr>
                    <w:pStyle w:val="null3"/>
                    <w:jc w:val="both"/>
                  </w:pPr>
                  <w:r>
                    <w:rPr>
                      <w:rFonts w:ascii="仿宋_GB2312" w:hAnsi="仿宋_GB2312" w:cs="仿宋_GB2312" w:eastAsia="仿宋_GB2312"/>
                      <w:sz w:val="21"/>
                    </w:rPr>
                    <w:t>2、反应时间：≥40个循环反应：≤40分钟 （384孔板标准检测），≥40个循环反应：≤60分钟 （96孔板标准检测）；</w:t>
                  </w:r>
                </w:p>
                <w:p>
                  <w:pPr>
                    <w:pStyle w:val="null3"/>
                    <w:jc w:val="both"/>
                  </w:pPr>
                  <w:r>
                    <w:rPr>
                      <w:rFonts w:ascii="仿宋_GB2312" w:hAnsi="仿宋_GB2312" w:cs="仿宋_GB2312" w:eastAsia="仿宋_GB2312"/>
                      <w:sz w:val="21"/>
                    </w:rPr>
                    <w:t>3、检测模式：HybProbe杂交探针、SimpleProbe单探针、染料模式、水解探针、分子信标、蝎型探针等；</w:t>
                  </w:r>
                </w:p>
                <w:p>
                  <w:pPr>
                    <w:pStyle w:val="null3"/>
                    <w:jc w:val="both"/>
                  </w:pPr>
                  <w:r>
                    <w:rPr>
                      <w:rFonts w:ascii="仿宋_GB2312" w:hAnsi="仿宋_GB2312" w:cs="仿宋_GB2312" w:eastAsia="仿宋_GB2312"/>
                      <w:sz w:val="21"/>
                    </w:rPr>
                    <w:t>4、线性范围：1-10</w:t>
                  </w:r>
                  <w:r>
                    <w:rPr>
                      <w:rFonts w:ascii="仿宋_GB2312" w:hAnsi="仿宋_GB2312" w:cs="仿宋_GB2312" w:eastAsia="仿宋_GB2312"/>
                      <w:sz w:val="21"/>
                      <w:vertAlign w:val="superscript"/>
                    </w:rPr>
                    <w:t>10</w:t>
                  </w:r>
                  <w:r>
                    <w:rPr>
                      <w:rFonts w:ascii="仿宋_GB2312" w:hAnsi="仿宋_GB2312" w:cs="仿宋_GB2312" w:eastAsia="仿宋_GB2312"/>
                      <w:sz w:val="21"/>
                    </w:rPr>
                    <w:t>个拷贝；</w:t>
                  </w:r>
                </w:p>
                <w:p>
                  <w:pPr>
                    <w:pStyle w:val="null3"/>
                    <w:jc w:val="both"/>
                  </w:pPr>
                  <w:r>
                    <w:rPr>
                      <w:rFonts w:ascii="仿宋_GB2312" w:hAnsi="仿宋_GB2312" w:cs="仿宋_GB2312" w:eastAsia="仿宋_GB2312"/>
                      <w:sz w:val="21"/>
                    </w:rPr>
                    <w:t>5、检测灵敏度：可检测单拷贝基因；</w:t>
                  </w:r>
                </w:p>
                <w:p>
                  <w:pPr>
                    <w:pStyle w:val="null3"/>
                    <w:jc w:val="both"/>
                  </w:pPr>
                  <w:r>
                    <w:rPr>
                      <w:rFonts w:ascii="仿宋_GB2312" w:hAnsi="仿宋_GB2312" w:cs="仿宋_GB2312" w:eastAsia="仿宋_GB2312"/>
                      <w:sz w:val="21"/>
                    </w:rPr>
                    <w:t>6、模块规格：一台仪器支持96孔模块与384孔模块两种规格；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7、模块互换：96孔模块与384孔模块可自行更换，更换后无需校准；</w:t>
                  </w:r>
                </w:p>
                <w:p>
                  <w:pPr>
                    <w:pStyle w:val="null3"/>
                    <w:jc w:val="both"/>
                  </w:pPr>
                  <w:r>
                    <w:rPr>
                      <w:rFonts w:ascii="仿宋_GB2312" w:hAnsi="仿宋_GB2312" w:cs="仿宋_GB2312" w:eastAsia="仿宋_GB2312"/>
                      <w:sz w:val="21"/>
                    </w:rPr>
                    <w:t>8、校正：无需ROX等被动染料校正；内置颜色补偿；</w:t>
                  </w:r>
                </w:p>
                <w:p>
                  <w:pPr>
                    <w:pStyle w:val="null3"/>
                    <w:jc w:val="both"/>
                  </w:pPr>
                  <w:r>
                    <w:rPr>
                      <w:rFonts w:ascii="仿宋_GB2312" w:hAnsi="仿宋_GB2312" w:cs="仿宋_GB2312" w:eastAsia="仿宋_GB2312"/>
                      <w:sz w:val="21"/>
                    </w:rPr>
                    <w:t>9、模块设计：所有样本对应的温控模块一体化成型；</w:t>
                  </w:r>
                </w:p>
                <w:p>
                  <w:pPr>
                    <w:pStyle w:val="null3"/>
                    <w:jc w:val="both"/>
                  </w:pPr>
                  <w:r>
                    <w:rPr>
                      <w:rFonts w:ascii="仿宋_GB2312" w:hAnsi="仿宋_GB2312" w:cs="仿宋_GB2312" w:eastAsia="仿宋_GB2312"/>
                      <w:sz w:val="21"/>
                    </w:rPr>
                    <w:t>10、冷却系统：采用液冷系统，并在冷却板内部形成均匀的温度分布；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11、温度均一性：≤±0.10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12、平均温控速率：≥6.5℃/s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13、温度准确性：≤±0.10 ℃</w:t>
                  </w:r>
                </w:p>
                <w:p>
                  <w:pPr>
                    <w:pStyle w:val="null3"/>
                    <w:jc w:val="both"/>
                  </w:pPr>
                  <w:r>
                    <w:rPr>
                      <w:rFonts w:ascii="仿宋_GB2312" w:hAnsi="仿宋_GB2312" w:cs="仿宋_GB2312" w:eastAsia="仿宋_GB2312"/>
                      <w:sz w:val="21"/>
                    </w:rPr>
                    <w:t>14、光学系统：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1）光源：高强度白色LED光源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2）检测通道数：≥6通道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3）激发滤光片波长范围：432-687 nm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4）检测系统：CMOS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5）支持所有样本同时检测：所有样本同时激发并采集数据，孔间无时间差；多棱镜加长光路有效消除光学边缘效应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6）光路设计：激发滤光片与检测滤光片可自由组合，提供≥20种不同的组合的检测模式；全固定光路设计，无移动机械部件；激发光源与检测系统在工作中无需移动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超微量检测模块：最小样本量：</w:t>
                  </w:r>
                  <w:r>
                    <w:rPr>
                      <w:rFonts w:ascii="仿宋_GB2312" w:hAnsi="仿宋_GB2312" w:cs="仿宋_GB2312" w:eastAsia="仿宋_GB2312"/>
                      <w:sz w:val="21"/>
                    </w:rPr>
                    <w:t>0-2μl的微量样品即可进行纯度与浓度测量，样品可回收。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.1光程：至少包括1mm、0.5mm、0.1mm、0.05mm、0.02mm且可自动切换，波长范围：≥185-910nm，波长精度：≤1 nm，波长分辨率：≤3nm（FWHM at Hg 546nm）。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.2核酸检测范围：0-38800ng/ul(dsDNA) ，蛋白检测范围：0.06-1100mg/ml(BSA)，吸光度精准度：≤0.002Abs（1mm 光程），吸光度准确度：≤1%（7.332 Abs at 260nm），吸光度范围：0-780A (等效10mm光程)，比色皿模式(OD600测量)：0-4A，</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检测器：</w:t>
                  </w:r>
                  <w:r>
                    <w:rPr>
                      <w:rFonts w:ascii="仿宋_GB2312" w:hAnsi="仿宋_GB2312" w:cs="仿宋_GB2312" w:eastAsia="仿宋_GB2312"/>
                      <w:sz w:val="21"/>
                    </w:rPr>
                    <w:t>3648像素线性CCD阵列，仪器内置传感器，在检测前对样品形成的液柱进行探测。多种检测模式：核酸检测（A260），蛋白检测（A280），比色法，全波长扫描，OD600（菌体细胞密度）测量时间：≤5 秒，带荧光检测：激发波长460nm,发射波长525nm。</w:t>
                  </w:r>
                </w:p>
                <w:p>
                  <w:pPr>
                    <w:pStyle w:val="null3"/>
                    <w:jc w:val="both"/>
                  </w:pPr>
                  <w:r>
                    <w:rPr>
                      <w:rFonts w:ascii="仿宋_GB2312" w:hAnsi="仿宋_GB2312" w:cs="仿宋_GB2312" w:eastAsia="仿宋_GB2312"/>
                      <w:sz w:val="21"/>
                    </w:rPr>
                    <w:t>16基于荧光定量 PCR 的高分辨蛋白溶解曲线分析，分辨率：≤ 0.02°C。</w:t>
                  </w:r>
                </w:p>
                <w:p>
                  <w:pPr>
                    <w:pStyle w:val="null3"/>
                    <w:jc w:val="both"/>
                  </w:pPr>
                  <w:r>
                    <w:rPr>
                      <w:rFonts w:ascii="仿宋_GB2312" w:hAnsi="仿宋_GB2312" w:cs="仿宋_GB2312" w:eastAsia="仿宋_GB2312"/>
                      <w:sz w:val="21"/>
                    </w:rPr>
                    <w:t>17、软件：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1）具有定性定量（绝对定量、相对定量）、自动报告熔解温度、自动报告基因分型结果等功能，配套的运行和结果分析软件，能够针对观察到的扩增情况随时增加循环数目，实时动态监测，扩增和检测同时进行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2）具备颜色补偿功能：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3）标配软件提供符合FDA 21 CFR Part 11法规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4）数据导出：PDF, CSV, JSON, LCRU, LCRD, LCAP, LCPS, PNG, XML</w:t>
                  </w:r>
                </w:p>
                <w:p>
                  <w:pPr>
                    <w:pStyle w:val="null3"/>
                    <w:jc w:val="both"/>
                  </w:pPr>
                  <w:r>
                    <w:rPr>
                      <w:rFonts w:ascii="仿宋_GB2312" w:hAnsi="仿宋_GB2312" w:cs="仿宋_GB2312" w:eastAsia="仿宋_GB2312"/>
                      <w:sz w:val="21"/>
                    </w:rPr>
                    <w:t>18、试剂耗材开放：各种科研和临床试剂适用，可使用单管、八联管、96孔板等</w:t>
                  </w:r>
                </w:p>
                <w:p>
                  <w:pPr>
                    <w:pStyle w:val="null3"/>
                    <w:jc w:val="both"/>
                  </w:pPr>
                  <w:r>
                    <w:rPr>
                      <w:rFonts w:ascii="仿宋_GB2312" w:hAnsi="仿宋_GB2312" w:cs="仿宋_GB2312" w:eastAsia="仿宋_GB2312"/>
                      <w:sz w:val="21"/>
                    </w:rPr>
                    <w:t>19支持的荧光染料种类：包括但不限于Atto 425, R6G, JA 270, Atto 647, FAM™, SYBR®, VIC®, JOE™, HEX™, Texas Red®, LC Cyan 500, ResoLight, Cy5, LC Red610, ROX,  LC Red640, Cy5.5, LC Red670, LC Red690等，可兼容多重荧光PCR检测，如多重病原体检测试剂盒；</w:t>
                  </w:r>
                </w:p>
                <w:p>
                  <w:pPr>
                    <w:pStyle w:val="null3"/>
                    <w:jc w:val="both"/>
                  </w:pPr>
                  <w:r>
                    <w:rPr>
                      <w:rFonts w:ascii="仿宋_GB2312" w:hAnsi="仿宋_GB2312" w:cs="仿宋_GB2312" w:eastAsia="仿宋_GB2312"/>
                      <w:sz w:val="21"/>
                    </w:rPr>
                    <w:t>20、质控试剂盒：提供多种阳性质控试剂盒、阴性质控试剂盒、内质控试剂盒、提取质控试剂盒、过程质控试剂盒等</w:t>
                  </w:r>
                </w:p>
                <w:p>
                  <w:pPr>
                    <w:pStyle w:val="null3"/>
                    <w:jc w:val="both"/>
                  </w:pPr>
                  <w:r>
                    <w:rPr>
                      <w:rFonts w:ascii="仿宋_GB2312" w:hAnsi="仿宋_GB2312" w:cs="仿宋_GB2312" w:eastAsia="仿宋_GB2312"/>
                      <w:sz w:val="21"/>
                    </w:rPr>
                    <w:t>21、可提供七重荧光PCR检测试剂盒，用于染色法和探针法定量、基因分型，以及多种病毒、真菌、细菌、寄生虫和肿瘤/血液疾病相关基因位点的检测试剂，检测疾病种类包括：呼吸道疾病、胃肠道疾病、超级细菌检测、新生儿疾病检测等。</w:t>
                  </w:r>
                </w:p>
                <w:p>
                  <w:pPr>
                    <w:pStyle w:val="null3"/>
                    <w:jc w:val="both"/>
                  </w:pPr>
                  <w:r>
                    <w:rPr>
                      <w:rFonts w:ascii="仿宋_GB2312" w:hAnsi="仿宋_GB2312" w:cs="仿宋_GB2312" w:eastAsia="仿宋_GB2312"/>
                      <w:sz w:val="21"/>
                    </w:rPr>
                    <w:t>22．1、控制系统：仪器内置，intel core i5；操作界面：配备＞38厘米触摸屏，可直接操控主机，完成PCR运行程序设定、多孔板样本编辑 、反应运行和监控、结果访问及管理、用户权限管理等功能；可通过平板及手机进行远程连接。</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.2</w:t>
                  </w:r>
                  <w:r>
                    <w:rPr>
                      <w:rFonts w:ascii="仿宋_GB2312" w:hAnsi="仿宋_GB2312" w:cs="仿宋_GB2312" w:eastAsia="仿宋_GB2312"/>
                      <w:sz w:val="21"/>
                    </w:rPr>
                    <w:t>、数据处理工作站台：配置不低于</w:t>
                  </w:r>
                  <w:r>
                    <w:rPr>
                      <w:rFonts w:ascii="仿宋_GB2312" w:hAnsi="仿宋_GB2312" w:cs="仿宋_GB2312" w:eastAsia="仿宋_GB2312"/>
                      <w:sz w:val="21"/>
                    </w:rPr>
                    <w:t>I5</w:t>
                  </w:r>
                  <w:r>
                    <w:rPr>
                      <w:rFonts w:ascii="仿宋_GB2312" w:hAnsi="仿宋_GB2312" w:cs="仿宋_GB2312" w:eastAsia="仿宋_GB2312"/>
                      <w:sz w:val="21"/>
                    </w:rPr>
                    <w:t xml:space="preserve"> 12</w:t>
                  </w:r>
                  <w:r>
                    <w:rPr>
                      <w:rFonts w:ascii="仿宋_GB2312" w:hAnsi="仿宋_GB2312" w:cs="仿宋_GB2312" w:eastAsia="仿宋_GB2312"/>
                      <w:sz w:val="21"/>
                    </w:rPr>
                    <w:t>代处理器、内存</w:t>
                  </w:r>
                  <w:r>
                    <w:rPr>
                      <w:rFonts w:ascii="仿宋_GB2312" w:hAnsi="仿宋_GB2312" w:cs="仿宋_GB2312" w:eastAsia="仿宋_GB2312"/>
                      <w:sz w:val="21"/>
                    </w:rPr>
                    <w:t>≥16G，固态硬盘≥1T、液晶显示器≥23寸。</w:t>
                  </w:r>
                </w:p>
                <w:p>
                  <w:pPr>
                    <w:pStyle w:val="null3"/>
                    <w:jc w:val="both"/>
                  </w:pPr>
                  <w:r>
                    <w:rPr>
                      <w:rFonts w:ascii="仿宋_GB2312" w:hAnsi="仿宋_GB2312" w:cs="仿宋_GB2312" w:eastAsia="仿宋_GB2312"/>
                      <w:sz w:val="21"/>
                    </w:rPr>
                    <w:t>23、输出终端：幅面A4、打印速度≥25页/分钟、分辨率≥1200×600可复印扫描。</w:t>
                  </w:r>
                </w:p>
                <w:p>
                  <w:pPr>
                    <w:pStyle w:val="null3"/>
                    <w:jc w:val="both"/>
                  </w:pPr>
                  <w:r>
                    <w:rPr>
                      <w:rFonts w:ascii="仿宋_GB2312" w:hAnsi="仿宋_GB2312" w:cs="仿宋_GB2312" w:eastAsia="仿宋_GB2312"/>
                      <w:sz w:val="21"/>
                    </w:rPr>
                    <w:t>24、仪器终身免校准，提供原厂证明文件。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2、96孔模块1个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384孔模块1个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数据处理工作站</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打印机</w:t>
                  </w:r>
                  <w:r>
                    <w:rPr>
                      <w:rFonts w:ascii="仿宋_GB2312" w:hAnsi="仿宋_GB2312" w:cs="仿宋_GB2312" w:eastAsia="仿宋_GB2312"/>
                      <w:sz w:val="21"/>
                    </w:rPr>
                    <w:t>1台</w:t>
                  </w:r>
                </w:p>
                <w:p>
                  <w:pPr>
                    <w:pStyle w:val="null3"/>
                    <w:jc w:val="center"/>
                  </w:p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标的名称：智能全温型厌氧生物培养系统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278"/>
              <w:gridCol w:w="1472"/>
              <w:gridCol w:w="420"/>
              <w:gridCol w:w="187"/>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产品名称</w:t>
                  </w:r>
                </w:p>
              </w:tc>
              <w:tc>
                <w:tcPr>
                  <w:tcW w:type="dxa" w:w="1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技术标准</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配置要求</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智能全温型厌氧生物培养系统</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内腔配备强制对流循环；</w:t>
                  </w:r>
                </w:p>
                <w:p>
                  <w:pPr>
                    <w:pStyle w:val="null3"/>
                    <w:jc w:val="both"/>
                  </w:pPr>
                  <w:r>
                    <w:rPr>
                      <w:rFonts w:ascii="仿宋_GB2312" w:hAnsi="仿宋_GB2312" w:cs="仿宋_GB2312" w:eastAsia="仿宋_GB2312"/>
                      <w:sz w:val="21"/>
                    </w:rPr>
                    <w:t>2. 双重工作模式，既可进行厌氧培养，又可进行微需氧培养；</w:t>
                  </w:r>
                </w:p>
                <w:p>
                  <w:pPr>
                    <w:pStyle w:val="null3"/>
                    <w:jc w:val="both"/>
                  </w:pPr>
                  <w:r>
                    <w:rPr>
                      <w:rFonts w:ascii="仿宋_GB2312" w:hAnsi="仿宋_GB2312" w:cs="仿宋_GB2312" w:eastAsia="仿宋_GB2312"/>
                      <w:sz w:val="21"/>
                    </w:rPr>
                    <w:t>3. ★材质：至少具有二面透明可视窗口，可支持酒精消毒和过氧化氢熏蒸消毒以及紫外线辐照消毒（提供第三方证明材料）；</w:t>
                  </w:r>
                </w:p>
                <w:p>
                  <w:pPr>
                    <w:pStyle w:val="null3"/>
                    <w:jc w:val="both"/>
                  </w:pPr>
                  <w:r>
                    <w:rPr>
                      <w:rFonts w:ascii="仿宋_GB2312" w:hAnsi="仿宋_GB2312" w:cs="仿宋_GB2312" w:eastAsia="仿宋_GB2312"/>
                      <w:sz w:val="21"/>
                    </w:rPr>
                    <w:t>4. 工作腔有效培养体积：≥500 L：可放置≥500只培养皿；</w:t>
                  </w:r>
                </w:p>
                <w:p>
                  <w:pPr>
                    <w:pStyle w:val="null3"/>
                    <w:jc w:val="both"/>
                  </w:pPr>
                  <w:r>
                    <w:rPr>
                      <w:rFonts w:ascii="仿宋_GB2312" w:hAnsi="仿宋_GB2312" w:cs="仿宋_GB2312" w:eastAsia="仿宋_GB2312"/>
                      <w:sz w:val="21"/>
                    </w:rPr>
                    <w:t>5. ▲可卸式前面板，可进行大型仪器设备进出内腔和内腔全腔清洁；</w:t>
                  </w:r>
                </w:p>
                <w:p>
                  <w:pPr>
                    <w:pStyle w:val="null3"/>
                    <w:jc w:val="both"/>
                  </w:pPr>
                  <w:r>
                    <w:rPr>
                      <w:rFonts w:ascii="仿宋_GB2312" w:hAnsi="仿宋_GB2312" w:cs="仿宋_GB2312" w:eastAsia="仿宋_GB2312"/>
                      <w:sz w:val="21"/>
                    </w:rPr>
                    <w:t>6. 气体供应：双气运行，1瓶高纯氮气和1瓶混合气体。厌氧状态时，混合气体比例至少满足10%H2+5%CO2+85%N2；微需氧状态时，混合气体比例至少满足5%O2+5%CO2+90%N2;</w:t>
                  </w:r>
                </w:p>
                <w:p>
                  <w:pPr>
                    <w:pStyle w:val="null3"/>
                    <w:jc w:val="both"/>
                  </w:pPr>
                  <w:r>
                    <w:rPr>
                      <w:rFonts w:ascii="仿宋_GB2312" w:hAnsi="仿宋_GB2312" w:cs="仿宋_GB2312" w:eastAsia="仿宋_GB2312"/>
                      <w:sz w:val="21"/>
                    </w:rPr>
                    <w:t>7. ▲样品传输舱：具有独立样品传输舱，一次可快速转移≥60只培养皿，有单皿通道；</w:t>
                  </w:r>
                </w:p>
                <w:p>
                  <w:pPr>
                    <w:pStyle w:val="null3"/>
                    <w:jc w:val="both"/>
                  </w:pPr>
                  <w:r>
                    <w:rPr>
                      <w:rFonts w:ascii="仿宋_GB2312" w:hAnsi="仿宋_GB2312" w:cs="仿宋_GB2312" w:eastAsia="仿宋_GB2312"/>
                      <w:sz w:val="21"/>
                    </w:rPr>
                    <w:t>8. ★样品转移方式：内置独立催化剂，采用化学催化除氧，无需配备真空泵；</w:t>
                  </w:r>
                </w:p>
                <w:p>
                  <w:pPr>
                    <w:pStyle w:val="null3"/>
                    <w:jc w:val="both"/>
                  </w:pPr>
                  <w:r>
                    <w:rPr>
                      <w:rFonts w:ascii="仿宋_GB2312" w:hAnsi="仿宋_GB2312" w:cs="仿宋_GB2312" w:eastAsia="仿宋_GB2312"/>
                      <w:sz w:val="21"/>
                    </w:rPr>
                    <w:t>9. 箱体内部正压设计；</w:t>
                  </w:r>
                </w:p>
                <w:p>
                  <w:pPr>
                    <w:pStyle w:val="null3"/>
                    <w:jc w:val="both"/>
                  </w:pPr>
                  <w:r>
                    <w:rPr>
                      <w:rFonts w:ascii="仿宋_GB2312" w:hAnsi="仿宋_GB2312" w:cs="仿宋_GB2312" w:eastAsia="仿宋_GB2312"/>
                      <w:sz w:val="21"/>
                    </w:rPr>
                    <w:t>10. 裸手操作，双手可直进直出；</w:t>
                  </w:r>
                </w:p>
                <w:p>
                  <w:pPr>
                    <w:pStyle w:val="null3"/>
                    <w:jc w:val="both"/>
                  </w:pPr>
                  <w:r>
                    <w:rPr>
                      <w:rFonts w:ascii="仿宋_GB2312" w:hAnsi="仿宋_GB2312" w:cs="仿宋_GB2312" w:eastAsia="仿宋_GB2312"/>
                      <w:sz w:val="21"/>
                    </w:rPr>
                    <w:t>11. 厌氧指示：配备便携式氧浓度检测系统，检测范围0-30%，检测精度≤0.1%，并且配备厌氧监控泵系统；</w:t>
                  </w:r>
                </w:p>
                <w:p>
                  <w:pPr>
                    <w:pStyle w:val="null3"/>
                    <w:jc w:val="both"/>
                  </w:pPr>
                  <w:r>
                    <w:rPr>
                      <w:rFonts w:ascii="仿宋_GB2312" w:hAnsi="仿宋_GB2312" w:cs="仿宋_GB2312" w:eastAsia="仿宋_GB2312"/>
                      <w:sz w:val="21"/>
                    </w:rPr>
                    <w:t>12. 温度控制：温度范围室温+4~48℃，温度精度≤±0.1℃，温度均一性≤± 0.5℃；</w:t>
                  </w:r>
                </w:p>
                <w:p>
                  <w:pPr>
                    <w:pStyle w:val="null3"/>
                    <w:jc w:val="both"/>
                  </w:pPr>
                  <w:r>
                    <w:rPr>
                      <w:rFonts w:ascii="仿宋_GB2312" w:hAnsi="仿宋_GB2312" w:cs="仿宋_GB2312" w:eastAsia="仿宋_GB2312"/>
                      <w:sz w:val="21"/>
                    </w:rPr>
                    <w:t>13. 湿度控制：冷凝除湿，湿度自动控制；</w:t>
                  </w:r>
                </w:p>
                <w:p>
                  <w:pPr>
                    <w:pStyle w:val="null3"/>
                    <w:jc w:val="both"/>
                  </w:pPr>
                  <w:r>
                    <w:rPr>
                      <w:rFonts w:ascii="仿宋_GB2312" w:hAnsi="仿宋_GB2312" w:cs="仿宋_GB2312" w:eastAsia="仿宋_GB2312"/>
                      <w:sz w:val="21"/>
                    </w:rPr>
                    <w:t>14. 有自动脱毒系统，实时快速去除厌氧培养过程产生的不饱和脂肪酸和H2S气体；</w:t>
                  </w:r>
                </w:p>
                <w:p>
                  <w:pPr>
                    <w:pStyle w:val="null3"/>
                    <w:jc w:val="both"/>
                  </w:pPr>
                  <w:r>
                    <w:rPr>
                      <w:rFonts w:ascii="仿宋_GB2312" w:hAnsi="仿宋_GB2312" w:cs="仿宋_GB2312" w:eastAsia="仿宋_GB2312"/>
                      <w:sz w:val="21"/>
                    </w:rPr>
                    <w:t>15. 催化剂模块：采用高效Pd催化剂，寿命3.5万小时以上；</w:t>
                  </w:r>
                </w:p>
                <w:p>
                  <w:pPr>
                    <w:pStyle w:val="null3"/>
                    <w:jc w:val="both"/>
                  </w:pPr>
                  <w:r>
                    <w:rPr>
                      <w:rFonts w:ascii="仿宋_GB2312" w:hAnsi="仿宋_GB2312" w:cs="仿宋_GB2312" w:eastAsia="仿宋_GB2312"/>
                      <w:sz w:val="21"/>
                    </w:rPr>
                    <w:t>16. 标配泄漏报警系统，防止含氢混合气体连续泄漏，并在泄漏状态下自动切断供气；</w:t>
                  </w:r>
                </w:p>
                <w:p>
                  <w:pPr>
                    <w:pStyle w:val="null3"/>
                    <w:jc w:val="both"/>
                  </w:pPr>
                  <w:r>
                    <w:rPr>
                      <w:rFonts w:ascii="仿宋_GB2312" w:hAnsi="仿宋_GB2312" w:cs="仿宋_GB2312" w:eastAsia="仿宋_GB2312"/>
                      <w:sz w:val="21"/>
                    </w:rPr>
                    <w:t>17. 内腔配备≥2个内嵌式防溅电源插头；</w:t>
                  </w:r>
                </w:p>
                <w:p>
                  <w:pPr>
                    <w:pStyle w:val="null3"/>
                    <w:jc w:val="both"/>
                  </w:pPr>
                  <w:r>
                    <w:rPr>
                      <w:rFonts w:ascii="仿宋_GB2312" w:hAnsi="仿宋_GB2312" w:cs="仿宋_GB2312" w:eastAsia="仿宋_GB2312"/>
                      <w:sz w:val="21"/>
                    </w:rPr>
                    <w:t>18. 具备自检报警功能（低压、漏气、气流异常、漏电保护）；</w:t>
                  </w:r>
                </w:p>
                <w:p>
                  <w:pPr>
                    <w:pStyle w:val="null3"/>
                    <w:jc w:val="both"/>
                  </w:pPr>
                  <w:r>
                    <w:rPr>
                      <w:rFonts w:ascii="仿宋_GB2312" w:hAnsi="仿宋_GB2312" w:cs="仿宋_GB2312" w:eastAsia="仿宋_GB2312"/>
                      <w:sz w:val="21"/>
                    </w:rPr>
                    <w:t>19. 内置自动AI菌落计数模块：不低于4K工业级高清CMOS相机，全彩分辨率：2000万像素或以上；具有电脑软件控制的电动仓门，全皿计数，具有抑菌圈测试功能；</w:t>
                  </w:r>
                </w:p>
                <w:p>
                  <w:pPr>
                    <w:pStyle w:val="null3"/>
                    <w:jc w:val="both"/>
                  </w:pPr>
                  <w:r>
                    <w:rPr>
                      <w:rFonts w:ascii="仿宋_GB2312" w:hAnsi="仿宋_GB2312" w:cs="仿宋_GB2312" w:eastAsia="仿宋_GB2312"/>
                      <w:sz w:val="21"/>
                    </w:rPr>
                    <w:t>20. 内腔厌氧水平：≤5 ppm；</w:t>
                  </w:r>
                </w:p>
                <w:p>
                  <w:pPr>
                    <w:pStyle w:val="null3"/>
                    <w:jc w:val="both"/>
                  </w:p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厌氧工作站</w:t>
                  </w:r>
                  <w:r>
                    <w:rPr>
                      <w:rFonts w:ascii="仿宋_GB2312" w:hAnsi="仿宋_GB2312" w:cs="仿宋_GB2312" w:eastAsia="仿宋_GB2312"/>
                      <w:sz w:val="21"/>
                    </w:rPr>
                    <w:t>×1，全自动菌落计数仪×1，氧气探头×1，长袖套×2，刚性袖口×2，手腕袖口×2，O型圈（手腕袖口用）×4，O型圈（长袖套用）×2，备份手腕袖口×2，化学指示剂A 和B×1，10皿培养皿架×4，40皿培养皿支架×2，主腔催化剂袋×1，传输舱催化剂袋×1，保护剂袋×1，滑石粉（袖套用）×1，袖口密封塞×2，ANO2 泵×1，指示剂瓶×1，排水瓶×1，单皿通道推杆×1，传输舱托盘×1，电源线×1，中、英文操作手册×1等。</w:t>
                  </w:r>
                </w:p>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交货期：合同签订之日起60日历天内完成交付、安装及调试。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交货期：合同签订之日起90日历天内完成交付、安装及调试。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西安工程大学临潼校区环境与化学工程学院8号楼512</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西安工程大学临潼校区环境与化学工程学院8号楼514</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付款方式：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付款方式：：合同生效后，由采购人通过指定的进口业务代理公司向中标人开出全额信用证（100%信用证），信用证100%凭学校出具的正式验收报告后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付款方式：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付款方式：：合同生效后，由采购人通过指定的进口业务代理公司向中标人开出全额信用证（100%信用证），信用证100%凭学校出具的正式验收报告后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质保期：验收合格通过之日起24个月。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 采购包2： 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 供应商身份证明.docx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 供应商身份证明.docx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进口产品要求</w:t>
            </w:r>
          </w:p>
        </w:tc>
        <w:tc>
          <w:tcPr>
            <w:tcW w:type="dxa" w:w="3322"/>
          </w:tcPr>
          <w:p>
            <w:pPr>
              <w:pStyle w:val="null3"/>
            </w:pPr>
            <w:r>
              <w:rPr>
                <w:rFonts w:ascii="仿宋_GB2312" w:hAnsi="仿宋_GB2312" w:cs="仿宋_GB2312" w:eastAsia="仿宋_GB2312"/>
              </w:rPr>
              <w:t>供应商所投产品为进口产品须提供产品制造厂商针对该产品完整授权链的授权书。供应商需在项目电子化交易系统中按要求上传相应证明文件并进行电子签章。国产产品不需要提供。</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进口产品要求</w:t>
            </w:r>
          </w:p>
        </w:tc>
        <w:tc>
          <w:tcPr>
            <w:tcW w:type="dxa" w:w="3322"/>
          </w:tcPr>
          <w:p>
            <w:pPr>
              <w:pStyle w:val="null3"/>
            </w:pPr>
            <w:r>
              <w:rPr>
                <w:rFonts w:ascii="仿宋_GB2312" w:hAnsi="仿宋_GB2312" w:cs="仿宋_GB2312" w:eastAsia="仿宋_GB2312"/>
              </w:rPr>
              <w:t>供应商所投产品为进口产品须提供产品制造厂商针对该产品完整授权链的授权书。供应商需在项目电子化交易系统中按要求上传相应证明文件并进行电子签章。国产产品不需要提供。</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号)⑩本项目非专门面向中小企业采购</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号)⑩本项目非专门面向中小企业采购</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投标函 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供应商需要加以说明的其他内容.docx 投标文件封面 供应商承诺书.docx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响应方案-技术参数.docx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 供应商承诺书.docx 商务响应表.docx 供应商身份证明.docx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投标函 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 供应商承诺书.docx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响应方案-技术参数.docx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1.其响应技术指标和性能出现主要技术参数负偏离的（▲号条款），每项扣除2分，扣完为止。 2.其响应技术指标和性能出现非主要技术参数负偏离的（非▲号条款），每项扣除1分，扣完为止。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1.其响应技术指标和性能出现主要技术参数负偏离的（▲号条款），每项扣除3分，扣完为止。 2.其响应技术指标和性能出现非主要技术参数负偏离的（非▲号条款），每项扣除1.5分，扣完为止。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响应方案-技术参数.docx</w:t>
            </w:r>
          </w:p>
          <w:p>
            <w:pPr>
              <w:pStyle w:val="null3"/>
            </w:pPr>
            <w:r>
              <w:rPr>
                <w:rFonts w:ascii="仿宋_GB2312" w:hAnsi="仿宋_GB2312" w:cs="仿宋_GB2312" w:eastAsia="仿宋_GB2312"/>
              </w:rPr>
              <w:t>产品技术指标偏差表.docx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