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版本号：0617-2512FZ247920250904001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2025年陕西省“敬老月”启动仪式暨三秦银龄盛典活动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0617-2512FZ2479</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2025年陕西省“敬老月”启动仪式暨三秦银龄盛典活动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0617-2512FZ2479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2025年陕西省“敬老月”启动仪式暨三秦银龄盛典活动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陕西省“敬老月”启动仪式暨三秦银龄盛典活动，1项。围绕2025年“敬老月”活动安排，举办2025年陕西省“敬老月”启动仪式暨三秦银龄盛典活动，弘扬中华民族孝亲敬老传统美德，鼓励引导老年人老有所为，共同营造老年友好型社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吴乐平、唐丽娜、衣冯源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029-85222242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 号）规定的标准执行。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采购文件和响应文件。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敬老月”启动仪式暨三秦银龄盛典活动，1项。围绕2025年“敬老月”活动安排，举办2025年陕西省“敬老月”启动仪式暨三秦银龄盛典活动，弘扬中华民族孝亲敬老传统美德，鼓励引导老年人老有所为，共同营造老年友好型社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2025年陕西省“敬老月”启动仪式暨三秦银龄盛典活动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标的名称：2025年陕西省“敬老月”启动仪式暨三秦银龄盛典活动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1、总体要求：围绕2025年“敬老月”活动安排，举办2025年陕西省“敬老月”启动仪式暨三秦银龄盛典活动，弘扬中华民族孝亲敬老传统美德，鼓励引导老年人老有所为，共同营造老年友好型社会。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2、活动地点：陕西广电大剧院（容纳1000人）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3、演播方式：采取现场+电视+新媒体同步线上线下直播，邀请各类媒体平台现场参与报道，后期在各媒体平台滚动播放。</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活动内容：分为前期活动策划筹备及线上宣传（包括但不限于组建媒体记者采风团拍摄报道、专题宣传片策划及拍摄制作、活动主题设计策划，对接承接公共交通工具宣传屏、重要中心路段户外广告设施、大型商场户外LED大屏内容设计和宣发工作等）；主舞台区活动执行(包括但不限于“敬老月”启动仪式暨三秦银龄盛典活动期间舞台搭建、宣传展示、采风编辑、现场直播、航拍、功能区布展、制作播放、大屏音响设备、道旗与运输安装、文艺节目邀约、嘉宾邀约、美陈搭建、视觉设计制作、区域搭建设计制作、文艺表演等）；敬老月期间通过线上线下方式持续开展反映孝亲敬老文化、老有所为等内容的专题片、文化作品、公益广告、事迹展播等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具有满足项目实施的人员配置。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验收标准：采购文件、响应文件。 方法：一次性验收。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甲乙双方必须遵守本合同并执行合同中的各项规定，保证本合同的正常履行。（2）如因乙方工作人员在履行职务过程中的疏忽、失职、过错等故意或者过失原因给甲方造成损失或侵害，包括但不限于甲方本身的财产损失、由此而导致的甲方对任何第三方的法律责任等，乙方对此均应承担全部的赔偿责任。2、解决争议的方法：在执行本合同中发生的或与本合同有关的争端，双方应通过友好协商解决，经协商在30天内不能达成协议时，则采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本章3.3商务要求为实质性条款，不得偏离（不满足），偏离导致响应无效。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（1）供应商需在项目电子化交易系统中按要求填写《响应函》完成承诺并进行电子签章。（2）具有独立承担民事责任的能力。 提供注册登记凭证（营业执照、其他组织经营的合法凭证，自然人的提供身份证明文件）。供应商需在项目电子化交易系统中按要求上传相应证明文件并进行电子签章。 （3）具有良好的商业信誉和健全的财务会计制度。提供经审计的2024年度财务报告（包括四表一注，即资产负债表、利润表、现金流量表、所有者权益变动表及其附注），且无反对意见；事业法人提供部门决算报告；/或在响应文件递交截止时间前六个月内其基本开户银行出具的资信证明（附《基本存款账户信息》或《银行开户许可证》）；/或财政部门认可的政府采购专业担保机构出具的响应担保函；/或表明具有良好的商业信誉和健全的财务会计制度的诚信声明；以上四种形式的资料提供任何一种即可。供应商需在项目电子化交易系统中按要求上传相应证明文件并进行电子签章。（4）具有履行合同所必需的设备和专业技术能力。提供声明文件。供应商需在项目电子化交易系统中按要求上传相应证明文件并进行电子签章。（5）具有依法缴纳税收的良好记录。提供缴费所属日期为响应文件递交截止时间前6个月内任一月份（响应文件递交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6）具有依法缴纳社会保障资金的良好记录。提供缴费所属日期为响应文件递交截止时间前6个月内任一月份（响应文件递交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7）参加政府采购活动前3年内在经营活动中没有重大违法记录的书面声明。供应商需在项目电子化交易系统中按要求上传相应证明文件并进行电子签章。（8）法定代表人授权委托书或法定代表人证明书。法定代表人授权委托书（被授权代表参加）或法定代表人证明书（法定代表人直接参加），供应商需在项目电子化交易系统中按要求上传相应证明文件并进行电子签章。（9）不接受联合体。提供非联合体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服务内容及服务邀请应答表 商务应答表 标的清单 磋商响应方案说明书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服务内容及服务邀请应答表 商务应答表 标的清单 磋商响应方案说明书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报价是否超过报价区间；报价有效期是否符合磋商文件的要求；响应文件内容是否符合国家法律法规。</w:t>
            </w:r>
          </w:p>
        </w:tc>
        <w:tc>
          <w:tcPr>
            <w:tcW w:type="dxa" w:w="1661"/>
          </w:tcPr>
          <w:p>
            <w:pPr>
              <w:pStyle w:val="null3"/>
            </w:pPr>
            <w:r>
              <w:rPr>
                <w:rFonts w:ascii="仿宋_GB2312" w:hAnsi="仿宋_GB2312" w:cs="仿宋_GB2312" w:eastAsia="仿宋_GB2312"/>
              </w:rPr>
              <w:t>响应文件封面 服务内容及服务邀请应答表 商务应答表 标的清单 磋商响应方案说明书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项目理解及需求分析</w:t>
            </w:r>
          </w:p>
        </w:tc>
        <w:tc>
          <w:tcPr>
            <w:tcW w:type="dxa" w:w="2492"/>
          </w:tcPr>
          <w:p>
            <w:pPr>
              <w:pStyle w:val="null3"/>
            </w:pPr>
            <w:r>
              <w:rPr>
                <w:rFonts w:ascii="仿宋_GB2312" w:hAnsi="仿宋_GB2312" w:cs="仿宋_GB2312" w:eastAsia="仿宋_GB2312"/>
              </w:rPr>
              <w:t>内容包含：项目背景分析、项目需求理解、项目实现目标、项目实施思路、项目重难点分析5项内容。 (1)每有一项内容阐述详细，理解准确、全面、充分到位，贴合采购需求，切实可行的，得2分； (2)每有一项内容进行了阐述，理解基本准确、全面，基本满足采购需求,有一定可行性的，得1分； (3)每有一项内容未进行阐述或阐述内容无法满足采购需求的，得0分。 注：5项内容累计计分，每项2分，满分10分。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服务要求提供的完整实施方案进行综合评审，内容包含项目实施流程、内容方案、配套物料清单、安全管理方案、推广总结报告的成果保证、项目目标和成效指标等，综合考察方案内容的完整性、可行性、针对性进行评分。 以上方面，每项5分；有一项描述缺乏完整性或合理性或针对性的扣2.5分；有一项缺项漏项或不满足采购文件要求的扣5分。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宣传推广</w:t>
            </w:r>
          </w:p>
        </w:tc>
        <w:tc>
          <w:tcPr>
            <w:tcW w:type="dxa" w:w="2492"/>
          </w:tcPr>
          <w:p>
            <w:pPr>
              <w:pStyle w:val="null3"/>
            </w:pPr>
            <w:r>
              <w:rPr>
                <w:rFonts w:ascii="仿宋_GB2312" w:hAnsi="仿宋_GB2312" w:cs="仿宋_GB2312" w:eastAsia="仿宋_GB2312"/>
              </w:rPr>
              <w:t>1.提供了完整、详细、合理的配套宣传推广计划； 2. 提供了完整、详细、合理的窗口创建方案，搭载窗口的媒体或平台明确，宣传效果能有效保障； 以上方面，每项5分；有一项描述缺乏完整性或合理性或针对性的扣2.5分；有一项缺项漏项或不满足采购文件要求的扣5分。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项目实施进度管理</w:t>
            </w:r>
          </w:p>
        </w:tc>
        <w:tc>
          <w:tcPr>
            <w:tcW w:type="dxa" w:w="2492"/>
          </w:tcPr>
          <w:p>
            <w:pPr>
              <w:pStyle w:val="null3"/>
            </w:pPr>
            <w:r>
              <w:rPr>
                <w:rFonts w:ascii="仿宋_GB2312" w:hAnsi="仿宋_GB2312" w:cs="仿宋_GB2312" w:eastAsia="仿宋_GB2312"/>
              </w:rPr>
              <w:t>项目实施进度管理包括各关键环节的详细内容阐述、各阶段节点时间安排、违约处罚措施3项内容。 (1) 每有一项内容全面、具体、详细，描述详尽，安排合理，逻辑性高，可靠性强，可实施性强，能有效保证项目实施的，得3分。 (2)每有一项内容描述基本全面，不够详实，有一定保障性、可行性、针对性，基本能保证项目实施的，得2分。 (3)每有一项内容简单，缺乏保障性、针对性，难以保证项目实施的，得1分。 (4)每有一项内容未提及，该项不得分。 注：以上3项内容累计计分，满分9分。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资源配置</w:t>
            </w:r>
          </w:p>
        </w:tc>
        <w:tc>
          <w:tcPr>
            <w:tcW w:type="dxa" w:w="2492"/>
          </w:tcPr>
          <w:p>
            <w:pPr>
              <w:pStyle w:val="null3"/>
            </w:pPr>
            <w:r>
              <w:rPr>
                <w:rFonts w:ascii="仿宋_GB2312" w:hAnsi="仿宋_GB2312" w:cs="仿宋_GB2312" w:eastAsia="仿宋_GB2312"/>
              </w:rPr>
              <w:t>1.活动资源投入与活动方案相呼应，投入的物料、设备配置齐全； 2.活动专业设备来源渠道明确，有详细的参数说明； 3.专业的视频拍摄、制作设备以及现场摄像设备投入齐全； 4.提供了后期剪辑、制作软硬件支撑的； 以上方面，每项2分；有一项描述缺乏完整性或合理性或针对性的扣1分；有一项缺项漏项或不满足采购文件要求的扣2分。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项目负责人情况、项目团队构成</w:t>
            </w:r>
          </w:p>
        </w:tc>
        <w:tc>
          <w:tcPr>
            <w:tcW w:type="dxa" w:w="2492"/>
          </w:tcPr>
          <w:p>
            <w:pPr>
              <w:pStyle w:val="null3"/>
            </w:pPr>
            <w:r>
              <w:rPr>
                <w:rFonts w:ascii="仿宋_GB2312" w:hAnsi="仿宋_GB2312" w:cs="仿宋_GB2312" w:eastAsia="仿宋_GB2312"/>
              </w:rPr>
              <w:t>提供项目实施团队，至少包括团队分工和项目组织架构、岗位职责。岗位分工明确、项目组织架构合理，工作职责详细且有针对性，满足服务要求得满分；每少一项扣4分；每有一项岗位分工不明确、项目组织架构不合理、针对性不强，工作职责不详细，不满足服务要求的扣2分，分数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类似服务业绩</w:t>
            </w:r>
          </w:p>
        </w:tc>
        <w:tc>
          <w:tcPr>
            <w:tcW w:type="dxa" w:w="2492"/>
          </w:tcPr>
          <w:p>
            <w:pPr>
              <w:pStyle w:val="null3"/>
            </w:pPr>
            <w:r>
              <w:rPr>
                <w:rFonts w:ascii="仿宋_GB2312" w:hAnsi="仿宋_GB2312" w:cs="仿宋_GB2312" w:eastAsia="仿宋_GB2312"/>
              </w:rPr>
              <w:t>2022年1月1日至今，供应商类似服务业绩的，提供一个得1分，满分为5分。 注：业绩证明材料以中标/成交通知书或合同或业主证明或用户评价等有效证明材料为准，证明材料不能清晰反映项目内容及时间的，不予认可。证明材料需进行CA签章。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类似服务业绩.</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1.提供了详细、合理的服务质量承诺，完成项目的必要保障措施； 2.对应提供了服务质量切实可行的保障措施，惩处措施的； 3.提供了详细、合理的安全事故责任承诺； 4.对应提供了安全事故责任切实可行的保证措施，惩处措施的。 5.提供了详细的违约处罚措施 以上方面，每项2分；有一项描述缺乏完整性或合理性或针对性的扣1分；有一项缺项漏项或不满足采购文件要求的扣2分。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价格分统一采用低价优先法计算，即满足磋商文件要求且最低的响应报价（最后报价）为基准价，其价格分为满分（10分）。其他供应商的价格分统一按照下列公式计算： 响应报价得分=(基准价／响应报价（最后报价）)×10分。 注：1、计算分数时四舍五入取小数点后两位；2、落实政府采购政策：详见采购文件。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详见附件：磋商响应方案说明书</w:t>
      </w:r>
    </w:p>
    <w:p>
      <w:pPr>
        <w:pStyle w:val="null3"/>
        <w:ind w:firstLine="960"/>
      </w:pPr>
      <w:r>
        <w:rPr>
          <w:rFonts w:ascii="仿宋_GB2312" w:hAnsi="仿宋_GB2312" w:cs="仿宋_GB2312" w:eastAsia="仿宋_GB2312"/>
        </w:rPr>
        <w:t>详见附件：类似服务业绩.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