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版本号：KY2025-1-83420250904001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省级无纸化会议系统建设项目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KY2025-1-834</w:t>
      </w:r>
      <w:r>
        <w:br/>
      </w:r>
      <w:r>
        <w:br/>
      </w:r>
      <w:r>
        <w:br/>
      </w:r>
    </w:p>
    <w:p>
      <w:pPr>
        <w:pStyle w:val="null3"/>
        <w:jc w:val="center"/>
        <w:outlineLvl w:val="2"/>
      </w:pPr>
      <w:r>
        <w:rPr>
          <w:rFonts w:ascii="仿宋_GB2312" w:hAnsi="仿宋_GB2312" w:cs="仿宋_GB2312" w:eastAsia="仿宋_GB2312"/>
          <w:sz w:val="28"/>
          <w:b/>
        </w:rPr>
        <w:t>陕西省政务大数据服务中心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陕西省政务大数据服务中心</w:t>
      </w:r>
      <w:r>
        <w:rPr>
          <w:rFonts w:ascii="仿宋_GB2312" w:hAnsi="仿宋_GB2312" w:cs="仿宋_GB2312" w:eastAsia="仿宋_GB2312"/>
        </w:rPr>
        <w:t>委托，拟对</w:t>
      </w:r>
      <w:r>
        <w:rPr>
          <w:rFonts w:ascii="仿宋_GB2312" w:hAnsi="仿宋_GB2312" w:cs="仿宋_GB2312" w:eastAsia="仿宋_GB2312"/>
        </w:rPr>
        <w:t>省级无纸化会议系统建设项目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KY2025-1-834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省级无纸化会议系统建设项目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省级无纸化会议系统建设项目，建设内容主要包括无纸化会议系统（2套）、系统对接调试、会议文件阅读终端等。具体详见第三章磋商项目技术、服务、商务及其他要求。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8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陕西省政务大数据服务中心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采购包1：2,262,400.00元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银行账号：86113010750181502000343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陕西省政务大数据服务中心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陕西省政务大数据服务中心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陕西省政务大数据服务中心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联系人：汪涛、韩婷</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省级无纸化会议系统建设项目，建设内容主要包括无纸化会议系统（2套）、系统对接调试、会议文件阅读终端等。具体详见采购需求。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2,262,400.00</w:t>
      </w:r>
    </w:p>
    <w:p>
      <w:pPr>
        <w:pStyle w:val="null3"/>
      </w:pPr>
      <w:r>
        <w:rPr>
          <w:rFonts w:ascii="仿宋_GB2312" w:hAnsi="仿宋_GB2312" w:cs="仿宋_GB2312" w:eastAsia="仿宋_GB2312"/>
        </w:rPr>
        <w:t>采购包最高限价（元）: 2,262,400.00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省级无纸化会议系统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2,262,400.00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标的名称：省级无纸化会议系统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建设内容</w:t>
            </w:r>
          </w:p>
          <w:p>
            <w:pPr>
              <w:pStyle w:val="null3"/>
              <w:ind w:firstLine="480"/>
              <w:jc w:val="both"/>
            </w:pPr>
            <w:r>
              <w:rPr>
                <w:rFonts w:ascii="仿宋_GB2312" w:hAnsi="仿宋_GB2312" w:cs="仿宋_GB2312" w:eastAsia="仿宋_GB2312"/>
                <w:sz w:val="24"/>
              </w:rPr>
              <w:t>本项目建设内容主要包括无纸化会议系统、系统对接调试、会议文件阅读终端等。无纸化会议系统软件需部署在西咸省级信创云平台，系统网络环境利旧现有的电子政务外网，服务器、基础软件（数据库、中间件等）环境由省级信创云提供。</w:t>
            </w:r>
          </w:p>
          <w:p>
            <w:pPr>
              <w:pStyle w:val="null3"/>
              <w:ind w:firstLine="480"/>
              <w:jc w:val="both"/>
            </w:pPr>
            <w:r>
              <w:rPr>
                <w:rFonts w:ascii="仿宋_GB2312" w:hAnsi="仿宋_GB2312" w:cs="仿宋_GB2312" w:eastAsia="仿宋_GB2312"/>
                <w:sz w:val="24"/>
              </w:rPr>
              <w:t>为保证系统稳定性、可靠性、安全性，本项目配置</w:t>
            </w:r>
            <w:r>
              <w:rPr>
                <w:rFonts w:ascii="仿宋_GB2312" w:hAnsi="仿宋_GB2312" w:cs="仿宋_GB2312" w:eastAsia="仿宋_GB2312"/>
                <w:sz w:val="24"/>
              </w:rPr>
              <w:t>2套无纸化会议系统，2套之间集群部署，满足省级部门召开党组会、领导办公会、专题会、工作调度会等各类会议类型的无纸化要求。</w:t>
            </w:r>
          </w:p>
          <w:p>
            <w:pPr>
              <w:pStyle w:val="null3"/>
              <w:jc w:val="both"/>
            </w:pPr>
            <w:r>
              <w:rPr>
                <w:rFonts w:ascii="仿宋_GB2312" w:hAnsi="仿宋_GB2312" w:cs="仿宋_GB2312" w:eastAsia="仿宋_GB2312"/>
                <w:sz w:val="24"/>
                <w:b/>
              </w:rPr>
              <w:t>1.1.1无纸化会议系统软件</w:t>
            </w:r>
          </w:p>
          <w:p>
            <w:pPr>
              <w:pStyle w:val="null3"/>
              <w:ind w:firstLine="480"/>
              <w:jc w:val="both"/>
            </w:pPr>
            <w:r>
              <w:rPr>
                <w:rFonts w:ascii="仿宋_GB2312" w:hAnsi="仿宋_GB2312" w:cs="仿宋_GB2312" w:eastAsia="仿宋_GB2312"/>
                <w:sz w:val="24"/>
              </w:rPr>
              <w:t>本项目无纸化会议系统应包括会议管理端系统（</w:t>
            </w:r>
            <w:r>
              <w:rPr>
                <w:rFonts w:ascii="仿宋_GB2312" w:hAnsi="仿宋_GB2312" w:cs="仿宋_GB2312" w:eastAsia="仿宋_GB2312"/>
                <w:sz w:val="24"/>
              </w:rPr>
              <w:t>2套）、移动支撑平台（2套）和会议文件阅读端APP系统（825个授权）。</w:t>
            </w:r>
          </w:p>
          <w:tbl>
            <w:tblPr>
              <w:tblInd w:type="dxa" w:w="120"/>
              <w:tblBorders>
                <w:top w:val="none" w:color="000000" w:sz="4"/>
                <w:left w:val="none" w:color="000000" w:sz="4"/>
                <w:bottom w:val="none" w:color="000000" w:sz="4"/>
                <w:right w:val="none" w:color="000000" w:sz="4"/>
                <w:insideH w:val="none"/>
                <w:insideV w:val="none"/>
              </w:tblBorders>
            </w:tblPr>
            <w:tblGrid>
              <w:gridCol w:w="231"/>
              <w:gridCol w:w="319"/>
              <w:gridCol w:w="1241"/>
              <w:gridCol w:w="247"/>
              <w:gridCol w:w="514"/>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系统名称</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技术参数</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无纸化会议系统</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无纸化</w:t>
                  </w:r>
                  <w:r>
                    <w:rPr>
                      <w:rFonts w:ascii="仿宋_GB2312" w:hAnsi="仿宋_GB2312" w:cs="仿宋_GB2312" w:eastAsia="仿宋_GB2312"/>
                      <w:sz w:val="24"/>
                    </w:rPr>
                    <w:t>会议</w:t>
                  </w:r>
                  <w:r>
                    <w:rPr>
                      <w:rFonts w:ascii="仿宋_GB2312" w:hAnsi="仿宋_GB2312" w:cs="仿宋_GB2312" w:eastAsia="仿宋_GB2312"/>
                      <w:sz w:val="24"/>
                    </w:rPr>
                    <w:t>系统</w:t>
                  </w:r>
                  <w:r>
                    <w:rPr>
                      <w:rFonts w:ascii="仿宋_GB2312" w:hAnsi="仿宋_GB2312" w:cs="仿宋_GB2312" w:eastAsia="仿宋_GB2312"/>
                      <w:sz w:val="24"/>
                    </w:rPr>
                    <w:t>管理端</w:t>
                  </w:r>
                  <w:r>
                    <w:rPr>
                      <w:rFonts w:ascii="仿宋_GB2312" w:hAnsi="仿宋_GB2312" w:cs="仿宋_GB2312" w:eastAsia="仿宋_GB2312"/>
                      <w:sz w:val="24"/>
                    </w:rPr>
                    <w:t>2</w:t>
                  </w:r>
                  <w:r>
                    <w:rPr>
                      <w:rFonts w:ascii="仿宋_GB2312" w:hAnsi="仿宋_GB2312" w:cs="仿宋_GB2312" w:eastAsia="仿宋_GB2312"/>
                      <w:sz w:val="24"/>
                    </w:rPr>
                    <w:t>套，配套</w:t>
                  </w:r>
                  <w:r>
                    <w:rPr>
                      <w:rFonts w:ascii="仿宋_GB2312" w:hAnsi="仿宋_GB2312" w:cs="仿宋_GB2312" w:eastAsia="仿宋_GB2312"/>
                      <w:sz w:val="24"/>
                    </w:rPr>
                    <w:t>会议文件阅读端。其中会议管理端具有会议信息管理、与会人员查询、会议文件管理、系统安全管控、系统管理等功能，实现对会议信息、会议文件、议题库、会议监控、会后材料、与会人员、会议文件、系统安全、系统基础数据等的信息化管理和控制，降低会务人员的工作难度和工作强度，提升会务人员工作效率，提升会议质量和效率。</w:t>
                  </w:r>
                </w:p>
                <w:p>
                  <w:pPr>
                    <w:pStyle w:val="null3"/>
                    <w:ind w:firstLine="480"/>
                    <w:jc w:val="both"/>
                  </w:pPr>
                  <w:r>
                    <w:rPr>
                      <w:rFonts w:ascii="仿宋_GB2312" w:hAnsi="仿宋_GB2312" w:cs="仿宋_GB2312" w:eastAsia="仿宋_GB2312"/>
                      <w:sz w:val="24"/>
                    </w:rPr>
                    <w:t>会议文件阅读端具有会议展示、会议议题展示、会议文件展示、会议文件内容查看等功能，实现参会人员通过会议文件阅读端对会议基本信息的查看，对会议文件进行记录和批注。</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2套系统</w:t>
                  </w:r>
                  <w:r>
                    <w:rPr>
                      <w:rFonts w:ascii="仿宋_GB2312" w:hAnsi="仿宋_GB2312" w:cs="仿宋_GB2312" w:eastAsia="仿宋_GB2312"/>
                      <w:sz w:val="24"/>
                    </w:rPr>
                    <w:t>无条件配</w:t>
                  </w:r>
                  <w:r>
                    <w:rPr>
                      <w:rFonts w:ascii="仿宋_GB2312" w:hAnsi="仿宋_GB2312" w:cs="仿宋_GB2312" w:eastAsia="仿宋_GB2312"/>
                      <w:sz w:val="24"/>
                    </w:rPr>
                    <w:t>100个用户授权</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移动支撑平台</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主题风格管理、客户端程序包管理、服务器注册管理、系统环境管理、系统环境配置文件管理、基础数据管理、终端管理、终端用户绑定、会话和令牌管理、系统资源管理、角色权限管理、会议文件阅读端日志管理、用户列表、用户登录记录查询等</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和无纸化会议系统配套使用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无纸化会议系统</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会议文件阅读端授权使用用户</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725</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购置</w:t>
                  </w:r>
                </w:p>
              </w:tc>
            </w:tr>
          </w:tbl>
          <w:p>
            <w:pPr>
              <w:pStyle w:val="null3"/>
              <w:jc w:val="both"/>
            </w:pPr>
            <w:r>
              <w:rPr>
                <w:rFonts w:ascii="仿宋_GB2312" w:hAnsi="仿宋_GB2312" w:cs="仿宋_GB2312" w:eastAsia="仿宋_GB2312"/>
                <w:sz w:val="24"/>
                <w:b/>
              </w:rPr>
              <w:t>1.1.2系统对接调试</w:t>
            </w:r>
          </w:p>
          <w:p>
            <w:pPr>
              <w:pStyle w:val="null3"/>
              <w:ind w:firstLine="480"/>
              <w:jc w:val="both"/>
            </w:pPr>
            <w:r>
              <w:rPr>
                <w:rFonts w:ascii="仿宋_GB2312" w:hAnsi="仿宋_GB2312" w:cs="仿宋_GB2312" w:eastAsia="仿宋_GB2312"/>
                <w:sz w:val="24"/>
              </w:rPr>
              <w:t>为保证无纸化会议系统功能完整实现，无纸化会议系统需要至少与</w:t>
            </w:r>
            <w:r>
              <w:rPr>
                <w:rFonts w:ascii="仿宋_GB2312" w:hAnsi="仿宋_GB2312" w:cs="仿宋_GB2312" w:eastAsia="仿宋_GB2312"/>
                <w:sz w:val="24"/>
              </w:rPr>
              <w:t>3个外部系统对接。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1）与省级政务统一身份认证系统进行对接，为实现省级各部门机构、人员信息的同步。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2）与秦政通系统对接实现界面集成及消息通知。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3）与信创云密码平台对接，实现对登录账号、密码及会议材料进行加解密，提升系统安全性。</w:t>
            </w:r>
          </w:p>
          <w:p>
            <w:pPr>
              <w:pStyle w:val="null3"/>
              <w:jc w:val="both"/>
            </w:pPr>
            <w:r>
              <w:rPr>
                <w:rFonts w:ascii="仿宋_GB2312" w:hAnsi="仿宋_GB2312" w:cs="仿宋_GB2312" w:eastAsia="仿宋_GB2312"/>
                <w:sz w:val="24"/>
                <w:b/>
              </w:rPr>
              <w:t>1.1.3会议文件阅读终端</w:t>
            </w:r>
          </w:p>
          <w:p>
            <w:pPr>
              <w:pStyle w:val="null3"/>
              <w:ind w:firstLine="480"/>
              <w:jc w:val="both"/>
            </w:pPr>
            <w:r>
              <w:rPr>
                <w:rFonts w:ascii="仿宋_GB2312" w:hAnsi="仿宋_GB2312" w:cs="仿宋_GB2312" w:eastAsia="仿宋_GB2312"/>
                <w:sz w:val="24"/>
              </w:rPr>
              <w:t>为保障无纸化会议系统的测试、试用、培训等工作，需购置会议文件阅读终端</w:t>
            </w:r>
            <w:r>
              <w:rPr>
                <w:rFonts w:ascii="仿宋_GB2312" w:hAnsi="仿宋_GB2312" w:cs="仿宋_GB2312" w:eastAsia="仿宋_GB2312"/>
                <w:sz w:val="24"/>
              </w:rPr>
              <w:t>30台（带手写笔），终端应符合国产化要求，支持无线网络，手持可移动。具体需求如下：</w:t>
            </w:r>
          </w:p>
          <w:tbl>
            <w:tblPr>
              <w:tblInd w:type="dxa" w:w="135"/>
              <w:tblBorders>
                <w:top w:val="none" w:color="000000" w:sz="4"/>
                <w:left w:val="none" w:color="000000" w:sz="4"/>
                <w:bottom w:val="none" w:color="000000" w:sz="4"/>
                <w:right w:val="none" w:color="000000" w:sz="4"/>
                <w:insideH w:val="none"/>
                <w:insideV w:val="none"/>
              </w:tblBorders>
            </w:tblPr>
            <w:tblGrid>
              <w:gridCol w:w="255"/>
              <w:gridCol w:w="566"/>
              <w:gridCol w:w="1286"/>
              <w:gridCol w:w="446"/>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设备名称</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技术参数</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数量（个）</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会议文件阅读终端</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国产操作系统，屏幕尺寸</w:t>
                  </w:r>
                  <w:r>
                    <w:rPr>
                      <w:rFonts w:ascii="仿宋_GB2312" w:hAnsi="仿宋_GB2312" w:cs="仿宋_GB2312" w:eastAsia="仿宋_GB2312"/>
                      <w:sz w:val="24"/>
                    </w:rPr>
                    <w:t>≥12英寸，内存≥12GB，存储≥256GB，屏幕分辨率≥2560x1600含相关配件。质保一年。</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手写笔</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长度</w:t>
                  </w:r>
                  <w:r>
                    <w:rPr>
                      <w:rFonts w:ascii="仿宋_GB2312" w:hAnsi="仿宋_GB2312" w:cs="仿宋_GB2312" w:eastAsia="仿宋_GB2312"/>
                      <w:sz w:val="24"/>
                    </w:rPr>
                    <w:t>≥150mm，直径≥8mm</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保护套</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保护外壳适配平板尺寸</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屏幕保护膜</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磨砂屏幕保护膜及服务费</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bl>
          <w:p>
            <w:pPr>
              <w:pStyle w:val="null3"/>
              <w:jc w:val="both"/>
            </w:pPr>
            <w:r>
              <w:rPr>
                <w:rFonts w:ascii="仿宋_GB2312" w:hAnsi="仿宋_GB2312" w:cs="仿宋_GB2312" w:eastAsia="仿宋_GB2312"/>
                <w:sz w:val="24"/>
                <w:b/>
              </w:rPr>
              <w:t>1.2建设地点及周期</w:t>
            </w:r>
          </w:p>
          <w:p>
            <w:pPr>
              <w:pStyle w:val="null3"/>
              <w:ind w:firstLine="480"/>
              <w:jc w:val="both"/>
            </w:pPr>
            <w:r>
              <w:rPr>
                <w:rFonts w:ascii="仿宋_GB2312" w:hAnsi="仿宋_GB2312" w:cs="仿宋_GB2312" w:eastAsia="仿宋_GB2312"/>
                <w:sz w:val="24"/>
              </w:rPr>
              <w:t>建设</w:t>
            </w:r>
            <w:r>
              <w:rPr>
                <w:rFonts w:ascii="仿宋_GB2312" w:hAnsi="仿宋_GB2312" w:cs="仿宋_GB2312" w:eastAsia="仿宋_GB2312"/>
                <w:sz w:val="24"/>
              </w:rPr>
              <w:t>地点：</w:t>
            </w:r>
            <w:r>
              <w:rPr>
                <w:rFonts w:ascii="仿宋_GB2312" w:hAnsi="仿宋_GB2312" w:cs="仿宋_GB2312" w:eastAsia="仿宋_GB2312"/>
                <w:sz w:val="24"/>
              </w:rPr>
              <w:t>建设单位</w:t>
            </w:r>
            <w:r>
              <w:rPr>
                <w:rFonts w:ascii="仿宋_GB2312" w:hAnsi="仿宋_GB2312" w:cs="仿宋_GB2312" w:eastAsia="仿宋_GB2312"/>
                <w:sz w:val="24"/>
              </w:rPr>
              <w:t>指定地点；</w:t>
            </w:r>
          </w:p>
          <w:p>
            <w:pPr>
              <w:pStyle w:val="null3"/>
              <w:ind w:firstLine="480"/>
              <w:jc w:val="both"/>
            </w:pPr>
            <w:r>
              <w:rPr>
                <w:rFonts w:ascii="仿宋_GB2312" w:hAnsi="仿宋_GB2312" w:cs="仿宋_GB2312" w:eastAsia="仿宋_GB2312"/>
                <w:sz w:val="24"/>
              </w:rPr>
              <w:t>建设周期：</w:t>
            </w:r>
            <w:r>
              <w:rPr>
                <w:rFonts w:ascii="仿宋_GB2312" w:hAnsi="仿宋_GB2312" w:cs="仿宋_GB2312" w:eastAsia="仿宋_GB2312"/>
                <w:sz w:val="24"/>
              </w:rPr>
              <w:t>65日历日。</w:t>
            </w:r>
          </w:p>
          <w:p>
            <w:pPr>
              <w:pStyle w:val="null3"/>
              <w:jc w:val="both"/>
            </w:pPr>
            <w:r>
              <w:rPr>
                <w:rFonts w:ascii="仿宋_GB2312" w:hAnsi="仿宋_GB2312" w:cs="仿宋_GB2312" w:eastAsia="仿宋_GB2312"/>
                <w:sz w:val="24"/>
                <w:b/>
              </w:rPr>
              <w:t>1.3相关要求</w:t>
            </w:r>
          </w:p>
          <w:p>
            <w:pPr>
              <w:pStyle w:val="null3"/>
              <w:jc w:val="both"/>
            </w:pPr>
            <w:r>
              <w:rPr>
                <w:rFonts w:ascii="仿宋_GB2312" w:hAnsi="仿宋_GB2312" w:cs="仿宋_GB2312" w:eastAsia="仿宋_GB2312"/>
                <w:sz w:val="24"/>
                <w:b/>
              </w:rPr>
              <w:t>1.3.1系统软件要求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1）满足等级保护要求</w:t>
            </w:r>
          </w:p>
          <w:p>
            <w:pPr>
              <w:pStyle w:val="null3"/>
              <w:ind w:firstLine="480"/>
              <w:jc w:val="both"/>
            </w:pPr>
            <w:r>
              <w:rPr>
                <w:rFonts w:ascii="仿宋_GB2312" w:hAnsi="仿宋_GB2312" w:cs="仿宋_GB2312" w:eastAsia="仿宋_GB2312"/>
                <w:sz w:val="24"/>
              </w:rPr>
              <w:t>系统软件需满足网络安全等级保护三级和密码测评三级要求。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2）系统可靠性</w:t>
            </w:r>
          </w:p>
          <w:p>
            <w:pPr>
              <w:pStyle w:val="null3"/>
              <w:ind w:firstLine="480"/>
              <w:jc w:val="both"/>
            </w:pPr>
            <w:r>
              <w:rPr>
                <w:rFonts w:ascii="仿宋_GB2312" w:hAnsi="仿宋_GB2312" w:cs="仿宋_GB2312" w:eastAsia="仿宋_GB2312"/>
                <w:sz w:val="24"/>
              </w:rPr>
              <w:t>系统全年正常运行时间（小时）占比不低于</w:t>
            </w:r>
            <w:r>
              <w:rPr>
                <w:rFonts w:ascii="仿宋_GB2312" w:hAnsi="仿宋_GB2312" w:cs="仿宋_GB2312" w:eastAsia="仿宋_GB2312"/>
                <w:sz w:val="24"/>
              </w:rPr>
              <w:t>99.9%。</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3）系统性能</w:t>
            </w:r>
          </w:p>
          <w:p>
            <w:pPr>
              <w:pStyle w:val="null3"/>
              <w:ind w:firstLine="480"/>
              <w:jc w:val="both"/>
            </w:pPr>
            <w:r>
              <w:rPr>
                <w:rFonts w:ascii="仿宋_GB2312" w:hAnsi="仿宋_GB2312" w:cs="仿宋_GB2312" w:eastAsia="仿宋_GB2312"/>
                <w:sz w:val="24"/>
              </w:rPr>
              <w:t>系统简单操作平均响应时间：</w:t>
            </w:r>
            <w:r>
              <w:rPr>
                <w:rFonts w:ascii="仿宋_GB2312" w:hAnsi="仿宋_GB2312" w:cs="仿宋_GB2312" w:eastAsia="仿宋_GB2312"/>
                <w:sz w:val="24"/>
              </w:rPr>
              <w:t>≤1秒</w:t>
            </w:r>
          </w:p>
          <w:p>
            <w:pPr>
              <w:pStyle w:val="null3"/>
              <w:ind w:firstLine="480"/>
              <w:jc w:val="both"/>
            </w:pPr>
            <w:r>
              <w:rPr>
                <w:rFonts w:ascii="仿宋_GB2312" w:hAnsi="仿宋_GB2312" w:cs="仿宋_GB2312" w:eastAsia="仿宋_GB2312"/>
                <w:sz w:val="24"/>
              </w:rPr>
              <w:t>系统平均响应时间：</w:t>
            </w:r>
            <w:r>
              <w:rPr>
                <w:rFonts w:ascii="仿宋_GB2312" w:hAnsi="仿宋_GB2312" w:cs="仿宋_GB2312" w:eastAsia="仿宋_GB2312"/>
                <w:sz w:val="24"/>
              </w:rPr>
              <w:t>≤3秒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4）安全性</w:t>
            </w:r>
          </w:p>
          <w:p>
            <w:pPr>
              <w:pStyle w:val="null3"/>
              <w:ind w:firstLine="480"/>
              <w:jc w:val="both"/>
            </w:pPr>
            <w:r>
              <w:rPr>
                <w:rFonts w:ascii="仿宋_GB2312" w:hAnsi="仿宋_GB2312" w:cs="仿宋_GB2312" w:eastAsia="仿宋_GB2312"/>
                <w:sz w:val="24"/>
              </w:rPr>
              <w:t>1）系统安全：避免发生因病毒、木马等外部因素造成系统大面积瘫痪的安全事故；</w:t>
            </w:r>
          </w:p>
          <w:p>
            <w:pPr>
              <w:pStyle w:val="null3"/>
              <w:ind w:firstLine="480"/>
              <w:jc w:val="both"/>
            </w:pPr>
            <w:r>
              <w:rPr>
                <w:rFonts w:ascii="仿宋_GB2312" w:hAnsi="仿宋_GB2312" w:cs="仿宋_GB2312" w:eastAsia="仿宋_GB2312"/>
                <w:sz w:val="24"/>
              </w:rPr>
              <w:t>2）信息安全：避免发生信息泄露并造成恶劣影响的事件发生；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5）国产化要求</w:t>
            </w:r>
          </w:p>
          <w:p>
            <w:pPr>
              <w:pStyle w:val="null3"/>
              <w:ind w:firstLine="480"/>
              <w:jc w:val="both"/>
            </w:pPr>
            <w:r>
              <w:rPr>
                <w:rFonts w:ascii="仿宋_GB2312" w:hAnsi="仿宋_GB2312" w:cs="仿宋_GB2312" w:eastAsia="仿宋_GB2312"/>
                <w:sz w:val="24"/>
              </w:rPr>
              <w:t>软件</w:t>
            </w:r>
            <w:r>
              <w:rPr>
                <w:rFonts w:ascii="仿宋_GB2312" w:hAnsi="仿宋_GB2312" w:cs="仿宋_GB2312" w:eastAsia="仿宋_GB2312"/>
                <w:sz w:val="24"/>
              </w:rPr>
              <w:t>系统</w:t>
            </w:r>
            <w:r>
              <w:rPr>
                <w:rFonts w:ascii="仿宋_GB2312" w:hAnsi="仿宋_GB2312" w:cs="仿宋_GB2312" w:eastAsia="仿宋_GB2312"/>
                <w:sz w:val="24"/>
              </w:rPr>
              <w:t>须满足国产化要求</w:t>
            </w:r>
            <w:r>
              <w:rPr>
                <w:rFonts w:ascii="仿宋_GB2312" w:hAnsi="仿宋_GB2312" w:cs="仿宋_GB2312" w:eastAsia="仿宋_GB2312"/>
                <w:sz w:val="24"/>
              </w:rPr>
              <w:t>；</w:t>
            </w:r>
            <w:r>
              <w:rPr>
                <w:rFonts w:ascii="仿宋_GB2312" w:hAnsi="仿宋_GB2312" w:cs="仿宋_GB2312" w:eastAsia="仿宋_GB2312"/>
                <w:sz w:val="24"/>
              </w:rPr>
              <w:t>并提供软件著作权及原厂的授权销售许可等证明材料。</w:t>
            </w:r>
          </w:p>
          <w:p>
            <w:pPr>
              <w:pStyle w:val="null3"/>
              <w:jc w:val="both"/>
            </w:pPr>
            <w:r>
              <w:rPr>
                <w:rFonts w:ascii="仿宋_GB2312" w:hAnsi="仿宋_GB2312" w:cs="仿宋_GB2312" w:eastAsia="仿宋_GB2312"/>
                <w:sz w:val="24"/>
                <w:b/>
              </w:rPr>
              <w:t>1.3.2运维服务要求</w:t>
            </w:r>
          </w:p>
          <w:p>
            <w:pPr>
              <w:pStyle w:val="null3"/>
              <w:ind w:firstLine="480"/>
              <w:jc w:val="both"/>
            </w:pPr>
            <w:r>
              <w:rPr>
                <w:rFonts w:ascii="仿宋_GB2312" w:hAnsi="仿宋_GB2312" w:cs="仿宋_GB2312" w:eastAsia="仿宋_GB2312"/>
                <w:sz w:val="24"/>
              </w:rPr>
              <w:t>建设完成终验后质保一年，提供</w:t>
            </w:r>
            <w:r>
              <w:rPr>
                <w:rFonts w:ascii="仿宋_GB2312" w:hAnsi="仿宋_GB2312" w:cs="仿宋_GB2312" w:eastAsia="仿宋_GB2312"/>
                <w:sz w:val="24"/>
              </w:rPr>
              <w:t>5×8小时现场值守运维服务和7×24小时的响应服务，对运维过程中出现的各类系统问题、故障及时处理，对用户咨询提供及时的技术支持服务。</w:t>
            </w:r>
          </w:p>
          <w:p>
            <w:pPr>
              <w:pStyle w:val="null3"/>
              <w:jc w:val="both"/>
            </w:pPr>
            <w:r>
              <w:rPr>
                <w:rFonts w:ascii="仿宋_GB2312" w:hAnsi="仿宋_GB2312" w:cs="仿宋_GB2312" w:eastAsia="仿宋_GB2312"/>
                <w:sz w:val="24"/>
                <w:b/>
              </w:rPr>
              <w:t>1.3.3交付资料要求</w:t>
            </w:r>
          </w:p>
          <w:p>
            <w:pPr>
              <w:pStyle w:val="null3"/>
              <w:ind w:firstLine="480"/>
              <w:jc w:val="both"/>
            </w:pPr>
            <w:r>
              <w:rPr>
                <w:rFonts w:ascii="仿宋_GB2312" w:hAnsi="仿宋_GB2312" w:cs="仿宋_GB2312" w:eastAsia="仿宋_GB2312"/>
                <w:sz w:val="24"/>
              </w:rPr>
              <w:t>建设期内加强项目管理各环节，按《陕西省省级政务信息化项目建设管理办法（暂行）》《陕西省省级政务信息化项目竣工验收管理办法</w:t>
            </w:r>
            <w:r>
              <w:rPr>
                <w:rFonts w:ascii="仿宋_GB2312" w:hAnsi="仿宋_GB2312" w:cs="仿宋_GB2312" w:eastAsia="仿宋_GB2312"/>
                <w:sz w:val="24"/>
              </w:rPr>
              <w:t>(试行)》等形成建设单位要求的各种项目材料及档案，并配合完成档案验收。</w:t>
            </w:r>
          </w:p>
          <w:p>
            <w:pPr>
              <w:pStyle w:val="null3"/>
              <w:jc w:val="both"/>
            </w:pPr>
            <w:r>
              <w:rPr>
                <w:rFonts w:ascii="仿宋_GB2312" w:hAnsi="仿宋_GB2312" w:cs="仿宋_GB2312" w:eastAsia="仿宋_GB2312"/>
                <w:sz w:val="24"/>
                <w:b/>
              </w:rPr>
              <w:t>1.3.4人员配置要求</w:t>
            </w:r>
          </w:p>
          <w:p>
            <w:pPr>
              <w:pStyle w:val="null3"/>
              <w:ind w:firstLine="480"/>
              <w:jc w:val="both"/>
            </w:pPr>
            <w:r>
              <w:rPr>
                <w:rFonts w:ascii="仿宋_GB2312" w:hAnsi="仿宋_GB2312" w:cs="仿宋_GB2312" w:eastAsia="仿宋_GB2312"/>
                <w:sz w:val="24"/>
              </w:rPr>
              <w:t>项目经理</w:t>
            </w:r>
            <w:r>
              <w:rPr>
                <w:rFonts w:ascii="仿宋_GB2312" w:hAnsi="仿宋_GB2312" w:cs="仿宋_GB2312" w:eastAsia="仿宋_GB2312"/>
                <w:sz w:val="24"/>
              </w:rPr>
              <w:t>1名，产品经理1名，研发人员至少2名，技术支持及维护人员至少2名（常驻现场）。项目经理具备高级职称证书，技术支持及维护人员具备IT服务类证书。</w:t>
            </w:r>
          </w:p>
          <w:p>
            <w:pPr>
              <w:pStyle w:val="null3"/>
              <w:jc w:val="both"/>
            </w:pPr>
            <w:r>
              <w:rPr>
                <w:rFonts w:ascii="仿宋_GB2312" w:hAnsi="仿宋_GB2312" w:cs="仿宋_GB2312" w:eastAsia="仿宋_GB2312"/>
                <w:sz w:val="24"/>
                <w:b/>
              </w:rPr>
              <w:t>1.3.5保密要求</w:t>
            </w:r>
          </w:p>
          <w:p>
            <w:pPr>
              <w:pStyle w:val="null3"/>
              <w:jc w:val="both"/>
            </w:pPr>
            <w:r>
              <w:rPr>
                <w:rFonts w:ascii="仿宋_GB2312" w:hAnsi="仿宋_GB2312" w:cs="仿宋_GB2312" w:eastAsia="仿宋_GB2312"/>
                <w:sz w:val="24"/>
              </w:rPr>
              <w:t>本项目服务人员对接触到的各类账号、数据、文件、资料和信息等应严格保密，未经招标人书面授权，不得向任何公司和个人泄露；如出现相关信息泄露，将依法追究相关责任。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①建设周期：65日历日。②质保期：一年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 4、验收说明 （1）交付验收 由项目单位组织，承建单位和监理单位参与，根据需要可邀请专家参加，对承建单位按照合同约定，完成能满足系统运行需要的建设内容等情况，开展初步验收并形成验收意见。项目根据需要可以分批次初步验收。对照建设项目批复内容，项目完成所有建设内容，能满足系统运行需要后，即可开展项目初步验收。 （2）竣工验收 由陕西省数据和政务服务局组织，省委网信办、省发展改革委、省公安厅、省财政厅、省委机要局(省国家密码管理局）、省国家保密局，项目单位、承建单位、监理单位、测试评估等相关单位及专家参与，对项目是否符合批复文件要求，是否达到设计要求、资金绩效、质量水平等方面情况，开展竣工验收并形成验收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交付验收通过后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响应文件正本壹份、副本贰份、电子版壹份（U盘一套标明供应商名称，单独密封）。2、线下纸质文件递交截止时间：同在线递交电子响应文件截止时间一致；线下纸质文件递交地点：西安市雁展路1111号莱安中心T6-15层。（如需邮寄，建议顺丰速运，并将单位名称、联系人、电话及运单号发至1073273918@qq.com邮箱）3、保证金的退还：自成交通知书发出之日起5个工作日内退还未成交供应商的磋商保证金,自采购合同签订之日起5个工作日内退还成交供应商的磋商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提供2024年8月至今已缴纳至少一个月的依法缴纳税款的相关凭据（时间以税款所属日期为准），凭据应有税务机关或代收机关的公章或业务专用章。依法免税或无须缴纳税款的供应商，应提供相关证明文件。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响应报价表、分项报价表.docx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响应报价表、分项报价表.docx 残疾人福利性单位声明函 保证金交纳凭证.docx 标的清单 服务内容及服务要求应答表.docx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响应报价表、分项报价表.docx 残疾人福利性单位声明函 保证金交纳凭证.docx 标的清单 服务内容及服务要求应答表.docx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响应报价表、分项报价表.docx 残疾人福利性单位声明函 保证金交纳凭证.docx 标的清单 服务内容及服务要求应答表.docx 响应函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供应商针对本项目提供的系统设计方案，方案至少包含：①建设目标与内容（包括不限于建设目标、建设内容、建设周期计划等）；②需求分析（包括不限于现状分析、业务流程及对应的需求分析、功能需求分析、性能需求分析、安全需求分析、国产化需求分析等）；③总体设计方案（总体框架设计、建设模式、系统架构、网络架构、业务框架设计、关键业务流程设计、数据库设计等）；④详细建设方案（针对详细建设描述，包括业务系统的会议管理功能、可视化功能、移动端APP以及第三方对接等内容）；⑤运维制度及体系设计。 评审依据：上述内容无缺少、无瑕疵、满足采购文件要求计20分（单项内容分值为4分）；方案内容每有一处瑕疵扣1分，单项内容分值扣完为止，未提供不得分。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供应商针对本项目提供详细的实施方案，内容至少包含：①项目组织管理及协调；②工作流程节点梳理及工作制度；③供货及实施计划；④风险管理和控制措施。 评审依据：上述内容无缺少、无瑕疵、满足采购文件要求计16分（单项内容分值为4分）；方案内容每有一处瑕疵扣1分，单项内容分值扣完为止，未提供不得分。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1、供应商所投产品货源渠道来源正规，能提供产品合法来源渠道的证明文件(包括但不限于销售协议、代理协议、原厂授权等)，每提供1个产品的计1分，满分3分，未提供不计分。 2、供应商针对本项目提供详细的质量保障方案，方案至少包含：①质量目标；②质量保障措施；③技术保障。满分9分，未提供不计分。 评审依据：上述内容无缺少、无瑕疵、满足采购文件要求计9分（单项内容分值为3分）；方案内容每有一处瑕疵扣1分，单项内容分值扣完为止，未提供不得分。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供应商针对本项目团队人员配备提供具体方案，方案包含：①人员配备数量及清单；②人员职责与分工；③团队人员专业性、工作经验。 评审依据：上述内容无缺少、无瑕疵、满足采购文件要求计9分（单项内容分值为3分）；方案内容每有一处瑕疵扣1分，单项内容分值扣完为止，未提供不得分。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供应商针对本项目提供培训方案，方案至少包含：①培训计划；②培训内容；③培训形式和目标。 评审依据：上述内容无缺少、无瑕疵、满足采购文件要求计6分（单项内容分值为2分）；方案内容每有一处瑕疵扣1分，单项内容分值扣完为止，未提供不得分。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具有完善的售后服务方案，包含至少包含：①售后服务内容、售后机构（供应商在本地建立有完善的售后服务机构）完善程度；②响应时限、解决问题的能力；③紧急故障处理预案等；④对后期服务的保证措施。 评审依据：上述内容无缺少、无瑕疵、满足采购文件要求计10分（单项内容分值为2.5分）；方案内容每有一处瑕疵扣1分，单项内容分值扣完为止，未提供不得分。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信息安全及保密</w:t>
            </w:r>
          </w:p>
        </w:tc>
        <w:tc>
          <w:tcPr>
            <w:tcW w:type="dxa" w:w="2492"/>
          </w:tcPr>
          <w:p>
            <w:pPr>
              <w:pStyle w:val="null3"/>
            </w:pPr>
            <w:r>
              <w:rPr>
                <w:rFonts w:ascii="仿宋_GB2312" w:hAnsi="仿宋_GB2312" w:cs="仿宋_GB2312" w:eastAsia="仿宋_GB2312"/>
              </w:rPr>
              <w:t>1、供应商针对本项目提供信息安全及保密的承诺函加盖公章，计4分。 2、供应商针对本项目提供信息安全及保密方案，方案至少包含：①供应商自身的信息安全及保密的管理制度；②针对本项目的信息安全及保密措施。 评审依据：上述内容无缺少、无瑕疵、满足采购文件要求计6分（单项内容分值为3分）；方案内容每有一处瑕疵扣1分，单项内容分值扣完为止，未提供不得分。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供应商提供2022年1月1日至今（以合同签订时间为准）类似项目业绩，每提供1项计1分，最高2分。 备注：提供业绩资料扫描件并加盖供应商公章。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具有有效的ISO9001质量管理体系认证证书、ISO27001信息安全管理体系认证证书、ISO20000信息技术管理体系认证证书、信息安全服务资质认证证书、ITSS3级（含）以上信息技术服务标准符合性证书，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响应报价表、分项报价表.docx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响应报价表、分项报价表.docx 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