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2B6A3">
      <w:pPr>
        <w:pStyle w:val="2"/>
        <w:rPr>
          <w:rFonts w:hint="eastAsia"/>
          <w:color w:val="auto"/>
          <w:lang w:eastAsia="zh-CN"/>
        </w:rPr>
      </w:pPr>
      <w:bookmarkStart w:id="30" w:name="_GoBack"/>
      <w:r>
        <w:rPr>
          <w:rFonts w:hint="eastAsia"/>
          <w:color w:val="auto"/>
          <w:lang w:eastAsia="zh-CN"/>
        </w:rPr>
        <w:t>合同条款</w:t>
      </w:r>
    </w:p>
    <w:p w14:paraId="61C5473B">
      <w:pPr>
        <w:spacing w:line="800" w:lineRule="exact"/>
        <w:ind w:firstLine="843" w:firstLineChars="300"/>
        <w:rPr>
          <w:rFonts w:hint="eastAsia" w:ascii="宋体" w:hAnsi="宋体" w:cs="宋体"/>
          <w:b/>
          <w:color w:val="auto"/>
          <w:sz w:val="28"/>
          <w:szCs w:val="28"/>
        </w:rPr>
      </w:pPr>
      <w:bookmarkStart w:id="0" w:name="_Toc16574"/>
      <w:bookmarkStart w:id="1" w:name="_Toc1270"/>
    </w:p>
    <w:p w14:paraId="684A8F3A">
      <w:pPr>
        <w:spacing w:line="800" w:lineRule="exact"/>
        <w:ind w:firstLine="843" w:firstLineChars="300"/>
        <w:rPr>
          <w:rFonts w:hint="eastAsia" w:ascii="宋体" w:hAnsi="宋体" w:cs="宋体"/>
          <w:b/>
          <w:color w:val="auto"/>
          <w:sz w:val="28"/>
          <w:szCs w:val="28"/>
        </w:rPr>
      </w:pPr>
    </w:p>
    <w:p w14:paraId="0F659A63">
      <w:pPr>
        <w:pStyle w:val="7"/>
        <w:rPr>
          <w:rFonts w:hint="eastAsia" w:ascii="宋体" w:hAnsi="宋体" w:cs="宋体"/>
          <w:b/>
          <w:color w:val="auto"/>
          <w:sz w:val="28"/>
          <w:szCs w:val="28"/>
        </w:rPr>
      </w:pPr>
    </w:p>
    <w:p w14:paraId="47E0742C">
      <w:pPr>
        <w:rPr>
          <w:rFonts w:hint="eastAsia" w:ascii="宋体" w:hAnsi="宋体" w:cs="宋体"/>
          <w:b/>
          <w:color w:val="auto"/>
          <w:sz w:val="28"/>
          <w:szCs w:val="28"/>
        </w:rPr>
      </w:pPr>
    </w:p>
    <w:p w14:paraId="08D59C45">
      <w:pPr>
        <w:pStyle w:val="7"/>
        <w:rPr>
          <w:rFonts w:hint="eastAsia" w:ascii="宋体" w:hAnsi="宋体" w:cs="宋体"/>
          <w:b/>
          <w:color w:val="auto"/>
          <w:sz w:val="28"/>
          <w:szCs w:val="28"/>
        </w:rPr>
      </w:pPr>
    </w:p>
    <w:p w14:paraId="05D8C635">
      <w:pPr>
        <w:rPr>
          <w:color w:val="auto"/>
        </w:rPr>
      </w:pPr>
    </w:p>
    <w:p w14:paraId="68388923">
      <w:pPr>
        <w:spacing w:line="800" w:lineRule="exact"/>
        <w:ind w:firstLine="843" w:firstLineChars="300"/>
        <w:rPr>
          <w:rFonts w:hint="eastAsia" w:ascii="宋体" w:hAnsi="宋体" w:cs="宋体"/>
          <w:b/>
          <w:color w:val="auto"/>
          <w:sz w:val="28"/>
          <w:szCs w:val="28"/>
        </w:rPr>
      </w:pPr>
    </w:p>
    <w:p w14:paraId="5BF1F228">
      <w:pPr>
        <w:pStyle w:val="8"/>
        <w:rPr>
          <w:color w:val="auto"/>
        </w:rPr>
      </w:pPr>
    </w:p>
    <w:p w14:paraId="6BE3DEB1">
      <w:pPr>
        <w:spacing w:line="800" w:lineRule="exact"/>
        <w:ind w:firstLine="843" w:firstLineChars="300"/>
        <w:outlineLvl w:val="0"/>
        <w:rPr>
          <w:rFonts w:hint="eastAsia" w:ascii="宋体" w:hAnsi="宋体" w:cs="宋体"/>
          <w:b/>
          <w:color w:val="auto"/>
          <w:sz w:val="28"/>
          <w:szCs w:val="28"/>
          <w:u w:val="single"/>
        </w:rPr>
      </w:pPr>
      <w:bookmarkStart w:id="2" w:name="_Toc21925"/>
      <w:bookmarkStart w:id="3" w:name="_Toc21524"/>
      <w:bookmarkStart w:id="4" w:name="_Toc15835"/>
      <w:r>
        <w:rPr>
          <w:rFonts w:hint="eastAsia" w:ascii="宋体" w:hAnsi="宋体" w:cs="宋体"/>
          <w:b/>
          <w:color w:val="auto"/>
          <w:sz w:val="28"/>
          <w:szCs w:val="28"/>
        </w:rPr>
        <w:t>项目名称：</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rPr>
        <w:t>xx</w:t>
      </w:r>
      <w:bookmarkEnd w:id="0"/>
      <w:bookmarkEnd w:id="1"/>
      <w:bookmarkEnd w:id="2"/>
      <w:bookmarkEnd w:id="3"/>
      <w:bookmarkEnd w:id="4"/>
    </w:p>
    <w:p w14:paraId="1FE3174D">
      <w:pPr>
        <w:spacing w:line="800" w:lineRule="exact"/>
        <w:ind w:firstLine="790" w:firstLineChars="281"/>
        <w:outlineLvl w:val="0"/>
        <w:rPr>
          <w:rFonts w:hint="eastAsia" w:ascii="宋体" w:hAnsi="宋体" w:cs="宋体"/>
          <w:b/>
          <w:color w:val="auto"/>
          <w:sz w:val="28"/>
          <w:szCs w:val="28"/>
          <w:u w:val="single"/>
        </w:rPr>
      </w:pPr>
      <w:bookmarkStart w:id="5" w:name="_Toc17160"/>
      <w:bookmarkStart w:id="6" w:name="_Toc11546"/>
      <w:bookmarkStart w:id="7" w:name="_Toc31550"/>
      <w:bookmarkStart w:id="8" w:name="_Toc3860"/>
      <w:bookmarkStart w:id="9" w:name="_Toc6092"/>
      <w:r>
        <w:rPr>
          <w:rFonts w:hint="eastAsia" w:ascii="宋体" w:hAnsi="宋体" w:cs="宋体"/>
          <w:b/>
          <w:color w:val="auto"/>
          <w:sz w:val="28"/>
          <w:szCs w:val="28"/>
        </w:rPr>
        <w:t>采购地点：</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rPr>
        <w:t>xx</w:t>
      </w:r>
      <w:bookmarkEnd w:id="5"/>
      <w:bookmarkEnd w:id="6"/>
      <w:bookmarkEnd w:id="7"/>
      <w:bookmarkEnd w:id="8"/>
      <w:bookmarkEnd w:id="9"/>
    </w:p>
    <w:p w14:paraId="6601A722">
      <w:pPr>
        <w:spacing w:line="800" w:lineRule="exact"/>
        <w:ind w:firstLine="790" w:firstLineChars="281"/>
        <w:outlineLvl w:val="0"/>
        <w:rPr>
          <w:rFonts w:hint="eastAsia" w:ascii="宋体" w:hAnsi="宋体" w:cs="宋体"/>
          <w:b/>
          <w:color w:val="auto"/>
          <w:sz w:val="28"/>
          <w:szCs w:val="28"/>
          <w:u w:val="single"/>
        </w:rPr>
      </w:pPr>
      <w:bookmarkStart w:id="10" w:name="_Toc18155"/>
      <w:bookmarkStart w:id="11" w:name="_Toc21957"/>
      <w:bookmarkStart w:id="12" w:name="_Toc1819"/>
      <w:bookmarkStart w:id="13" w:name="_Toc29953"/>
      <w:bookmarkStart w:id="14" w:name="_Toc32754"/>
      <w:r>
        <w:rPr>
          <w:rFonts w:hint="eastAsia" w:ascii="宋体" w:hAnsi="宋体" w:cs="宋体"/>
          <w:b/>
          <w:color w:val="auto"/>
          <w:sz w:val="28"/>
          <w:szCs w:val="28"/>
        </w:rPr>
        <w:t>合同编号：</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rPr>
        <w:t>xx</w:t>
      </w:r>
      <w:bookmarkEnd w:id="10"/>
      <w:bookmarkEnd w:id="11"/>
      <w:bookmarkEnd w:id="12"/>
      <w:bookmarkEnd w:id="13"/>
      <w:bookmarkEnd w:id="14"/>
    </w:p>
    <w:p w14:paraId="6875AC19">
      <w:pPr>
        <w:spacing w:line="800" w:lineRule="exact"/>
        <w:ind w:firstLine="829" w:firstLineChars="295"/>
        <w:outlineLvl w:val="1"/>
        <w:rPr>
          <w:rFonts w:hint="eastAsia" w:ascii="宋体" w:hAnsi="宋体" w:cs="宋体"/>
          <w:b/>
          <w:color w:val="auto"/>
          <w:sz w:val="28"/>
          <w:szCs w:val="28"/>
          <w:u w:val="single"/>
        </w:rPr>
      </w:pPr>
      <w:bookmarkStart w:id="15" w:name="_Toc4231"/>
      <w:bookmarkStart w:id="16" w:name="_Toc2765"/>
      <w:bookmarkStart w:id="17" w:name="_Toc6018"/>
      <w:bookmarkStart w:id="18" w:name="_Toc27556"/>
      <w:bookmarkStart w:id="19" w:name="_Toc20225"/>
      <w:r>
        <w:rPr>
          <w:rFonts w:hint="eastAsia" w:ascii="宋体" w:hAnsi="宋体" w:cs="宋体"/>
          <w:b/>
          <w:color w:val="auto"/>
          <w:sz w:val="28"/>
          <w:szCs w:val="28"/>
        </w:rPr>
        <w:t>采购人（以下简称甲方）：</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rPr>
        <w:t>x</w:t>
      </w:r>
      <w:bookmarkEnd w:id="15"/>
      <w:bookmarkEnd w:id="16"/>
      <w:bookmarkEnd w:id="17"/>
      <w:bookmarkEnd w:id="18"/>
      <w:bookmarkEnd w:id="19"/>
    </w:p>
    <w:p w14:paraId="055838BE">
      <w:pPr>
        <w:spacing w:line="800" w:lineRule="exact"/>
        <w:ind w:firstLine="829" w:firstLineChars="295"/>
        <w:outlineLvl w:val="0"/>
        <w:rPr>
          <w:rFonts w:hint="eastAsia" w:ascii="宋体" w:hAnsi="宋体" w:cs="宋体"/>
          <w:b/>
          <w:color w:val="auto"/>
          <w:sz w:val="28"/>
          <w:szCs w:val="28"/>
          <w:u w:val="single"/>
        </w:rPr>
      </w:pPr>
      <w:bookmarkStart w:id="20" w:name="_Toc1762"/>
      <w:bookmarkStart w:id="21" w:name="_Toc20190"/>
      <w:bookmarkStart w:id="22" w:name="_Toc1156"/>
      <w:bookmarkStart w:id="23" w:name="_Toc4068"/>
      <w:bookmarkStart w:id="24" w:name="_Toc29472"/>
      <w:r>
        <w:rPr>
          <w:rFonts w:hint="eastAsia" w:ascii="宋体" w:hAnsi="宋体" w:cs="宋体"/>
          <w:b/>
          <w:color w:val="auto"/>
          <w:sz w:val="28"/>
          <w:szCs w:val="28"/>
        </w:rPr>
        <w:t>供应商（以下简称乙方）：</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rPr>
        <w:t>x</w:t>
      </w:r>
      <w:bookmarkEnd w:id="20"/>
      <w:bookmarkEnd w:id="21"/>
      <w:bookmarkEnd w:id="22"/>
      <w:bookmarkEnd w:id="23"/>
      <w:bookmarkEnd w:id="24"/>
    </w:p>
    <w:p w14:paraId="24857597">
      <w:pPr>
        <w:spacing w:line="800" w:lineRule="exact"/>
        <w:ind w:firstLine="790" w:firstLineChars="281"/>
        <w:outlineLvl w:val="0"/>
        <w:rPr>
          <w:rFonts w:hint="eastAsia" w:ascii="宋体" w:hAnsi="宋体" w:cs="宋体"/>
          <w:b/>
          <w:color w:val="auto"/>
          <w:sz w:val="28"/>
          <w:szCs w:val="28"/>
          <w:u w:val="single"/>
        </w:rPr>
      </w:pPr>
      <w:bookmarkStart w:id="25" w:name="_Toc30530"/>
      <w:bookmarkStart w:id="26" w:name="_Toc19676"/>
      <w:bookmarkStart w:id="27" w:name="_Toc30437"/>
      <w:bookmarkStart w:id="28" w:name="_Toc22811"/>
      <w:bookmarkStart w:id="29" w:name="_Toc31663"/>
      <w:r>
        <w:rPr>
          <w:rFonts w:hint="eastAsia" w:ascii="宋体" w:hAnsi="宋体" w:cs="宋体"/>
          <w:b/>
          <w:color w:val="auto"/>
          <w:sz w:val="28"/>
          <w:szCs w:val="28"/>
        </w:rPr>
        <w:t>签订日期：</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rPr>
        <w:t>x</w:t>
      </w:r>
      <w:bookmarkEnd w:id="25"/>
      <w:bookmarkEnd w:id="26"/>
      <w:bookmarkEnd w:id="27"/>
      <w:bookmarkEnd w:id="28"/>
      <w:bookmarkEnd w:id="29"/>
    </w:p>
    <w:p w14:paraId="5E2254AD">
      <w:pPr>
        <w:rPr>
          <w:color w:val="auto"/>
        </w:rPr>
      </w:pPr>
    </w:p>
    <w:p w14:paraId="5DB4BFDD">
      <w:pPr>
        <w:rPr>
          <w:color w:val="auto"/>
        </w:rPr>
      </w:pPr>
    </w:p>
    <w:p w14:paraId="321316E4">
      <w:pPr>
        <w:rPr>
          <w:color w:val="auto"/>
        </w:rPr>
      </w:pPr>
    </w:p>
    <w:p w14:paraId="58A45EA1">
      <w:pPr>
        <w:rPr>
          <w:color w:val="auto"/>
        </w:rPr>
      </w:pPr>
    </w:p>
    <w:p w14:paraId="742B712F">
      <w:pPr>
        <w:rPr>
          <w:color w:val="auto"/>
        </w:rPr>
      </w:pPr>
    </w:p>
    <w:p w14:paraId="4CDC31FA">
      <w:pPr>
        <w:rPr>
          <w:color w:val="auto"/>
        </w:rPr>
      </w:pPr>
    </w:p>
    <w:p w14:paraId="7D2F963F">
      <w:pPr>
        <w:rPr>
          <w:color w:val="auto"/>
        </w:rPr>
      </w:pPr>
    </w:p>
    <w:p w14:paraId="19EE21D3">
      <w:pPr>
        <w:rPr>
          <w:color w:val="auto"/>
        </w:rPr>
      </w:pPr>
    </w:p>
    <w:p w14:paraId="69372145">
      <w:pPr>
        <w:rPr>
          <w:color w:val="auto"/>
        </w:rPr>
      </w:pPr>
    </w:p>
    <w:p w14:paraId="2882AA45">
      <w:pPr>
        <w:rPr>
          <w:color w:val="auto"/>
        </w:rPr>
      </w:pPr>
    </w:p>
    <w:p w14:paraId="593214B0">
      <w:pPr>
        <w:jc w:val="center"/>
        <w:rPr>
          <w:b/>
          <w:bCs/>
          <w:color w:val="auto"/>
          <w:sz w:val="32"/>
          <w:szCs w:val="32"/>
        </w:rPr>
      </w:pPr>
      <w:r>
        <w:rPr>
          <w:rFonts w:hint="eastAsia" w:ascii="宋体" w:hAnsi="宋体" w:cs="宋体"/>
          <w:b/>
          <w:bCs/>
          <w:color w:val="auto"/>
          <w:sz w:val="32"/>
          <w:szCs w:val="32"/>
        </w:rPr>
        <w:t>主要合同条款</w:t>
      </w:r>
    </w:p>
    <w:p w14:paraId="34A5062A">
      <w:pPr>
        <w:spacing w:line="360" w:lineRule="auto"/>
        <w:ind w:firstLine="470" w:firstLineChars="196"/>
        <w:rPr>
          <w:rFonts w:hint="eastAsia" w:ascii="宋体" w:hAnsi="宋体" w:cs="宋体"/>
          <w:color w:val="auto"/>
          <w:kern w:val="0"/>
          <w:sz w:val="24"/>
        </w:rPr>
      </w:pPr>
    </w:p>
    <w:p w14:paraId="21973F47">
      <w:pPr>
        <w:widowControl/>
        <w:spacing w:line="460" w:lineRule="exact"/>
        <w:jc w:val="left"/>
        <w:rPr>
          <w:color w:val="auto"/>
        </w:rPr>
      </w:pPr>
      <w:r>
        <w:rPr>
          <w:rFonts w:hint="eastAsia" w:ascii="宋体" w:hAnsi="宋体" w:cs="宋体"/>
          <w:color w:val="auto"/>
          <w:kern w:val="0"/>
          <w:sz w:val="24"/>
          <w:lang w:bidi="ar"/>
        </w:rPr>
        <w:t>甲方：</w:t>
      </w:r>
    </w:p>
    <w:p w14:paraId="42661948">
      <w:pPr>
        <w:widowControl/>
        <w:spacing w:line="460" w:lineRule="exact"/>
        <w:jc w:val="left"/>
        <w:rPr>
          <w:color w:val="auto"/>
        </w:rPr>
      </w:pPr>
      <w:r>
        <w:rPr>
          <w:rFonts w:hint="eastAsia" w:ascii="宋体" w:hAnsi="宋体" w:cs="宋体"/>
          <w:color w:val="auto"/>
          <w:kern w:val="0"/>
          <w:sz w:val="24"/>
          <w:lang w:bidi="ar"/>
        </w:rPr>
        <w:t xml:space="preserve">乙方： </w:t>
      </w:r>
    </w:p>
    <w:p w14:paraId="10D38748">
      <w:pPr>
        <w:kinsoku w:val="0"/>
        <w:spacing w:line="360" w:lineRule="auto"/>
        <w:ind w:firstLine="600" w:firstLineChars="250"/>
        <w:rPr>
          <w:rFonts w:hint="eastAsia" w:ascii="宋体" w:hAnsi="宋体" w:cs="宋体"/>
          <w:color w:val="auto"/>
          <w:kern w:val="0"/>
          <w:sz w:val="24"/>
        </w:rPr>
      </w:pPr>
      <w:r>
        <w:rPr>
          <w:rFonts w:hint="eastAsia" w:ascii="宋体" w:hAnsi="宋体" w:cs="宋体"/>
          <w:color w:val="auto"/>
          <w:kern w:val="0"/>
          <w:sz w:val="24"/>
        </w:rPr>
        <w:t>依据《中华人民共和国民法典》和《中华人民共和国政府采购法》及其他有关法律、行政法规，遵照平等、自愿、公平和诚实信用的原则，</w:t>
      </w:r>
      <w:r>
        <w:rPr>
          <w:rFonts w:hint="eastAsia" w:ascii="宋体" w:hAnsi="宋体" w:cs="宋体"/>
          <w:color w:val="auto"/>
          <w:sz w:val="24"/>
        </w:rPr>
        <w:t>结合本项目实际情况，甲、乙双方经协商一</w:t>
      </w:r>
      <w:r>
        <w:rPr>
          <w:rFonts w:hint="eastAsia" w:ascii="宋体" w:hAnsi="宋体" w:cs="宋体"/>
          <w:color w:val="auto"/>
          <w:kern w:val="0"/>
          <w:sz w:val="24"/>
        </w:rPr>
        <w:t>致签订</w:t>
      </w:r>
      <w:r>
        <w:rPr>
          <w:rFonts w:hint="eastAsia" w:ascii="宋体" w:hAnsi="宋体" w:cs="宋体"/>
          <w:color w:val="auto"/>
          <w:sz w:val="24"/>
          <w:u w:val="single"/>
        </w:rPr>
        <w:t xml:space="preserve">  （项目名称）</w:t>
      </w:r>
      <w:r>
        <w:rPr>
          <w:rFonts w:hint="eastAsia" w:ascii="宋体" w:hAnsi="宋体" w:cs="宋体"/>
          <w:color w:val="auto"/>
          <w:sz w:val="24"/>
        </w:rPr>
        <w:t>供货</w:t>
      </w:r>
      <w:r>
        <w:rPr>
          <w:rFonts w:hint="eastAsia" w:ascii="宋体" w:hAnsi="宋体" w:cs="宋体"/>
          <w:color w:val="auto"/>
          <w:kern w:val="0"/>
          <w:sz w:val="24"/>
        </w:rPr>
        <w:t>合同，</w:t>
      </w:r>
      <w:r>
        <w:rPr>
          <w:rFonts w:ascii="宋体" w:hAnsi="宋体"/>
          <w:color w:val="auto"/>
          <w:sz w:val="24"/>
        </w:rPr>
        <w:t>甲、乙双方在平等基础上协商一致，达成</w:t>
      </w:r>
      <w:r>
        <w:rPr>
          <w:rFonts w:hint="eastAsia" w:ascii="宋体" w:hAnsi="宋体"/>
          <w:color w:val="auto"/>
          <w:sz w:val="24"/>
        </w:rPr>
        <w:t>以</w:t>
      </w:r>
      <w:r>
        <w:rPr>
          <w:rFonts w:ascii="宋体" w:hAnsi="宋体"/>
          <w:color w:val="auto"/>
          <w:sz w:val="24"/>
        </w:rPr>
        <w:t>下合同条款</w:t>
      </w:r>
      <w:r>
        <w:rPr>
          <w:rFonts w:hint="eastAsia" w:ascii="宋体" w:hAnsi="宋体"/>
          <w:color w:val="auto"/>
          <w:sz w:val="24"/>
        </w:rPr>
        <w:t>:</w:t>
      </w:r>
    </w:p>
    <w:p w14:paraId="4D6335AF">
      <w:pPr>
        <w:spacing w:line="460" w:lineRule="exact"/>
        <w:rPr>
          <w:rFonts w:hint="eastAsia" w:ascii="宋体" w:hAnsi="宋体" w:cs="宋体"/>
          <w:b/>
          <w:color w:val="auto"/>
          <w:sz w:val="24"/>
        </w:rPr>
      </w:pPr>
      <w:r>
        <w:rPr>
          <w:rFonts w:hint="eastAsia" w:ascii="宋体" w:hAnsi="宋体" w:cs="宋体"/>
          <w:b/>
          <w:color w:val="auto"/>
          <w:sz w:val="24"/>
        </w:rPr>
        <w:t>一、合同文件</w:t>
      </w:r>
    </w:p>
    <w:p w14:paraId="048D82A3">
      <w:pPr>
        <w:spacing w:line="460" w:lineRule="exact"/>
        <w:ind w:firstLine="480" w:firstLineChars="200"/>
        <w:rPr>
          <w:rFonts w:hint="eastAsia" w:ascii="宋体" w:hAnsi="宋体" w:cs="宋体"/>
          <w:bCs/>
          <w:color w:val="auto"/>
          <w:sz w:val="24"/>
        </w:rPr>
      </w:pPr>
      <w:r>
        <w:rPr>
          <w:rFonts w:hint="eastAsia" w:ascii="宋体" w:hAnsi="宋体" w:cs="宋体"/>
          <w:bCs/>
          <w:color w:val="auto"/>
          <w:sz w:val="24"/>
        </w:rPr>
        <w:t>下列文件是构成本合同不可分割的部分：</w:t>
      </w:r>
    </w:p>
    <w:p w14:paraId="2A183994">
      <w:pPr>
        <w:spacing w:line="460" w:lineRule="exact"/>
        <w:rPr>
          <w:rFonts w:hint="eastAsia" w:ascii="宋体" w:hAnsi="宋体" w:cs="宋体"/>
          <w:bCs/>
          <w:color w:val="auto"/>
          <w:sz w:val="24"/>
        </w:rPr>
      </w:pPr>
      <w:r>
        <w:rPr>
          <w:rFonts w:hint="eastAsia" w:ascii="宋体" w:hAnsi="宋体" w:cs="宋体"/>
          <w:bCs/>
          <w:color w:val="auto"/>
          <w:sz w:val="24"/>
        </w:rPr>
        <w:t xml:space="preserve">      (1)合同条款；</w:t>
      </w:r>
    </w:p>
    <w:p w14:paraId="6D404463">
      <w:pPr>
        <w:spacing w:line="460" w:lineRule="exact"/>
        <w:ind w:firstLine="720" w:firstLineChars="300"/>
        <w:rPr>
          <w:rFonts w:hint="eastAsia" w:ascii="宋体" w:hAnsi="宋体" w:cs="宋体"/>
          <w:bCs/>
          <w:color w:val="auto"/>
          <w:sz w:val="24"/>
        </w:rPr>
      </w:pPr>
      <w:r>
        <w:rPr>
          <w:rFonts w:hint="eastAsia" w:ascii="宋体" w:hAnsi="宋体" w:cs="宋体"/>
          <w:bCs/>
          <w:color w:val="auto"/>
          <w:sz w:val="24"/>
        </w:rPr>
        <w:t>(2)成交通知书；</w:t>
      </w:r>
    </w:p>
    <w:p w14:paraId="3FD12F69">
      <w:pPr>
        <w:spacing w:line="460" w:lineRule="exact"/>
        <w:ind w:firstLine="720" w:firstLineChars="300"/>
        <w:rPr>
          <w:rFonts w:hint="eastAsia" w:ascii="宋体" w:hAnsi="宋体" w:cs="宋体"/>
          <w:bCs/>
          <w:color w:val="auto"/>
          <w:sz w:val="24"/>
        </w:rPr>
      </w:pPr>
      <w:r>
        <w:rPr>
          <w:rFonts w:hint="eastAsia" w:ascii="宋体" w:hAnsi="宋体" w:cs="宋体"/>
          <w:bCs/>
          <w:color w:val="auto"/>
          <w:sz w:val="24"/>
        </w:rPr>
        <w:t>(3)竞争性磋商文件</w:t>
      </w:r>
    </w:p>
    <w:p w14:paraId="7E06A905">
      <w:pPr>
        <w:spacing w:line="460" w:lineRule="exact"/>
        <w:ind w:firstLine="720" w:firstLineChars="300"/>
        <w:rPr>
          <w:rFonts w:hint="eastAsia" w:ascii="宋体" w:hAnsi="宋体" w:cs="宋体"/>
          <w:bCs/>
          <w:color w:val="auto"/>
          <w:sz w:val="24"/>
        </w:rPr>
      </w:pPr>
      <w:r>
        <w:rPr>
          <w:rFonts w:hint="eastAsia" w:ascii="宋体" w:hAnsi="宋体" w:cs="宋体"/>
          <w:bCs/>
          <w:color w:val="auto"/>
          <w:sz w:val="24"/>
        </w:rPr>
        <w:t xml:space="preserve">(4)响应文件； </w:t>
      </w:r>
    </w:p>
    <w:p w14:paraId="5881828E">
      <w:pPr>
        <w:spacing w:line="460" w:lineRule="exact"/>
        <w:ind w:firstLine="720" w:firstLineChars="300"/>
        <w:rPr>
          <w:rFonts w:hint="eastAsia" w:ascii="宋体" w:hAnsi="宋体" w:cs="宋体"/>
          <w:bCs/>
          <w:color w:val="auto"/>
          <w:sz w:val="24"/>
        </w:rPr>
      </w:pPr>
      <w:r>
        <w:rPr>
          <w:rFonts w:hint="eastAsia" w:ascii="宋体" w:hAnsi="宋体" w:cs="宋体"/>
          <w:bCs/>
          <w:color w:val="auto"/>
          <w:sz w:val="24"/>
        </w:rPr>
        <w:t>(5)其他。</w:t>
      </w:r>
    </w:p>
    <w:p w14:paraId="0729ECB6">
      <w:pPr>
        <w:spacing w:line="460" w:lineRule="exact"/>
        <w:rPr>
          <w:rFonts w:hint="eastAsia" w:ascii="宋体" w:hAnsi="宋体" w:cs="宋体"/>
          <w:color w:val="auto"/>
          <w:kern w:val="0"/>
          <w:sz w:val="24"/>
        </w:rPr>
      </w:pPr>
      <w:r>
        <w:rPr>
          <w:rFonts w:hint="eastAsia" w:ascii="宋体" w:hAnsi="宋体" w:cs="宋体"/>
          <w:b/>
          <w:color w:val="auto"/>
          <w:sz w:val="24"/>
        </w:rPr>
        <w:t>二、合同内容</w:t>
      </w:r>
    </w:p>
    <w:p w14:paraId="35BEB232">
      <w:pPr>
        <w:spacing w:line="4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1、项目名称：</w:t>
      </w:r>
      <w:r>
        <w:rPr>
          <w:rFonts w:hint="eastAsia" w:ascii="宋体" w:hAnsi="宋体" w:cs="宋体"/>
          <w:color w:val="auto"/>
          <w:kern w:val="0"/>
          <w:sz w:val="24"/>
          <w:u w:val="single"/>
        </w:rPr>
        <w:t xml:space="preserve">         </w:t>
      </w:r>
    </w:p>
    <w:p w14:paraId="5CD76A54">
      <w:pPr>
        <w:spacing w:line="460" w:lineRule="exact"/>
        <w:ind w:firstLine="480" w:firstLineChars="200"/>
        <w:rPr>
          <w:rFonts w:hint="eastAsia" w:ascii="宋体" w:hAnsi="宋体" w:cs="宋体"/>
          <w:b/>
          <w:color w:val="auto"/>
          <w:sz w:val="28"/>
          <w:szCs w:val="28"/>
        </w:rPr>
      </w:pPr>
      <w:r>
        <w:rPr>
          <w:rFonts w:hint="eastAsia" w:ascii="宋体" w:hAnsi="宋体" w:cs="宋体"/>
          <w:color w:val="auto"/>
          <w:kern w:val="0"/>
          <w:sz w:val="24"/>
        </w:rPr>
        <w:t>2、服务内容：为我单位提供医用织物洗涤服务工作，包括：工作服类：工作服、工作裤、棉衣、毛衣、沙发套、桌布等；床品布；草类：被套、床单、枕套、小儿衣物、小儿用物、被褥等；手术敷料类：手术衣、洗手衣裤、台布、方巾、腹单、擦手毛巾等。其它类为：窗帘、围帘、拖布、抹布等。</w:t>
      </w:r>
    </w:p>
    <w:p w14:paraId="4721607C">
      <w:pPr>
        <w:tabs>
          <w:tab w:val="left" w:pos="4184"/>
        </w:tabs>
        <w:spacing w:line="460" w:lineRule="exact"/>
        <w:rPr>
          <w:rFonts w:hint="eastAsia" w:ascii="宋体" w:hAnsi="宋体" w:cs="宋体"/>
          <w:color w:val="auto"/>
          <w:kern w:val="0"/>
          <w:sz w:val="24"/>
        </w:rPr>
      </w:pPr>
      <w:r>
        <w:rPr>
          <w:rFonts w:hint="eastAsia" w:ascii="宋体" w:hAnsi="宋体" w:cs="宋体"/>
          <w:b/>
          <w:color w:val="auto"/>
          <w:sz w:val="24"/>
        </w:rPr>
        <w:t>三、服务期：</w:t>
      </w:r>
      <w:r>
        <w:rPr>
          <w:rFonts w:hint="eastAsia" w:ascii="宋体" w:hAnsi="宋体" w:cs="宋体"/>
          <w:color w:val="auto"/>
          <w:kern w:val="0"/>
          <w:sz w:val="24"/>
        </w:rPr>
        <w:t>合同签订后一年或累计结算金额到达采购预算，以先到达者为准。本项目合同期满前，甲方将对乙方进行考核，根据服务满意程度，甲方有权决定是否续签合同，累计合同履行期限不超过三年。</w:t>
      </w:r>
    </w:p>
    <w:p w14:paraId="4DF9F5A5">
      <w:pPr>
        <w:spacing w:line="460" w:lineRule="exact"/>
        <w:rPr>
          <w:rFonts w:hint="eastAsia" w:ascii="宋体" w:hAnsi="宋体" w:cs="宋体"/>
          <w:b/>
          <w:color w:val="auto"/>
          <w:sz w:val="24"/>
        </w:rPr>
      </w:pPr>
      <w:r>
        <w:rPr>
          <w:rFonts w:hint="eastAsia" w:ascii="宋体" w:hAnsi="宋体" w:cs="宋体"/>
          <w:b/>
          <w:color w:val="auto"/>
          <w:sz w:val="24"/>
        </w:rPr>
        <w:t>四、合同价款</w:t>
      </w:r>
    </w:p>
    <w:p w14:paraId="370560B5">
      <w:pPr>
        <w:spacing w:line="460" w:lineRule="exact"/>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1、预算金额为人民币：</w:t>
      </w:r>
      <w:r>
        <w:rPr>
          <w:rFonts w:hint="eastAsia" w:ascii="宋体" w:hAnsi="宋体" w:eastAsia="宋体" w:cs="宋体"/>
          <w:color w:val="auto"/>
          <w:kern w:val="0"/>
          <w:sz w:val="24"/>
          <w:u w:val="single"/>
          <w:lang w:val="en-US" w:eastAsia="zh-CN"/>
        </w:rPr>
        <w:t xml:space="preserve"> 壹佰叁拾柒万伍仟伍佰叁拾肆元陆角叁分（1375534.63） </w:t>
      </w:r>
      <w:r>
        <w:rPr>
          <w:rFonts w:hint="eastAsia" w:ascii="宋体" w:hAnsi="宋体" w:eastAsia="宋体" w:cs="宋体"/>
          <w:color w:val="auto"/>
          <w:kern w:val="0"/>
          <w:sz w:val="24"/>
          <w:lang w:val="en-US" w:eastAsia="zh-CN"/>
        </w:rPr>
        <w:t>，合同综合单价为人民币：</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color w:val="auto"/>
          <w:kern w:val="0"/>
          <w:sz w:val="24"/>
          <w:lang w:val="en-US" w:eastAsia="zh-CN"/>
        </w:rPr>
        <w:t xml:space="preserve"> ,明细报价见附件。</w:t>
      </w:r>
    </w:p>
    <w:p w14:paraId="651CFF84">
      <w:pPr>
        <w:spacing w:line="460" w:lineRule="exact"/>
        <w:ind w:firstLine="480" w:firstLineChars="200"/>
        <w:rPr>
          <w:rFonts w:hint="eastAsia" w:ascii="宋体" w:hAnsi="宋体" w:cs="宋体"/>
          <w:color w:val="auto"/>
        </w:rPr>
      </w:pPr>
      <w:r>
        <w:rPr>
          <w:rFonts w:hint="eastAsia" w:ascii="宋体" w:hAnsi="宋体" w:eastAsia="宋体" w:cs="宋体"/>
          <w:color w:val="auto"/>
          <w:kern w:val="0"/>
          <w:sz w:val="24"/>
          <w:lang w:val="en-US" w:eastAsia="zh-CN"/>
        </w:rPr>
        <w:t>2、该合同价款已包括该项目服务费用及税费等所有其他有关各项的费用。本合同执行期间合同总价不变，甲方无须另向乙方支付本合同规定之外的其他任何</w:t>
      </w:r>
      <w:r>
        <w:rPr>
          <w:rFonts w:hint="eastAsia" w:ascii="宋体" w:hAnsi="宋体" w:cs="宋体"/>
          <w:color w:val="auto"/>
        </w:rPr>
        <w:t>费用。</w:t>
      </w:r>
    </w:p>
    <w:p w14:paraId="1B41DBD0">
      <w:pPr>
        <w:spacing w:line="460" w:lineRule="exact"/>
        <w:rPr>
          <w:rFonts w:hint="eastAsia" w:ascii="宋体" w:hAnsi="宋体" w:cs="宋体"/>
          <w:b/>
          <w:color w:val="auto"/>
          <w:sz w:val="24"/>
        </w:rPr>
      </w:pPr>
      <w:r>
        <w:rPr>
          <w:rFonts w:hint="eastAsia" w:ascii="宋体" w:hAnsi="宋体" w:cs="宋体"/>
          <w:b/>
          <w:color w:val="auto"/>
          <w:sz w:val="24"/>
        </w:rPr>
        <w:t>五、付款方式和条件</w:t>
      </w:r>
    </w:p>
    <w:p w14:paraId="299B2E02">
      <w:pPr>
        <w:pStyle w:val="15"/>
        <w:wordWrap w:val="0"/>
        <w:topLinePunct/>
        <w:spacing w:line="360" w:lineRule="auto"/>
        <w:ind w:firstLine="660" w:firstLineChars="275"/>
        <w:rPr>
          <w:rFonts w:hint="eastAsia" w:ascii="宋体" w:hAnsi="宋体" w:eastAsia="宋体" w:cs="宋体"/>
          <w:color w:val="auto"/>
          <w:lang w:val="en-US" w:eastAsia="zh-CN"/>
        </w:rPr>
      </w:pPr>
      <w:r>
        <w:rPr>
          <w:rFonts w:hint="eastAsia" w:ascii="宋体" w:hAnsi="宋体" w:eastAsia="宋体" w:cs="宋体"/>
          <w:color w:val="auto"/>
          <w:lang w:val="en-US" w:eastAsia="zh-CN"/>
        </w:rPr>
        <w:t>1、付款条件说明：</w:t>
      </w:r>
      <w:r>
        <w:rPr>
          <w:rFonts w:hint="eastAsia" w:ascii="宋体" w:hAnsi="宋体" w:eastAsia="宋体" w:cs="宋体"/>
          <w:color w:val="auto"/>
          <w:lang w:val="en-US" w:eastAsia="zh-CN"/>
        </w:rPr>
        <w:t>合同签订后按月结算，</w:t>
      </w:r>
      <w:r>
        <w:rPr>
          <w:rFonts w:hint="eastAsia" w:ascii="宋体" w:hAnsi="宋体" w:eastAsia="宋体" w:cs="宋体"/>
          <w:color w:val="auto"/>
          <w:lang w:val="en-US" w:eastAsia="zh-CN"/>
        </w:rPr>
        <w:t>次月付款，依次类推，</w:t>
      </w:r>
      <w:r>
        <w:rPr>
          <w:rFonts w:hint="eastAsia" w:ascii="宋体" w:hAnsi="宋体" w:eastAsia="宋体" w:cs="宋体"/>
          <w:color w:val="auto"/>
          <w:lang w:val="en-US" w:eastAsia="zh-CN"/>
        </w:rPr>
        <w:t>货款实际结算金额按实际服务量×中标成交单价，成交单价在供货服务期限内不可改变。验收合格后，供应商持中标通知书，供货合同，双方确认的服务清单，开具开具符合要求的与支付款项相同的正式发票与采购人进行结算</w:t>
      </w:r>
      <w:r>
        <w:rPr>
          <w:rFonts w:hint="eastAsia" w:ascii="宋体" w:hAnsi="宋体" w:eastAsia="宋体" w:cs="宋体"/>
          <w:color w:val="auto"/>
          <w:lang w:val="en-US" w:eastAsia="zh-CN"/>
        </w:rPr>
        <w:t>。达到付款条件起10日内，支付合同总金额的100.00%。</w:t>
      </w:r>
    </w:p>
    <w:p w14:paraId="6CEEFDEB">
      <w:pPr>
        <w:pStyle w:val="15"/>
        <w:wordWrap w:val="0"/>
        <w:topLinePunct/>
        <w:spacing w:line="360" w:lineRule="auto"/>
        <w:ind w:firstLine="660" w:firstLineChars="275"/>
        <w:rPr>
          <w:rFonts w:hint="eastAsia" w:ascii="宋体" w:hAnsi="宋体" w:eastAsia="宋体" w:cs="宋体"/>
          <w:color w:val="auto"/>
          <w:lang w:val="en-US" w:eastAsia="zh-CN"/>
        </w:rPr>
      </w:pPr>
      <w:r>
        <w:rPr>
          <w:rFonts w:hint="eastAsia" w:ascii="宋体" w:hAnsi="宋体" w:eastAsia="宋体" w:cs="宋体"/>
          <w:color w:val="auto"/>
          <w:lang w:val="en-US" w:eastAsia="zh-CN"/>
        </w:rPr>
        <w:t>2、支付方式：银行转账。</w:t>
      </w:r>
    </w:p>
    <w:p w14:paraId="33ACCF3D">
      <w:pPr>
        <w:pStyle w:val="15"/>
        <w:wordWrap w:val="0"/>
        <w:topLinePunct/>
        <w:spacing w:line="360" w:lineRule="auto"/>
        <w:ind w:firstLine="660" w:firstLineChars="275"/>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 乙方银行帐户信息如下:</w:t>
      </w:r>
    </w:p>
    <w:p w14:paraId="0EC81C3F">
      <w:pPr>
        <w:pStyle w:val="15"/>
        <w:wordWrap w:val="0"/>
        <w:topLinePunct/>
        <w:spacing w:line="360" w:lineRule="auto"/>
        <w:ind w:firstLine="660" w:firstLineChars="275"/>
        <w:rPr>
          <w:rFonts w:hint="eastAsia" w:ascii="宋体" w:hAnsi="宋体" w:eastAsia="宋体" w:cs="宋体"/>
          <w:color w:val="auto"/>
        </w:rPr>
      </w:pPr>
      <w:r>
        <w:rPr>
          <w:rFonts w:hint="eastAsia" w:ascii="宋体" w:hAnsi="宋体" w:eastAsia="宋体" w:cs="宋体"/>
          <w:color w:val="auto"/>
        </w:rPr>
        <w:t xml:space="preserve">帐户全称: </w:t>
      </w:r>
    </w:p>
    <w:p w14:paraId="2BB3AE5C">
      <w:pPr>
        <w:pStyle w:val="15"/>
        <w:wordWrap w:val="0"/>
        <w:topLinePunct/>
        <w:spacing w:line="360" w:lineRule="auto"/>
        <w:ind w:firstLine="660" w:firstLineChars="275"/>
        <w:rPr>
          <w:rFonts w:hint="eastAsia" w:ascii="宋体" w:hAnsi="宋体" w:eastAsia="宋体" w:cs="宋体"/>
          <w:color w:val="auto"/>
        </w:rPr>
      </w:pPr>
      <w:r>
        <w:rPr>
          <w:rFonts w:hint="eastAsia" w:ascii="宋体" w:hAnsi="宋体" w:eastAsia="宋体" w:cs="宋体"/>
          <w:color w:val="auto"/>
        </w:rPr>
        <w:t xml:space="preserve">帐 号: </w:t>
      </w:r>
    </w:p>
    <w:p w14:paraId="693DFD76">
      <w:pPr>
        <w:pStyle w:val="15"/>
        <w:wordWrap w:val="0"/>
        <w:topLinePunct/>
        <w:spacing w:line="360" w:lineRule="auto"/>
        <w:ind w:firstLine="660" w:firstLineChars="275"/>
        <w:rPr>
          <w:rFonts w:hint="eastAsia" w:ascii="宋体" w:hAnsi="宋体" w:eastAsia="宋体" w:cs="宋体"/>
          <w:color w:val="auto"/>
        </w:rPr>
      </w:pPr>
      <w:r>
        <w:rPr>
          <w:rFonts w:hint="eastAsia" w:ascii="宋体" w:hAnsi="宋体" w:eastAsia="宋体" w:cs="宋体"/>
          <w:color w:val="auto"/>
        </w:rPr>
        <w:t xml:space="preserve">开 户 行: </w:t>
      </w:r>
    </w:p>
    <w:p w14:paraId="1FFCB81D">
      <w:pPr>
        <w:pStyle w:val="15"/>
        <w:wordWrap w:val="0"/>
        <w:topLinePunct/>
        <w:spacing w:line="360" w:lineRule="auto"/>
        <w:ind w:firstLine="660" w:firstLineChars="275"/>
        <w:rPr>
          <w:rFonts w:hint="eastAsia" w:ascii="宋体" w:hAnsi="宋体" w:eastAsia="宋体" w:cs="宋体"/>
          <w:color w:val="auto"/>
        </w:rPr>
      </w:pPr>
      <w:r>
        <w:rPr>
          <w:rFonts w:hint="eastAsia" w:ascii="宋体" w:hAnsi="宋体" w:eastAsia="宋体" w:cs="宋体"/>
          <w:color w:val="auto"/>
        </w:rPr>
        <w:t>3、货币单位：人民币</w:t>
      </w:r>
    </w:p>
    <w:p w14:paraId="32CB96EB">
      <w:pPr>
        <w:pStyle w:val="15"/>
        <w:wordWrap w:val="0"/>
        <w:topLinePunct/>
        <w:spacing w:line="360" w:lineRule="auto"/>
        <w:ind w:firstLine="660" w:firstLineChars="275"/>
        <w:rPr>
          <w:rFonts w:hint="eastAsia" w:ascii="宋体" w:hAnsi="宋体" w:cs="宋体"/>
          <w:color w:val="auto"/>
        </w:rPr>
      </w:pPr>
      <w:r>
        <w:rPr>
          <w:rFonts w:hint="eastAsia" w:ascii="宋体" w:hAnsi="宋体" w:cs="宋体"/>
          <w:color w:val="auto"/>
        </w:rPr>
        <w:t>4、甲方仅认可上述指定账户并向该账户付款。如账户信息变更，乙方应出具书面变更文件并加盖公司公章，否则甲方有权拒绝向指定账户之外的任何账户付款。因乙方收款账户信息变更未及时告知产生的损失，由乙方自行承担。</w:t>
      </w:r>
    </w:p>
    <w:p w14:paraId="42641C57">
      <w:pPr>
        <w:spacing w:line="460" w:lineRule="exact"/>
        <w:rPr>
          <w:rFonts w:hint="eastAsia" w:ascii="宋体" w:hAnsi="宋体" w:cs="宋体"/>
          <w:b/>
          <w:color w:val="auto"/>
          <w:sz w:val="24"/>
        </w:rPr>
      </w:pPr>
      <w:r>
        <w:rPr>
          <w:rFonts w:hint="eastAsia" w:ascii="宋体" w:hAnsi="宋体" w:cs="宋体"/>
          <w:b/>
          <w:color w:val="auto"/>
          <w:sz w:val="24"/>
        </w:rPr>
        <w:t>六、甲方的权利和义务</w:t>
      </w:r>
    </w:p>
    <w:p w14:paraId="3892D829">
      <w:pPr>
        <w:pStyle w:val="15"/>
        <w:wordWrap w:val="0"/>
        <w:topLinePunct/>
        <w:spacing w:line="360" w:lineRule="auto"/>
        <w:ind w:firstLine="420" w:firstLineChars="175"/>
        <w:rPr>
          <w:rFonts w:hint="eastAsia" w:ascii="宋体" w:hAnsi="宋体" w:cs="宋体"/>
          <w:color w:val="auto"/>
        </w:rPr>
      </w:pPr>
      <w:r>
        <w:rPr>
          <w:rFonts w:hint="eastAsia" w:ascii="宋体" w:hAnsi="宋体" w:cs="宋体"/>
          <w:color w:val="auto"/>
        </w:rPr>
        <w:t>1、甲方有权对合同规定范围内乙方的服务行为进行监督和检查，拥有监管权。有权定期核查乙方提供服务内容。对甲方认为不合理的部分有权下达整改通知书，并要求乙方限期整改。</w:t>
      </w:r>
    </w:p>
    <w:p w14:paraId="79DEF10E">
      <w:pPr>
        <w:pStyle w:val="15"/>
        <w:wordWrap w:val="0"/>
        <w:topLinePunct/>
        <w:spacing w:line="360" w:lineRule="auto"/>
        <w:ind w:firstLine="420" w:firstLineChars="175"/>
        <w:rPr>
          <w:rFonts w:hint="eastAsia" w:ascii="宋体" w:hAnsi="宋体" w:cs="宋体"/>
          <w:color w:val="auto"/>
        </w:rPr>
      </w:pPr>
      <w:r>
        <w:rPr>
          <w:rFonts w:hint="eastAsia" w:ascii="宋体" w:hAnsi="宋体" w:cs="宋体"/>
          <w:color w:val="auto"/>
        </w:rPr>
        <w:t>2、甲方有权依据双方签订的考评办法对乙方提供的服务进行定期考评。当考评结果未达到标准时，</w:t>
      </w:r>
      <w:r>
        <w:rPr>
          <w:rFonts w:hint="eastAsia" w:ascii="宋体" w:hAnsi="宋体" w:cs="宋体"/>
          <w:color w:val="auto"/>
          <w:szCs w:val="24"/>
          <w:lang w:bidi="ar"/>
        </w:rPr>
        <w:t>甲方有权扣减对应的服务费用</w:t>
      </w:r>
      <w:r>
        <w:rPr>
          <w:rFonts w:hint="eastAsia" w:ascii="宋体" w:hAnsi="宋体" w:cs="宋体"/>
          <w:color w:val="auto"/>
        </w:rPr>
        <w:t>。</w:t>
      </w:r>
    </w:p>
    <w:p w14:paraId="5ACAFFF6">
      <w:pPr>
        <w:pStyle w:val="15"/>
        <w:wordWrap w:val="0"/>
        <w:topLinePunct/>
        <w:spacing w:line="360" w:lineRule="auto"/>
        <w:ind w:firstLine="420" w:firstLineChars="175"/>
        <w:rPr>
          <w:rFonts w:hint="eastAsia" w:ascii="宋体" w:hAnsi="宋体" w:cs="宋体"/>
          <w:color w:val="auto"/>
        </w:rPr>
      </w:pPr>
      <w:r>
        <w:rPr>
          <w:rFonts w:hint="eastAsia" w:ascii="宋体" w:hAnsi="宋体" w:cs="宋体"/>
          <w:color w:val="auto"/>
        </w:rPr>
        <w:t>3、负责检查监督乙方管理工作的实施执行情况。</w:t>
      </w:r>
    </w:p>
    <w:p w14:paraId="009F0F66">
      <w:pPr>
        <w:pStyle w:val="15"/>
        <w:wordWrap w:val="0"/>
        <w:topLinePunct/>
        <w:spacing w:line="360" w:lineRule="auto"/>
        <w:ind w:firstLine="420" w:firstLineChars="175"/>
        <w:rPr>
          <w:rFonts w:hint="eastAsia" w:ascii="宋体" w:hAnsi="宋体" w:cs="宋体"/>
          <w:color w:val="auto"/>
        </w:rPr>
      </w:pPr>
      <w:r>
        <w:rPr>
          <w:rFonts w:hint="eastAsia" w:ascii="宋体" w:hAnsi="宋体" w:cs="宋体"/>
          <w:color w:val="auto"/>
        </w:rPr>
        <w:t>4、根据本合同规定，按时向乙方支付应付服务费用。</w:t>
      </w:r>
    </w:p>
    <w:p w14:paraId="3D11E4C8">
      <w:pPr>
        <w:pStyle w:val="15"/>
        <w:wordWrap w:val="0"/>
        <w:topLinePunct/>
        <w:spacing w:line="360" w:lineRule="auto"/>
        <w:ind w:firstLine="420" w:firstLineChars="175"/>
        <w:rPr>
          <w:rFonts w:hint="eastAsia" w:ascii="宋体" w:hAnsi="宋体" w:cs="宋体"/>
          <w:color w:val="auto"/>
        </w:rPr>
      </w:pPr>
      <w:r>
        <w:rPr>
          <w:rFonts w:hint="eastAsia" w:ascii="宋体" w:hAnsi="宋体" w:cs="宋体"/>
          <w:color w:val="auto"/>
        </w:rPr>
        <w:t>5、国家法律、法规所规定由甲方承担的其它责任。</w:t>
      </w:r>
    </w:p>
    <w:p w14:paraId="7DFF1D86">
      <w:pPr>
        <w:spacing w:line="460" w:lineRule="exact"/>
        <w:rPr>
          <w:rFonts w:hint="eastAsia" w:ascii="宋体" w:hAnsi="宋体" w:cs="宋体"/>
          <w:b/>
          <w:color w:val="auto"/>
          <w:sz w:val="24"/>
        </w:rPr>
      </w:pPr>
      <w:r>
        <w:rPr>
          <w:rFonts w:hint="eastAsia" w:ascii="宋体" w:hAnsi="宋体" w:cs="宋体"/>
          <w:b/>
          <w:color w:val="auto"/>
          <w:sz w:val="24"/>
        </w:rPr>
        <w:t>七、乙方的权利和义务</w:t>
      </w:r>
    </w:p>
    <w:p w14:paraId="4C6FAAEB">
      <w:pPr>
        <w:spacing w:line="460" w:lineRule="exact"/>
        <w:ind w:firstLine="480" w:firstLineChars="200"/>
        <w:rPr>
          <w:rFonts w:hint="eastAsia" w:ascii="宋体" w:hAnsi="宋体" w:cs="宋体"/>
          <w:color w:val="auto"/>
          <w:kern w:val="0"/>
          <w:sz w:val="24"/>
          <w:szCs w:val="20"/>
        </w:rPr>
      </w:pPr>
      <w:r>
        <w:rPr>
          <w:rFonts w:hint="eastAsia" w:ascii="宋体" w:hAnsi="宋体" w:cs="宋体"/>
          <w:color w:val="auto"/>
          <w:kern w:val="0"/>
          <w:sz w:val="24"/>
          <w:szCs w:val="20"/>
        </w:rPr>
        <w:t>1、具有良好的服务意识，工作认真负责，态度和蔼，为甲方提供优质服务。</w:t>
      </w:r>
    </w:p>
    <w:p w14:paraId="72FCCC9D">
      <w:pPr>
        <w:spacing w:line="460" w:lineRule="exact"/>
        <w:ind w:firstLine="480" w:firstLineChars="200"/>
        <w:rPr>
          <w:rFonts w:hint="eastAsia" w:ascii="宋体" w:hAnsi="宋体" w:cs="宋体"/>
          <w:color w:val="auto"/>
          <w:kern w:val="0"/>
          <w:sz w:val="24"/>
          <w:szCs w:val="20"/>
        </w:rPr>
      </w:pPr>
      <w:r>
        <w:rPr>
          <w:rFonts w:hint="eastAsia" w:ascii="宋体" w:hAnsi="宋体" w:cs="宋体"/>
          <w:color w:val="auto"/>
          <w:kern w:val="0"/>
          <w:sz w:val="24"/>
          <w:szCs w:val="20"/>
        </w:rPr>
        <w:t>2、确保医院被服、敷料正常运行所必须的及时和有效的保障和支持，并能根据医院的 实际需要而变化。满足医院临床需求，保证洗涤物品的不中断供应。制订安全、有效的应 急预案以应对如停电、停水、停气、机器设备故障等，确保甲方被服布类的供给，并承担 由此给甲方造成的所有损失。</w:t>
      </w:r>
    </w:p>
    <w:p w14:paraId="67429BAB">
      <w:pPr>
        <w:spacing w:line="460" w:lineRule="exact"/>
        <w:ind w:firstLine="480" w:firstLineChars="200"/>
        <w:rPr>
          <w:rFonts w:hint="eastAsia" w:ascii="宋体" w:hAnsi="宋体" w:cs="宋体"/>
          <w:color w:val="auto"/>
          <w:kern w:val="0"/>
          <w:sz w:val="24"/>
          <w:szCs w:val="20"/>
        </w:rPr>
      </w:pPr>
      <w:r>
        <w:rPr>
          <w:rFonts w:hint="eastAsia" w:ascii="宋体" w:hAnsi="宋体" w:cs="宋体"/>
          <w:color w:val="auto"/>
          <w:kern w:val="0"/>
          <w:sz w:val="24"/>
          <w:szCs w:val="20"/>
        </w:rPr>
        <w:t>3、每天按时到医院收送点交接衣物，并与我院工作人员清点数目，按标识打包并当面 清点签字，按数量送回。提供织物被服在收送过程中确保无差错的实际运行管理方案。特 殊情况下，随时通知、随时上门收送处理被服用品。床品当日接收第二天送回，特殊物品 每次洗涤物品从接收到回送至医院不超过三天(特殊需求的除外),如果乙方未能及时收送 甲方的洗涤物品，因此造成甲方的所有损失由乙方承担全部责任，发生一次向甲方支付合 同总金额百分之二的违约金，如果发生两次以上甲方有权终止合同。</w:t>
      </w:r>
    </w:p>
    <w:p w14:paraId="015ADA0C">
      <w:pPr>
        <w:spacing w:line="460" w:lineRule="exact"/>
        <w:ind w:firstLine="480" w:firstLineChars="200"/>
        <w:rPr>
          <w:rFonts w:hint="eastAsia" w:ascii="宋体" w:hAnsi="宋体" w:cs="宋体"/>
          <w:color w:val="auto"/>
          <w:kern w:val="0"/>
          <w:sz w:val="24"/>
          <w:szCs w:val="20"/>
        </w:rPr>
      </w:pPr>
      <w:r>
        <w:rPr>
          <w:rFonts w:hint="eastAsia" w:ascii="宋体" w:hAnsi="宋体" w:cs="宋体"/>
          <w:color w:val="auto"/>
          <w:kern w:val="0"/>
          <w:sz w:val="24"/>
          <w:szCs w:val="20"/>
        </w:rPr>
        <w:t>4、确保符合洗涤行业的质量要求标准、医疗卫生行业的洗消卫生标准要求及洗熨质量。 做到洁污分开，分类洗涤，防止交叉污染，按要求消毒，科学安排洗涤工序，保证洗涤质  量。病人衣被和儿童用物、医务人员衣物(值班被服、工作服)必须分类和专机洗涤，不  得混洗。不能和其他医院的衣物混洗，整烫工序不能与其它医院的织物混合操作。手术室衣  物及敷料的折叠应按科室要求规范折叠，并保证洁净度。洗涤质量需达到《医院医用织物  洗涤消毒技术规范》(WS/T508-2016)的要求，细菌总数≤200cfu/100cm²,致病微生物不得检出。每月提供一次市级以上卫生监督部门或具有检测资质的机构对洗净衣被消毒效果  的监测报告，并达到相关标准。因洗涤织物质量不达标准致甲方的所有损失由乙方承担全  部责任，并向甲方支付合同总金额百分之五的的违约金。</w:t>
      </w:r>
    </w:p>
    <w:p w14:paraId="156BB98E">
      <w:pPr>
        <w:spacing w:line="460" w:lineRule="exact"/>
        <w:ind w:firstLine="480" w:firstLineChars="200"/>
        <w:rPr>
          <w:rFonts w:hint="eastAsia" w:ascii="宋体" w:hAnsi="宋体" w:cs="宋体"/>
          <w:color w:val="auto"/>
          <w:kern w:val="0"/>
          <w:sz w:val="24"/>
          <w:szCs w:val="20"/>
        </w:rPr>
      </w:pPr>
      <w:r>
        <w:rPr>
          <w:rFonts w:hint="eastAsia" w:ascii="宋体" w:hAnsi="宋体" w:cs="宋体"/>
          <w:color w:val="auto"/>
          <w:kern w:val="0"/>
          <w:sz w:val="24"/>
          <w:szCs w:val="20"/>
        </w:rPr>
        <w:t>5、对有破损、掉纽扣、标识模糊不清等衣物由乙方负责进行无偿修补。凡有碍形象和 确实不能修补的织物应检出，提请甲方确认并及时办理报废手续。每月洗涤衣服的报废率 不超过0.8%。特殊情况造成的损耗，视情况协商处理。报废率每半年统计一次，超出部份乙方向甲方以每件均价50元赔付。</w:t>
      </w:r>
    </w:p>
    <w:p w14:paraId="64ACD223">
      <w:pPr>
        <w:spacing w:line="460" w:lineRule="exact"/>
        <w:ind w:firstLine="480" w:firstLineChars="200"/>
        <w:rPr>
          <w:rFonts w:hint="eastAsia" w:ascii="宋体" w:hAnsi="宋体" w:cs="宋体"/>
          <w:color w:val="auto"/>
          <w:kern w:val="0"/>
          <w:sz w:val="24"/>
          <w:szCs w:val="20"/>
        </w:rPr>
      </w:pPr>
      <w:r>
        <w:rPr>
          <w:rFonts w:hint="eastAsia" w:ascii="宋体" w:hAnsi="宋体" w:cs="宋体"/>
          <w:color w:val="auto"/>
          <w:kern w:val="0"/>
          <w:sz w:val="24"/>
          <w:szCs w:val="20"/>
        </w:rPr>
        <w:t>6、严格按规定时间收送洗涤物品，不得无故拒绝收送洗涤物品影响甲方使用工作服、 被服、病员服、手术用布料(单、巾)。不可抗力因素除外。</w:t>
      </w:r>
    </w:p>
    <w:p w14:paraId="7F239A8F">
      <w:pPr>
        <w:spacing w:line="460" w:lineRule="exact"/>
        <w:rPr>
          <w:rFonts w:hint="eastAsia" w:ascii="宋体" w:hAnsi="宋体" w:cs="宋体"/>
          <w:color w:val="auto"/>
          <w:kern w:val="0"/>
          <w:sz w:val="24"/>
          <w:szCs w:val="20"/>
        </w:rPr>
      </w:pPr>
      <w:r>
        <w:rPr>
          <w:rFonts w:hint="eastAsia" w:ascii="宋体" w:hAnsi="宋体" w:cs="宋体"/>
          <w:color w:val="auto"/>
          <w:kern w:val="0"/>
          <w:sz w:val="24"/>
          <w:szCs w:val="20"/>
        </w:rPr>
        <w:t>7、严格交接手续，丢失物品按成色折价赔偿或根据使用科室需求按需赔偿。</w:t>
      </w:r>
    </w:p>
    <w:p w14:paraId="5B8F7885">
      <w:pPr>
        <w:spacing w:line="460" w:lineRule="exact"/>
        <w:rPr>
          <w:rFonts w:hint="eastAsia" w:ascii="宋体" w:hAnsi="宋体" w:cs="宋体"/>
          <w:b/>
          <w:color w:val="auto"/>
          <w:sz w:val="24"/>
        </w:rPr>
      </w:pPr>
      <w:r>
        <w:rPr>
          <w:rFonts w:hint="eastAsia" w:ascii="宋体" w:hAnsi="宋体" w:cs="宋体"/>
          <w:b/>
          <w:color w:val="auto"/>
          <w:sz w:val="24"/>
        </w:rPr>
        <w:t>八、违约责任</w:t>
      </w:r>
    </w:p>
    <w:p w14:paraId="4901F001">
      <w:pPr>
        <w:pStyle w:val="17"/>
        <w:wordWrap w:val="0"/>
        <w:topLinePunct/>
        <w:spacing w:line="360" w:lineRule="auto"/>
        <w:ind w:firstLine="480"/>
        <w:rPr>
          <w:rFonts w:hint="eastAsia" w:hAnsi="宋体"/>
          <w:color w:val="auto"/>
          <w:lang w:bidi="ar"/>
        </w:rPr>
      </w:pPr>
      <w:r>
        <w:rPr>
          <w:rFonts w:hint="eastAsia" w:hAnsi="宋体"/>
          <w:color w:val="auto"/>
          <w:lang w:bidi="ar"/>
        </w:rPr>
        <w:t>1、按《中华人民共和国民法典》中的相关条款执行。</w:t>
      </w:r>
    </w:p>
    <w:p w14:paraId="4AEA2FF9">
      <w:pPr>
        <w:pStyle w:val="17"/>
        <w:wordWrap w:val="0"/>
        <w:topLinePunct/>
        <w:spacing w:line="360" w:lineRule="auto"/>
        <w:ind w:firstLine="480"/>
        <w:rPr>
          <w:rFonts w:hint="eastAsia" w:hAnsi="宋体"/>
          <w:color w:val="auto"/>
          <w:lang w:bidi="ar"/>
        </w:rPr>
      </w:pPr>
      <w:r>
        <w:rPr>
          <w:rFonts w:hint="eastAsia" w:hAnsi="宋体"/>
          <w:color w:val="auto"/>
          <w:lang w:bidi="ar"/>
        </w:rPr>
        <w:t>2、未按合同要求提供服务、服务质量不能满足合同要求，采购人有权依据《中华人民共和国民法典》有关条款及合同约定终止合同，并要求投标人承担违约责任。</w:t>
      </w:r>
    </w:p>
    <w:p w14:paraId="66A07088">
      <w:pPr>
        <w:pStyle w:val="17"/>
        <w:wordWrap w:val="0"/>
        <w:topLinePunct/>
        <w:spacing w:line="360" w:lineRule="auto"/>
        <w:ind w:firstLine="480"/>
        <w:rPr>
          <w:rFonts w:hint="eastAsia" w:hAnsi="宋体"/>
          <w:color w:val="auto"/>
          <w:lang w:bidi="ar"/>
        </w:rPr>
      </w:pPr>
      <w:r>
        <w:rPr>
          <w:rFonts w:hint="eastAsia" w:hAnsi="宋体"/>
          <w:color w:val="auto"/>
          <w:lang w:bidi="ar"/>
        </w:rPr>
        <w:t>3、成交人未按合同约定的服务日期提供服务，每逾期一日，向采购人支付逾期交付货物价款的0.5%的违约金，但不超过合同总金额的10%。成交人支付逾期违约金并不免除由此给甲方造成损失的责任。</w:t>
      </w:r>
    </w:p>
    <w:p w14:paraId="068D9323">
      <w:pPr>
        <w:pStyle w:val="17"/>
        <w:wordWrap w:val="0"/>
        <w:topLinePunct/>
        <w:spacing w:line="360" w:lineRule="auto"/>
        <w:ind w:firstLine="480"/>
        <w:rPr>
          <w:rFonts w:hint="eastAsia" w:hAnsi="宋体"/>
          <w:color w:val="auto"/>
          <w:lang w:bidi="ar"/>
        </w:rPr>
      </w:pPr>
      <w:r>
        <w:rPr>
          <w:rFonts w:hint="eastAsia" w:hAnsi="宋体"/>
          <w:color w:val="auto"/>
          <w:lang w:bidi="ar"/>
        </w:rPr>
        <w:t>4、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8960206">
      <w:pPr>
        <w:pStyle w:val="17"/>
        <w:wordWrap w:val="0"/>
        <w:topLinePunct/>
        <w:spacing w:line="360" w:lineRule="auto"/>
        <w:ind w:firstLine="480"/>
        <w:rPr>
          <w:rFonts w:hint="eastAsia" w:hAnsi="宋体"/>
          <w:color w:val="auto"/>
          <w:lang w:bidi="ar"/>
        </w:rPr>
      </w:pPr>
      <w:r>
        <w:rPr>
          <w:rFonts w:hint="eastAsia" w:hAnsi="宋体"/>
          <w:color w:val="auto"/>
          <w:lang w:bidi="ar"/>
        </w:rPr>
        <w:t>5、因一方违约导致纠纷的，违约方除承担赔偿损失的违约责任外，还需负担守约方为维护合同权益所支出的包括但不限于诉讼费、律师费、交通费、鉴定费等维权费用。</w:t>
      </w:r>
    </w:p>
    <w:p w14:paraId="3A829891">
      <w:pPr>
        <w:spacing w:line="460" w:lineRule="exact"/>
        <w:rPr>
          <w:rFonts w:hint="eastAsia" w:ascii="宋体" w:hAnsi="宋体" w:cs="宋体"/>
          <w:b/>
          <w:color w:val="auto"/>
          <w:sz w:val="24"/>
        </w:rPr>
      </w:pPr>
      <w:r>
        <w:rPr>
          <w:rFonts w:hint="eastAsia" w:ascii="宋体" w:hAnsi="宋体" w:cs="宋体"/>
          <w:b/>
          <w:color w:val="auto"/>
          <w:sz w:val="24"/>
        </w:rPr>
        <w:t>九、争议及解决办法</w:t>
      </w:r>
    </w:p>
    <w:p w14:paraId="1D47A56A">
      <w:pPr>
        <w:spacing w:line="4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1、本合同发生争议，由双方协商或由政府采购监管部门调解解决，协商或调解不成时按以下第 ① 种方式解决：</w:t>
      </w:r>
    </w:p>
    <w:p w14:paraId="4E42CDC9">
      <w:pPr>
        <w:spacing w:line="4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①西安市新城区仲裁委员会仲裁；</w:t>
      </w:r>
    </w:p>
    <w:p w14:paraId="180C07D3">
      <w:pPr>
        <w:spacing w:line="4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②向甲方所在地人民法院提起诉讼。</w:t>
      </w:r>
    </w:p>
    <w:p w14:paraId="4DC7BEDE">
      <w:pPr>
        <w:numPr>
          <w:ilvl w:val="0"/>
          <w:numId w:val="1"/>
        </w:numPr>
        <w:spacing w:line="4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在仲裁期间，除有争议部分的事项外，合同其他部分仍应继续履行。</w:t>
      </w:r>
    </w:p>
    <w:p w14:paraId="2A2A5636">
      <w:pPr>
        <w:spacing w:line="460" w:lineRule="exact"/>
        <w:rPr>
          <w:rFonts w:hint="eastAsia" w:ascii="宋体" w:hAnsi="宋体" w:cs="宋体"/>
          <w:b/>
          <w:color w:val="auto"/>
          <w:sz w:val="24"/>
        </w:rPr>
      </w:pPr>
      <w:r>
        <w:rPr>
          <w:rFonts w:hint="eastAsia" w:ascii="宋体" w:hAnsi="宋体" w:cs="宋体"/>
          <w:b/>
          <w:color w:val="auto"/>
          <w:sz w:val="24"/>
        </w:rPr>
        <w:t>十、合同生效</w:t>
      </w:r>
    </w:p>
    <w:p w14:paraId="422B3717">
      <w:pPr>
        <w:spacing w:line="360" w:lineRule="auto"/>
        <w:ind w:firstLine="480" w:firstLineChars="200"/>
        <w:rPr>
          <w:rFonts w:hint="eastAsia" w:ascii="宋体" w:hAnsi="宋体" w:cs="宋体"/>
          <w:color w:val="auto"/>
          <w:sz w:val="24"/>
        </w:rPr>
      </w:pPr>
      <w:r>
        <w:rPr>
          <w:rFonts w:hint="eastAsia" w:ascii="宋体" w:hAnsi="宋体" w:cs="宋体"/>
          <w:color w:val="auto"/>
          <w:sz w:val="24"/>
        </w:rPr>
        <w:t>1、合同未尽事宜、由甲、乙双方协商，作为合同补充，与原合同具有同等法律效力。</w:t>
      </w:r>
    </w:p>
    <w:p w14:paraId="77F36F95">
      <w:pPr>
        <w:spacing w:line="360" w:lineRule="auto"/>
        <w:ind w:firstLine="480" w:firstLineChars="200"/>
        <w:rPr>
          <w:rFonts w:hint="eastAsia" w:ascii="宋体" w:hAnsi="宋体" w:cs="宋体"/>
          <w:color w:val="auto"/>
          <w:sz w:val="24"/>
        </w:rPr>
      </w:pPr>
      <w:r>
        <w:rPr>
          <w:rFonts w:hint="eastAsia" w:ascii="宋体" w:hAnsi="宋体" w:cs="宋体"/>
          <w:color w:val="auto"/>
          <w:sz w:val="24"/>
        </w:rPr>
        <w:t>2、 本合同正本一式</w:t>
      </w:r>
      <w:r>
        <w:rPr>
          <w:rFonts w:hint="eastAsia" w:ascii="宋体" w:hAnsi="宋体" w:cs="宋体"/>
          <w:color w:val="auto"/>
          <w:sz w:val="24"/>
          <w:u w:val="single"/>
        </w:rPr>
        <w:t xml:space="preserve"> 4</w:t>
      </w:r>
      <w:r>
        <w:rPr>
          <w:rFonts w:hint="eastAsia" w:ascii="宋体" w:hAnsi="宋体" w:cs="宋体"/>
          <w:color w:val="auto"/>
          <w:sz w:val="24"/>
        </w:rPr>
        <w:t>份，甲方、乙方双方分别执</w:t>
      </w:r>
      <w:r>
        <w:rPr>
          <w:rFonts w:hint="eastAsia" w:ascii="宋体" w:hAnsi="宋体" w:cs="宋体"/>
          <w:color w:val="auto"/>
          <w:sz w:val="24"/>
          <w:u w:val="single"/>
        </w:rPr>
        <w:t xml:space="preserve"> 2 </w:t>
      </w:r>
      <w:r>
        <w:rPr>
          <w:rFonts w:hint="eastAsia" w:ascii="宋体" w:hAnsi="宋体" w:cs="宋体"/>
          <w:color w:val="auto"/>
          <w:sz w:val="24"/>
        </w:rPr>
        <w:t>份。</w:t>
      </w:r>
    </w:p>
    <w:p w14:paraId="61CFDDE4">
      <w:pPr>
        <w:spacing w:line="360" w:lineRule="auto"/>
        <w:ind w:firstLine="480" w:firstLineChars="200"/>
        <w:rPr>
          <w:rFonts w:hint="eastAsia" w:ascii="宋体" w:hAnsi="宋体" w:cs="宋体"/>
          <w:color w:val="auto"/>
          <w:sz w:val="24"/>
        </w:rPr>
      </w:pPr>
      <w:r>
        <w:rPr>
          <w:rFonts w:hint="eastAsia" w:ascii="宋体" w:hAnsi="宋体" w:cs="宋体"/>
          <w:color w:val="auto"/>
          <w:sz w:val="24"/>
        </w:rPr>
        <w:t>3、本合同由甲乙双方签字盖章，自签字盖章之日起生效。</w:t>
      </w:r>
    </w:p>
    <w:p w14:paraId="0ABE2AA6">
      <w:pPr>
        <w:spacing w:line="460" w:lineRule="exact"/>
        <w:ind w:firstLine="480" w:firstLineChars="200"/>
        <w:rPr>
          <w:rFonts w:hint="eastAsia" w:ascii="宋体" w:hAnsi="宋体" w:cs="宋体"/>
          <w:color w:val="auto"/>
          <w:kern w:val="0"/>
          <w:sz w:val="24"/>
        </w:rPr>
      </w:pPr>
      <w:r>
        <w:rPr>
          <w:rFonts w:hint="eastAsia" w:ascii="宋体" w:hAnsi="宋体" w:cs="宋体"/>
          <w:color w:val="auto"/>
          <w:sz w:val="24"/>
        </w:rPr>
        <w:t>4、</w:t>
      </w:r>
      <w:r>
        <w:rPr>
          <w:rFonts w:hint="eastAsia" w:ascii="宋体" w:hAnsi="宋体" w:cs="宋体"/>
          <w:color w:val="auto"/>
          <w:kern w:val="0"/>
          <w:sz w:val="24"/>
        </w:rPr>
        <w:t>未尽事宜，经双方协商一致，签订补充协议，补充协议与本合同具有同等效力。</w:t>
      </w:r>
    </w:p>
    <w:p w14:paraId="1BD6CEF4">
      <w:pPr>
        <w:spacing w:line="4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 xml:space="preserve">5、合同履行完后自动终止。 </w:t>
      </w:r>
    </w:p>
    <w:tbl>
      <w:tblPr>
        <w:tblStyle w:val="11"/>
        <w:tblpPr w:leftFromText="180" w:rightFromText="180" w:vertAnchor="text" w:horzAnchor="page" w:tblpX="1485" w:tblpY="314"/>
        <w:tblOverlap w:val="never"/>
        <w:tblW w:w="93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90"/>
        <w:gridCol w:w="4470"/>
      </w:tblGrid>
      <w:tr w14:paraId="19D69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890" w:type="dxa"/>
            <w:shd w:val="clear" w:color="auto" w:fill="D7D7D7"/>
          </w:tcPr>
          <w:p w14:paraId="615D2CD2">
            <w:pPr>
              <w:pStyle w:val="18"/>
              <w:tabs>
                <w:tab w:val="left" w:pos="490"/>
              </w:tabs>
              <w:spacing w:before="80"/>
              <w:ind w:left="10"/>
              <w:jc w:val="center"/>
              <w:rPr>
                <w:rFonts w:hint="eastAsia" w:ascii="宋体" w:hAnsi="宋体" w:cs="宋体"/>
                <w:b/>
                <w:color w:val="auto"/>
                <w:sz w:val="24"/>
              </w:rPr>
            </w:pPr>
            <w:r>
              <w:rPr>
                <w:rFonts w:hint="eastAsia" w:ascii="宋体" w:hAnsi="宋体" w:cs="宋体"/>
                <w:b/>
                <w:color w:val="auto"/>
                <w:sz w:val="24"/>
              </w:rPr>
              <w:t>甲</w:t>
            </w:r>
            <w:r>
              <w:rPr>
                <w:rFonts w:hint="eastAsia" w:ascii="宋体" w:hAnsi="宋体" w:cs="宋体"/>
                <w:b/>
                <w:color w:val="auto"/>
                <w:sz w:val="24"/>
              </w:rPr>
              <w:tab/>
            </w:r>
            <w:r>
              <w:rPr>
                <w:rFonts w:hint="eastAsia" w:ascii="宋体" w:hAnsi="宋体" w:cs="宋体"/>
                <w:b/>
                <w:color w:val="auto"/>
                <w:sz w:val="24"/>
              </w:rPr>
              <w:t>方</w:t>
            </w:r>
          </w:p>
        </w:tc>
        <w:tc>
          <w:tcPr>
            <w:tcW w:w="4470" w:type="dxa"/>
            <w:shd w:val="clear" w:color="auto" w:fill="D7D7D7"/>
          </w:tcPr>
          <w:p w14:paraId="3662EA99">
            <w:pPr>
              <w:pStyle w:val="18"/>
              <w:tabs>
                <w:tab w:val="left" w:pos="490"/>
              </w:tabs>
              <w:spacing w:before="80"/>
              <w:ind w:left="10"/>
              <w:jc w:val="center"/>
              <w:rPr>
                <w:rFonts w:hint="eastAsia" w:ascii="宋体" w:hAnsi="宋体" w:cs="宋体"/>
                <w:b/>
                <w:color w:val="auto"/>
                <w:sz w:val="24"/>
              </w:rPr>
            </w:pPr>
            <w:r>
              <w:rPr>
                <w:rFonts w:hint="eastAsia" w:ascii="宋体" w:hAnsi="宋体" w:cs="宋体"/>
                <w:b/>
                <w:color w:val="auto"/>
                <w:sz w:val="24"/>
              </w:rPr>
              <w:t>乙</w:t>
            </w:r>
            <w:r>
              <w:rPr>
                <w:rFonts w:hint="eastAsia" w:ascii="宋体" w:hAnsi="宋体" w:cs="宋体"/>
                <w:b/>
                <w:color w:val="auto"/>
                <w:sz w:val="24"/>
              </w:rPr>
              <w:tab/>
            </w:r>
            <w:r>
              <w:rPr>
                <w:rFonts w:hint="eastAsia" w:ascii="宋体" w:hAnsi="宋体" w:cs="宋体"/>
                <w:b/>
                <w:color w:val="auto"/>
                <w:sz w:val="24"/>
              </w:rPr>
              <w:t>方</w:t>
            </w:r>
          </w:p>
        </w:tc>
      </w:tr>
      <w:tr w14:paraId="41DFB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8" w:hRule="atLeast"/>
        </w:trPr>
        <w:tc>
          <w:tcPr>
            <w:tcW w:w="4890" w:type="dxa"/>
          </w:tcPr>
          <w:p w14:paraId="334ECFF2">
            <w:pPr>
              <w:pStyle w:val="18"/>
              <w:spacing w:before="183"/>
              <w:ind w:left="106"/>
              <w:rPr>
                <w:rFonts w:hint="eastAsia" w:ascii="宋体" w:hAnsi="宋体" w:cs="宋体"/>
                <w:color w:val="auto"/>
                <w:sz w:val="24"/>
              </w:rPr>
            </w:pPr>
            <w:r>
              <w:rPr>
                <w:rFonts w:hint="eastAsia" w:ascii="宋体" w:hAnsi="宋体" w:cs="宋体"/>
                <w:color w:val="auto"/>
                <w:sz w:val="24"/>
              </w:rPr>
              <w:t>采购人</w:t>
            </w:r>
          </w:p>
          <w:p w14:paraId="7C1DA913">
            <w:pPr>
              <w:pStyle w:val="18"/>
              <w:spacing w:before="160"/>
              <w:ind w:left="106"/>
              <w:rPr>
                <w:rFonts w:hint="eastAsia" w:ascii="宋体" w:hAnsi="宋体" w:cs="宋体"/>
                <w:color w:val="auto"/>
                <w:sz w:val="24"/>
              </w:rPr>
            </w:pPr>
            <w:r>
              <w:rPr>
                <w:rFonts w:hint="eastAsia" w:ascii="宋体" w:hAnsi="宋体" w:cs="宋体"/>
                <w:color w:val="auto"/>
                <w:sz w:val="24"/>
              </w:rPr>
              <w:t>（公章）</w:t>
            </w:r>
          </w:p>
        </w:tc>
        <w:tc>
          <w:tcPr>
            <w:tcW w:w="4470" w:type="dxa"/>
          </w:tcPr>
          <w:p w14:paraId="6F4A2215">
            <w:pPr>
              <w:pStyle w:val="18"/>
              <w:spacing w:before="183"/>
              <w:ind w:left="107"/>
              <w:rPr>
                <w:rFonts w:hint="eastAsia" w:ascii="宋体" w:hAnsi="宋体" w:cs="宋体"/>
                <w:color w:val="auto"/>
                <w:sz w:val="24"/>
              </w:rPr>
            </w:pPr>
            <w:r>
              <w:rPr>
                <w:rFonts w:hint="eastAsia" w:ascii="宋体" w:hAnsi="宋体" w:cs="宋体"/>
                <w:color w:val="auto"/>
                <w:sz w:val="24"/>
              </w:rPr>
              <w:t>成交单位</w:t>
            </w:r>
          </w:p>
          <w:p w14:paraId="1D0EE5CF">
            <w:pPr>
              <w:pStyle w:val="18"/>
              <w:spacing w:before="160"/>
              <w:ind w:left="107"/>
              <w:rPr>
                <w:rFonts w:hint="eastAsia" w:ascii="宋体" w:hAnsi="宋体" w:cs="宋体"/>
                <w:color w:val="auto"/>
                <w:sz w:val="24"/>
              </w:rPr>
            </w:pPr>
            <w:r>
              <w:rPr>
                <w:rFonts w:hint="eastAsia" w:ascii="宋体" w:hAnsi="宋体" w:cs="宋体"/>
                <w:color w:val="auto"/>
                <w:sz w:val="24"/>
              </w:rPr>
              <w:t>（公章）</w:t>
            </w:r>
          </w:p>
        </w:tc>
      </w:tr>
      <w:tr w14:paraId="24E6E4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tcPr>
          <w:p w14:paraId="2E18A95F">
            <w:pPr>
              <w:pStyle w:val="18"/>
              <w:spacing w:before="80"/>
              <w:ind w:left="106"/>
              <w:rPr>
                <w:rFonts w:hint="eastAsia" w:ascii="宋体" w:hAnsi="宋体" w:cs="宋体"/>
                <w:color w:val="auto"/>
                <w:sz w:val="24"/>
              </w:rPr>
            </w:pPr>
            <w:r>
              <w:rPr>
                <w:rFonts w:hint="eastAsia" w:ascii="宋体" w:hAnsi="宋体" w:cs="宋体"/>
                <w:color w:val="auto"/>
                <w:sz w:val="24"/>
              </w:rPr>
              <w:t>地址：</w:t>
            </w:r>
          </w:p>
        </w:tc>
        <w:tc>
          <w:tcPr>
            <w:tcW w:w="4470" w:type="dxa"/>
          </w:tcPr>
          <w:p w14:paraId="0531C4D5">
            <w:pPr>
              <w:pStyle w:val="18"/>
              <w:spacing w:before="80"/>
              <w:ind w:left="107"/>
              <w:rPr>
                <w:rFonts w:hint="eastAsia" w:ascii="宋体" w:hAnsi="宋体" w:cs="宋体"/>
                <w:color w:val="auto"/>
                <w:sz w:val="24"/>
              </w:rPr>
            </w:pPr>
            <w:r>
              <w:rPr>
                <w:rFonts w:hint="eastAsia" w:ascii="宋体" w:hAnsi="宋体" w:cs="宋体"/>
                <w:color w:val="auto"/>
                <w:sz w:val="24"/>
              </w:rPr>
              <w:t>地址：</w:t>
            </w:r>
          </w:p>
        </w:tc>
      </w:tr>
      <w:tr w14:paraId="7DC68A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890" w:type="dxa"/>
          </w:tcPr>
          <w:p w14:paraId="7FB8C4EA">
            <w:pPr>
              <w:pStyle w:val="18"/>
              <w:spacing w:before="80"/>
              <w:ind w:left="106"/>
              <w:rPr>
                <w:rFonts w:hint="eastAsia" w:ascii="宋体" w:hAnsi="宋体" w:cs="宋体"/>
                <w:color w:val="auto"/>
                <w:sz w:val="24"/>
              </w:rPr>
            </w:pPr>
            <w:r>
              <w:rPr>
                <w:rFonts w:hint="eastAsia" w:ascii="宋体" w:hAnsi="宋体" w:cs="宋体"/>
                <w:color w:val="auto"/>
                <w:sz w:val="24"/>
              </w:rPr>
              <w:t>邮编：</w:t>
            </w:r>
          </w:p>
        </w:tc>
        <w:tc>
          <w:tcPr>
            <w:tcW w:w="4470" w:type="dxa"/>
          </w:tcPr>
          <w:p w14:paraId="036BF26B">
            <w:pPr>
              <w:pStyle w:val="18"/>
              <w:spacing w:before="80"/>
              <w:ind w:left="107"/>
              <w:rPr>
                <w:rFonts w:hint="eastAsia" w:ascii="宋体" w:hAnsi="宋体" w:cs="宋体"/>
                <w:color w:val="auto"/>
                <w:sz w:val="24"/>
              </w:rPr>
            </w:pPr>
            <w:r>
              <w:rPr>
                <w:rFonts w:hint="eastAsia" w:ascii="宋体" w:hAnsi="宋体" w:cs="宋体"/>
                <w:color w:val="auto"/>
                <w:sz w:val="24"/>
              </w:rPr>
              <w:t>邮编：</w:t>
            </w:r>
          </w:p>
        </w:tc>
      </w:tr>
      <w:tr w14:paraId="289BC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tcPr>
          <w:p w14:paraId="55A8DA51">
            <w:pPr>
              <w:pStyle w:val="18"/>
              <w:spacing w:before="82"/>
              <w:ind w:left="106"/>
              <w:rPr>
                <w:rFonts w:hint="eastAsia" w:ascii="宋体" w:hAnsi="宋体" w:cs="宋体"/>
                <w:color w:val="auto"/>
                <w:sz w:val="24"/>
              </w:rPr>
            </w:pPr>
            <w:r>
              <w:rPr>
                <w:rFonts w:hint="eastAsia" w:ascii="宋体" w:hAnsi="宋体" w:cs="宋体"/>
                <w:color w:val="auto"/>
                <w:sz w:val="24"/>
              </w:rPr>
              <w:t>法定代表人：</w:t>
            </w:r>
          </w:p>
        </w:tc>
        <w:tc>
          <w:tcPr>
            <w:tcW w:w="4470" w:type="dxa"/>
          </w:tcPr>
          <w:p w14:paraId="54B41876">
            <w:pPr>
              <w:pStyle w:val="18"/>
              <w:spacing w:before="82"/>
              <w:ind w:left="107"/>
              <w:rPr>
                <w:rFonts w:hint="eastAsia" w:ascii="宋体" w:hAnsi="宋体" w:cs="宋体"/>
                <w:color w:val="auto"/>
                <w:sz w:val="24"/>
              </w:rPr>
            </w:pPr>
            <w:r>
              <w:rPr>
                <w:rFonts w:hint="eastAsia" w:ascii="宋体" w:hAnsi="宋体" w:cs="宋体"/>
                <w:color w:val="auto"/>
                <w:sz w:val="24"/>
              </w:rPr>
              <w:t>法定代表人：</w:t>
            </w:r>
          </w:p>
        </w:tc>
      </w:tr>
      <w:tr w14:paraId="6D348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tcPr>
          <w:p w14:paraId="1C198EE6">
            <w:pPr>
              <w:pStyle w:val="18"/>
              <w:spacing w:before="81"/>
              <w:ind w:left="106"/>
              <w:rPr>
                <w:rFonts w:hint="eastAsia" w:ascii="宋体" w:hAnsi="宋体" w:cs="宋体"/>
                <w:color w:val="auto"/>
                <w:sz w:val="24"/>
              </w:rPr>
            </w:pPr>
            <w:r>
              <w:rPr>
                <w:rFonts w:hint="eastAsia" w:ascii="宋体" w:hAnsi="宋体" w:cs="宋体"/>
                <w:color w:val="auto"/>
                <w:sz w:val="24"/>
              </w:rPr>
              <w:t>负责人：（签字）</w:t>
            </w:r>
          </w:p>
        </w:tc>
        <w:tc>
          <w:tcPr>
            <w:tcW w:w="4470" w:type="dxa"/>
          </w:tcPr>
          <w:p w14:paraId="3B10B9AD">
            <w:pPr>
              <w:pStyle w:val="18"/>
              <w:spacing w:before="81"/>
              <w:ind w:left="107"/>
              <w:rPr>
                <w:rFonts w:hint="eastAsia" w:ascii="宋体" w:hAnsi="宋体" w:cs="宋体"/>
                <w:color w:val="auto"/>
                <w:sz w:val="24"/>
              </w:rPr>
            </w:pPr>
            <w:r>
              <w:rPr>
                <w:rFonts w:hint="eastAsia" w:ascii="宋体" w:hAnsi="宋体" w:cs="宋体"/>
                <w:color w:val="auto"/>
                <w:sz w:val="24"/>
              </w:rPr>
              <w:t>负责人：（签字）</w:t>
            </w:r>
          </w:p>
        </w:tc>
      </w:tr>
      <w:tr w14:paraId="7681F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890" w:type="dxa"/>
          </w:tcPr>
          <w:p w14:paraId="5787A845">
            <w:pPr>
              <w:pStyle w:val="18"/>
              <w:spacing w:before="81"/>
              <w:ind w:left="106"/>
              <w:rPr>
                <w:rFonts w:hint="eastAsia" w:ascii="宋体" w:hAnsi="宋体" w:cs="宋体"/>
                <w:color w:val="auto"/>
                <w:sz w:val="24"/>
              </w:rPr>
            </w:pPr>
            <w:r>
              <w:rPr>
                <w:rFonts w:hint="eastAsia" w:ascii="宋体" w:hAnsi="宋体" w:cs="宋体"/>
                <w:color w:val="auto"/>
                <w:sz w:val="24"/>
              </w:rPr>
              <w:t>电话：</w:t>
            </w:r>
          </w:p>
        </w:tc>
        <w:tc>
          <w:tcPr>
            <w:tcW w:w="4470" w:type="dxa"/>
          </w:tcPr>
          <w:p w14:paraId="4E122A23">
            <w:pPr>
              <w:pStyle w:val="18"/>
              <w:spacing w:before="81"/>
              <w:ind w:left="107"/>
              <w:rPr>
                <w:rFonts w:hint="eastAsia" w:ascii="宋体" w:hAnsi="宋体" w:cs="宋体"/>
                <w:color w:val="auto"/>
                <w:sz w:val="24"/>
              </w:rPr>
            </w:pPr>
            <w:r>
              <w:rPr>
                <w:rFonts w:hint="eastAsia" w:ascii="宋体" w:hAnsi="宋体" w:cs="宋体"/>
                <w:color w:val="auto"/>
                <w:sz w:val="24"/>
              </w:rPr>
              <w:t>电话：</w:t>
            </w:r>
          </w:p>
        </w:tc>
      </w:tr>
      <w:tr w14:paraId="66AA2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tcPr>
          <w:p w14:paraId="07344BF8">
            <w:pPr>
              <w:pStyle w:val="18"/>
              <w:spacing w:before="81"/>
              <w:ind w:left="106"/>
              <w:rPr>
                <w:rFonts w:hint="eastAsia" w:ascii="宋体" w:hAnsi="宋体" w:cs="宋体"/>
                <w:color w:val="auto"/>
                <w:sz w:val="24"/>
              </w:rPr>
            </w:pPr>
            <w:r>
              <w:rPr>
                <w:rFonts w:hint="eastAsia" w:ascii="宋体" w:hAnsi="宋体" w:cs="宋体"/>
                <w:color w:val="auto"/>
                <w:sz w:val="24"/>
              </w:rPr>
              <w:t>传真：</w:t>
            </w:r>
          </w:p>
        </w:tc>
        <w:tc>
          <w:tcPr>
            <w:tcW w:w="4470" w:type="dxa"/>
          </w:tcPr>
          <w:p w14:paraId="3323FE24">
            <w:pPr>
              <w:pStyle w:val="18"/>
              <w:spacing w:before="81"/>
              <w:ind w:left="107"/>
              <w:rPr>
                <w:rFonts w:hint="eastAsia" w:ascii="宋体" w:hAnsi="宋体" w:cs="宋体"/>
                <w:color w:val="auto"/>
                <w:sz w:val="24"/>
              </w:rPr>
            </w:pPr>
            <w:r>
              <w:rPr>
                <w:rFonts w:hint="eastAsia" w:ascii="宋体" w:hAnsi="宋体" w:cs="宋体"/>
                <w:color w:val="auto"/>
                <w:sz w:val="24"/>
              </w:rPr>
              <w:t>传真：</w:t>
            </w:r>
          </w:p>
        </w:tc>
      </w:tr>
      <w:tr w14:paraId="02983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tcPr>
          <w:p w14:paraId="359ED1E9">
            <w:pPr>
              <w:pStyle w:val="18"/>
              <w:rPr>
                <w:rFonts w:hint="eastAsia" w:ascii="宋体" w:hAnsi="宋体" w:cs="宋体"/>
                <w:color w:val="auto"/>
              </w:rPr>
            </w:pPr>
          </w:p>
        </w:tc>
        <w:tc>
          <w:tcPr>
            <w:tcW w:w="4470" w:type="dxa"/>
          </w:tcPr>
          <w:p w14:paraId="6BC5E313">
            <w:pPr>
              <w:pStyle w:val="18"/>
              <w:spacing w:before="80"/>
              <w:ind w:left="107"/>
              <w:rPr>
                <w:rFonts w:hint="eastAsia" w:ascii="宋体" w:hAnsi="宋体" w:cs="宋体"/>
                <w:color w:val="auto"/>
                <w:sz w:val="24"/>
              </w:rPr>
            </w:pPr>
            <w:r>
              <w:rPr>
                <w:rFonts w:hint="eastAsia" w:ascii="宋体" w:hAnsi="宋体" w:cs="宋体"/>
                <w:color w:val="auto"/>
                <w:sz w:val="24"/>
              </w:rPr>
              <w:t>开户银行：</w:t>
            </w:r>
          </w:p>
        </w:tc>
      </w:tr>
      <w:tr w14:paraId="27100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890" w:type="dxa"/>
          </w:tcPr>
          <w:p w14:paraId="7C1F4AD7">
            <w:pPr>
              <w:pStyle w:val="18"/>
              <w:rPr>
                <w:rFonts w:hint="eastAsia" w:ascii="宋体" w:hAnsi="宋体" w:cs="宋体"/>
                <w:color w:val="auto"/>
              </w:rPr>
            </w:pPr>
          </w:p>
        </w:tc>
        <w:tc>
          <w:tcPr>
            <w:tcW w:w="4470" w:type="dxa"/>
          </w:tcPr>
          <w:p w14:paraId="7576231D">
            <w:pPr>
              <w:pStyle w:val="18"/>
              <w:spacing w:before="80"/>
              <w:ind w:left="107"/>
              <w:rPr>
                <w:rFonts w:hint="eastAsia" w:ascii="宋体" w:hAnsi="宋体" w:cs="宋体"/>
                <w:color w:val="auto"/>
                <w:sz w:val="24"/>
              </w:rPr>
            </w:pPr>
            <w:r>
              <w:rPr>
                <w:rFonts w:hint="eastAsia" w:ascii="宋体" w:hAnsi="宋体" w:cs="宋体"/>
                <w:color w:val="auto"/>
                <w:sz w:val="24"/>
              </w:rPr>
              <w:t>账号：</w:t>
            </w:r>
          </w:p>
        </w:tc>
      </w:tr>
      <w:tr w14:paraId="1FD88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tcPr>
          <w:p w14:paraId="32A09710">
            <w:pPr>
              <w:pStyle w:val="18"/>
              <w:tabs>
                <w:tab w:val="left" w:pos="1186"/>
                <w:tab w:val="left" w:pos="1666"/>
                <w:tab w:val="left" w:pos="2146"/>
              </w:tabs>
              <w:spacing w:before="82"/>
              <w:ind w:left="106"/>
              <w:rPr>
                <w:rFonts w:hint="eastAsia" w:ascii="宋体" w:hAnsi="宋体" w:cs="宋体"/>
                <w:color w:val="auto"/>
                <w:sz w:val="24"/>
              </w:rPr>
            </w:pPr>
            <w:r>
              <w:rPr>
                <w:rFonts w:hint="eastAsia" w:ascii="宋体" w:hAnsi="宋体" w:cs="宋体"/>
                <w:color w:val="auto"/>
                <w:sz w:val="24"/>
              </w:rPr>
              <w:t>日期：</w:t>
            </w:r>
            <w:r>
              <w:rPr>
                <w:rFonts w:hint="eastAsia" w:ascii="宋体" w:hAnsi="宋体" w:cs="宋体"/>
                <w:color w:val="auto"/>
                <w:sz w:val="24"/>
              </w:rPr>
              <w:tab/>
            </w:r>
            <w:r>
              <w:rPr>
                <w:rFonts w:hint="eastAsia" w:ascii="宋体" w:hAnsi="宋体" w:cs="宋体"/>
                <w:color w:val="auto"/>
                <w:sz w:val="24"/>
              </w:rPr>
              <w:t>年</w:t>
            </w:r>
            <w:r>
              <w:rPr>
                <w:rFonts w:hint="eastAsia" w:ascii="宋体" w:hAnsi="宋体" w:cs="宋体"/>
                <w:color w:val="auto"/>
                <w:sz w:val="24"/>
              </w:rPr>
              <w:tab/>
            </w:r>
            <w:r>
              <w:rPr>
                <w:rFonts w:hint="eastAsia" w:ascii="宋体" w:hAnsi="宋体" w:cs="宋体"/>
                <w:color w:val="auto"/>
                <w:sz w:val="24"/>
              </w:rPr>
              <w:t>月</w:t>
            </w:r>
            <w:r>
              <w:rPr>
                <w:rFonts w:hint="eastAsia" w:ascii="宋体" w:hAnsi="宋体" w:cs="宋体"/>
                <w:color w:val="auto"/>
                <w:sz w:val="24"/>
              </w:rPr>
              <w:tab/>
            </w:r>
            <w:r>
              <w:rPr>
                <w:rFonts w:hint="eastAsia" w:ascii="宋体" w:hAnsi="宋体" w:cs="宋体"/>
                <w:color w:val="auto"/>
                <w:sz w:val="24"/>
              </w:rPr>
              <w:t>日</w:t>
            </w:r>
          </w:p>
        </w:tc>
        <w:tc>
          <w:tcPr>
            <w:tcW w:w="4470" w:type="dxa"/>
          </w:tcPr>
          <w:p w14:paraId="3DD6FCFF">
            <w:pPr>
              <w:pStyle w:val="18"/>
              <w:tabs>
                <w:tab w:val="left" w:pos="1187"/>
                <w:tab w:val="left" w:pos="1667"/>
                <w:tab w:val="left" w:pos="2147"/>
              </w:tabs>
              <w:spacing w:before="82"/>
              <w:ind w:left="107"/>
              <w:rPr>
                <w:rFonts w:hint="eastAsia" w:ascii="宋体" w:hAnsi="宋体" w:cs="宋体"/>
                <w:color w:val="auto"/>
                <w:sz w:val="24"/>
              </w:rPr>
            </w:pPr>
            <w:r>
              <w:rPr>
                <w:rFonts w:hint="eastAsia" w:ascii="宋体" w:hAnsi="宋体" w:cs="宋体"/>
                <w:color w:val="auto"/>
                <w:sz w:val="24"/>
              </w:rPr>
              <w:t>日期：</w:t>
            </w:r>
            <w:r>
              <w:rPr>
                <w:rFonts w:hint="eastAsia" w:ascii="宋体" w:hAnsi="宋体" w:cs="宋体"/>
                <w:color w:val="auto"/>
                <w:sz w:val="24"/>
              </w:rPr>
              <w:tab/>
            </w:r>
            <w:r>
              <w:rPr>
                <w:rFonts w:hint="eastAsia" w:ascii="宋体" w:hAnsi="宋体" w:cs="宋体"/>
                <w:color w:val="auto"/>
                <w:sz w:val="24"/>
              </w:rPr>
              <w:t>年</w:t>
            </w:r>
            <w:r>
              <w:rPr>
                <w:rFonts w:hint="eastAsia" w:ascii="宋体" w:hAnsi="宋体" w:cs="宋体"/>
                <w:color w:val="auto"/>
                <w:sz w:val="24"/>
              </w:rPr>
              <w:tab/>
            </w:r>
            <w:r>
              <w:rPr>
                <w:rFonts w:hint="eastAsia" w:ascii="宋体" w:hAnsi="宋体" w:cs="宋体"/>
                <w:color w:val="auto"/>
                <w:sz w:val="24"/>
              </w:rPr>
              <w:t>月</w:t>
            </w:r>
            <w:r>
              <w:rPr>
                <w:rFonts w:hint="eastAsia" w:ascii="宋体" w:hAnsi="宋体" w:cs="宋体"/>
                <w:color w:val="auto"/>
                <w:sz w:val="24"/>
              </w:rPr>
              <w:tab/>
            </w:r>
            <w:r>
              <w:rPr>
                <w:rFonts w:hint="eastAsia" w:ascii="宋体" w:hAnsi="宋体" w:cs="宋体"/>
                <w:color w:val="auto"/>
                <w:sz w:val="24"/>
              </w:rPr>
              <w:t>日</w:t>
            </w:r>
          </w:p>
        </w:tc>
      </w:tr>
    </w:tbl>
    <w:p w14:paraId="5918C01A">
      <w:pPr>
        <w:rPr>
          <w:color w:val="auto"/>
        </w:rPr>
      </w:pPr>
    </w:p>
    <w:p w14:paraId="720DAAAB">
      <w:pPr>
        <w:rPr>
          <w:color w:val="auto"/>
        </w:rPr>
      </w:pPr>
    </w:p>
    <w:bookmarkEnd w:id="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atangCh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6D67A"/>
    <w:multiLevelType w:val="singleLevel"/>
    <w:tmpl w:val="0FB6D67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A93"/>
    <w:rsid w:val="00003656"/>
    <w:rsid w:val="001149C2"/>
    <w:rsid w:val="00127DC9"/>
    <w:rsid w:val="00230EBA"/>
    <w:rsid w:val="002D5A21"/>
    <w:rsid w:val="00407E21"/>
    <w:rsid w:val="004B3601"/>
    <w:rsid w:val="005A2474"/>
    <w:rsid w:val="005D3144"/>
    <w:rsid w:val="00740CFB"/>
    <w:rsid w:val="007957FC"/>
    <w:rsid w:val="008B7C7C"/>
    <w:rsid w:val="008E6A5F"/>
    <w:rsid w:val="00A132D0"/>
    <w:rsid w:val="00A5283F"/>
    <w:rsid w:val="00C27817"/>
    <w:rsid w:val="00C27D7A"/>
    <w:rsid w:val="00D848E0"/>
    <w:rsid w:val="00F2348E"/>
    <w:rsid w:val="00F50A1A"/>
    <w:rsid w:val="00FC5A93"/>
    <w:rsid w:val="066773BC"/>
    <w:rsid w:val="06A80104"/>
    <w:rsid w:val="0C544918"/>
    <w:rsid w:val="1E0A3D06"/>
    <w:rsid w:val="1F5E168C"/>
    <w:rsid w:val="236D646B"/>
    <w:rsid w:val="24AA1001"/>
    <w:rsid w:val="2E9D6073"/>
    <w:rsid w:val="34592C5E"/>
    <w:rsid w:val="38257A27"/>
    <w:rsid w:val="484D2428"/>
    <w:rsid w:val="58E063BC"/>
    <w:rsid w:val="5A9C6FAA"/>
    <w:rsid w:val="61C256A4"/>
    <w:rsid w:val="6238338A"/>
    <w:rsid w:val="64244097"/>
    <w:rsid w:val="67160032"/>
    <w:rsid w:val="71605C19"/>
    <w:rsid w:val="77061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3"/>
    <w:qFormat/>
    <w:uiPriority w:val="0"/>
    <w:pPr>
      <w:widowControl/>
      <w:spacing w:before="120" w:after="240" w:line="600" w:lineRule="exact"/>
      <w:ind w:right="238"/>
      <w:jc w:val="center"/>
      <w:outlineLvl w:val="0"/>
    </w:pPr>
    <w:rPr>
      <w:rFonts w:ascii="宋体" w:hAnsi="宋体" w:cs="宋体"/>
      <w:b/>
      <w:bCs/>
      <w:snapToGrid w:val="0"/>
      <w:color w:val="000000"/>
      <w:kern w:val="36"/>
      <w:sz w:val="30"/>
      <w:szCs w:val="14"/>
      <w:lang w:eastAsia="en-US"/>
    </w:rPr>
  </w:style>
  <w:style w:type="paragraph" w:styleId="4">
    <w:name w:val="heading 2"/>
    <w:basedOn w:val="1"/>
    <w:next w:val="1"/>
    <w:link w:val="14"/>
    <w:semiHidden/>
    <w:unhideWhenUsed/>
    <w:qFormat/>
    <w:uiPriority w:val="0"/>
    <w:pPr>
      <w:keepNext/>
      <w:keepLines/>
      <w:spacing w:before="260" w:after="260" w:line="560" w:lineRule="exact"/>
      <w:jc w:val="center"/>
      <w:outlineLvl w:val="1"/>
    </w:pPr>
    <w:rPr>
      <w:rFonts w:ascii="Cambria" w:hAnsi="Cambria"/>
      <w:b/>
      <w:bCs/>
      <w:snapToGrid w:val="0"/>
      <w:color w:val="000000"/>
      <w:kern w:val="0"/>
      <w:sz w:val="30"/>
      <w:szCs w:val="32"/>
      <w:lang w:eastAsia="en-US"/>
    </w:rPr>
  </w:style>
  <w:style w:type="paragraph" w:styleId="5">
    <w:name w:val="heading 3"/>
    <w:basedOn w:val="1"/>
    <w:next w:val="1"/>
    <w:semiHidden/>
    <w:unhideWhenUsed/>
    <w:qFormat/>
    <w:uiPriority w:val="0"/>
    <w:pPr>
      <w:keepNext/>
      <w:keepLines/>
      <w:spacing w:before="260" w:after="260" w:line="413" w:lineRule="auto"/>
      <w:jc w:val="center"/>
      <w:outlineLvl w:val="2"/>
    </w:pPr>
    <w:rPr>
      <w:rFonts w:ascii="Arial" w:hAnsi="Arial" w:eastAsia="Arial" w:cs="Arial"/>
      <w:b/>
      <w:snapToGrid w:val="0"/>
      <w:color w:val="000000"/>
      <w:kern w:val="0"/>
      <w:sz w:val="32"/>
      <w:szCs w:val="21"/>
      <w:lang w:eastAsia="en-US"/>
    </w:rPr>
  </w:style>
  <w:style w:type="paragraph" w:styleId="6">
    <w:name w:val="heading 4"/>
    <w:basedOn w:val="1"/>
    <w:next w:val="1"/>
    <w:semiHidden/>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3">
    <w:name w:val="论文正文_0"/>
    <w:basedOn w:val="1"/>
    <w:qFormat/>
    <w:uiPriority w:val="0"/>
    <w:pPr>
      <w:adjustRightInd w:val="0"/>
      <w:spacing w:before="62" w:beforeLines="20"/>
      <w:ind w:left="480"/>
    </w:pPr>
  </w:style>
  <w:style w:type="paragraph" w:styleId="7">
    <w:name w:val="toa heading"/>
    <w:basedOn w:val="1"/>
    <w:next w:val="1"/>
    <w:semiHidden/>
    <w:qFormat/>
    <w:uiPriority w:val="0"/>
    <w:pPr>
      <w:spacing w:before="120"/>
    </w:pPr>
    <w:rPr>
      <w:rFonts w:ascii="Arial" w:hAnsi="Arial" w:cs="Arial"/>
      <w:sz w:val="24"/>
    </w:rPr>
  </w:style>
  <w:style w:type="paragraph" w:styleId="8">
    <w:name w:val="Body Text"/>
    <w:basedOn w:val="1"/>
    <w:qFormat/>
    <w:uiPriority w:val="0"/>
    <w:pPr>
      <w:spacing w:after="120"/>
    </w:pPr>
  </w:style>
  <w:style w:type="paragraph" w:styleId="9">
    <w:name w:val="footer"/>
    <w:basedOn w:val="1"/>
    <w:link w:val="20"/>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tabs>
        <w:tab w:val="center" w:pos="4153"/>
        <w:tab w:val="right" w:pos="8306"/>
      </w:tabs>
      <w:snapToGrid w:val="0"/>
      <w:jc w:val="center"/>
    </w:pPr>
    <w:rPr>
      <w:sz w:val="18"/>
      <w:szCs w:val="18"/>
    </w:rPr>
  </w:style>
  <w:style w:type="character" w:customStyle="1" w:styleId="13">
    <w:name w:val="标题 1 字符"/>
    <w:basedOn w:val="12"/>
    <w:link w:val="2"/>
    <w:qFormat/>
    <w:uiPriority w:val="0"/>
    <w:rPr>
      <w:rFonts w:ascii="宋体" w:hAnsi="宋体" w:eastAsia="宋体" w:cs="宋体"/>
      <w:b/>
      <w:bCs/>
      <w:snapToGrid w:val="0"/>
      <w:color w:val="000000"/>
      <w:kern w:val="36"/>
      <w:sz w:val="30"/>
      <w:szCs w:val="14"/>
      <w:lang w:eastAsia="en-US"/>
    </w:rPr>
  </w:style>
  <w:style w:type="character" w:customStyle="1" w:styleId="14">
    <w:name w:val="标题 2 字符"/>
    <w:link w:val="4"/>
    <w:qFormat/>
    <w:uiPriority w:val="0"/>
    <w:rPr>
      <w:rFonts w:ascii="Cambria" w:hAnsi="Cambria" w:eastAsia="宋体" w:cs="Times New Roman"/>
      <w:b/>
      <w:bCs/>
      <w:snapToGrid w:val="0"/>
      <w:color w:val="000000"/>
      <w:kern w:val="0"/>
      <w:sz w:val="30"/>
      <w:szCs w:val="32"/>
      <w:lang w:eastAsia="en-US"/>
    </w:rPr>
  </w:style>
  <w:style w:type="paragraph" w:customStyle="1" w:styleId="15">
    <w:name w:val="正文缩进_0"/>
    <w:basedOn w:val="16"/>
    <w:unhideWhenUsed/>
    <w:qFormat/>
    <w:uiPriority w:val="0"/>
    <w:pPr>
      <w:adjustRightInd w:val="0"/>
      <w:spacing w:line="360" w:lineRule="atLeast"/>
      <w:ind w:firstLine="482"/>
    </w:pPr>
    <w:rPr>
      <w:kern w:val="0"/>
      <w:sz w:val="24"/>
      <w:szCs w:val="20"/>
    </w:rPr>
  </w:style>
  <w:style w:type="paragraph" w:customStyle="1" w:styleId="16">
    <w:name w:val="正文_1"/>
    <w:basedOn w:val="1"/>
    <w:qFormat/>
    <w:uiPriority w:val="0"/>
    <w:rPr>
      <w:rFonts w:ascii="Calibri" w:hAnsi="Calibri"/>
      <w:szCs w:val="22"/>
    </w:rPr>
  </w:style>
  <w:style w:type="paragraph" w:customStyle="1" w:styleId="17">
    <w:name w:val="样式 首行缩进:  2 字符_0"/>
    <w:basedOn w:val="16"/>
    <w:qFormat/>
    <w:uiPriority w:val="0"/>
    <w:pPr>
      <w:spacing w:line="400" w:lineRule="exact"/>
      <w:ind w:firstLine="200" w:firstLineChars="200"/>
    </w:pPr>
    <w:rPr>
      <w:rFonts w:ascii="宋体" w:cs="宋体"/>
      <w:kern w:val="0"/>
      <w:sz w:val="24"/>
      <w:szCs w:val="20"/>
    </w:rPr>
  </w:style>
  <w:style w:type="paragraph" w:customStyle="1" w:styleId="18">
    <w:name w:val="Table Paragraph"/>
    <w:basedOn w:val="1"/>
    <w:qFormat/>
    <w:uiPriority w:val="0"/>
    <w:pPr>
      <w:jc w:val="left"/>
    </w:pPr>
    <w:rPr>
      <w:rFonts w:ascii="Calibri" w:hAnsi="Calibri"/>
      <w:kern w:val="0"/>
      <w:sz w:val="22"/>
      <w:szCs w:val="22"/>
    </w:rPr>
  </w:style>
  <w:style w:type="character" w:customStyle="1" w:styleId="19">
    <w:name w:val="页眉 字符"/>
    <w:basedOn w:val="12"/>
    <w:link w:val="10"/>
    <w:qFormat/>
    <w:uiPriority w:val="0"/>
    <w:rPr>
      <w:rFonts w:ascii="Times New Roman" w:hAnsi="Times New Roman" w:eastAsia="宋体" w:cs="Times New Roman"/>
      <w:kern w:val="2"/>
      <w:sz w:val="18"/>
      <w:szCs w:val="18"/>
    </w:rPr>
  </w:style>
  <w:style w:type="character" w:customStyle="1" w:styleId="20">
    <w:name w:val="页脚 字符"/>
    <w:basedOn w:val="12"/>
    <w:link w:val="9"/>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2800</Words>
  <Characters>2865</Characters>
  <Lines>22</Lines>
  <Paragraphs>6</Paragraphs>
  <TotalTime>3</TotalTime>
  <ScaleCrop>false</ScaleCrop>
  <LinksUpToDate>false</LinksUpToDate>
  <CharactersWithSpaces>3160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2025-04-14T02:55:00Z</dcterms:created>
  <dc:creator>SXZYT</dc:creator>
  <cp:lastModifiedBy>快乐猫</cp:lastModifiedBy>
  <dcterms:modified xsi:type="dcterms:W3CDTF">2025-09-11T07:48:55Z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88960F0020374DB78E3D12BA91E078CC_12</vt:lpwstr>
  </property>
  <property fmtid="{D5CDD505-2E9C-101B-9397-08002B2CF9AE}" pid="4" name="KSOTemplateDocerSaveRecord">
    <vt:lpwstr>eyJoZGlkIjoiODViY2JkMjU3NGYzZTEwMzZmMGFkZWViYmNkYWU3NDIiLCJ1c2VySWQiOiIxNTE3ODQyNzU3In0=</vt:lpwstr>
  </property>
</Properties>
</file>