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5391A">
      <w:pPr>
        <w:pStyle w:val="4"/>
        <w:bidi w:val="0"/>
        <w:jc w:val="center"/>
        <w:outlineLvl w:val="1"/>
        <w:rPr>
          <w:rFonts w:hint="eastAsia" w:ascii="宋体" w:hAnsi="宋体" w:eastAsia="宋体" w:cs="宋体"/>
          <w:color w:val="auto"/>
          <w:lang w:val="en-US" w:eastAsia="zh-CN"/>
        </w:rPr>
      </w:pPr>
      <w:r>
        <w:rPr>
          <w:rFonts w:hint="eastAsia" w:ascii="宋体" w:hAnsi="宋体" w:eastAsia="宋体" w:cs="宋体"/>
          <w:color w:val="auto"/>
          <w:lang w:val="en-US" w:eastAsia="zh-CN"/>
        </w:rPr>
        <w:t>供应商应提供的资格证明文件</w:t>
      </w:r>
    </w:p>
    <w:p w14:paraId="6B415E98">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1E5546E9">
      <w:pPr>
        <w:pStyle w:val="7"/>
        <w:keepNext w:val="0"/>
        <w:keepLines w:val="0"/>
        <w:pageBreakBefore w:val="0"/>
        <w:numPr>
          <w:ilvl w:val="0"/>
          <w:numId w:val="0"/>
        </w:numPr>
        <w:kinsoku/>
        <w:wordWrap/>
        <w:overflowPunct/>
        <w:topLinePunct w:val="0"/>
        <w:autoSpaceDE/>
        <w:autoSpaceDN/>
        <w:bidi w:val="0"/>
        <w:spacing w:before="0" w:beforeAutospacing="0" w:after="0" w:afterAutospacing="0" w:line="460" w:lineRule="exac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w:t>
      </w:r>
      <w:r>
        <w:rPr>
          <w:rFonts w:hint="eastAsia" w:eastAsia="宋体" w:cs="宋体"/>
          <w:color w:val="auto"/>
          <w:kern w:val="2"/>
          <w:sz w:val="24"/>
          <w:szCs w:val="24"/>
          <w:lang w:eastAsia="zh-CN"/>
        </w:rPr>
        <w:t>、</w:t>
      </w:r>
      <w:r>
        <w:rPr>
          <w:rFonts w:hint="eastAsia" w:ascii="宋体" w:hAnsi="宋体" w:eastAsia="宋体" w:cs="宋体"/>
          <w:color w:val="auto"/>
          <w:kern w:val="2"/>
          <w:sz w:val="24"/>
          <w:szCs w:val="24"/>
        </w:rPr>
        <w:t>基本资格条件：符合《中华人民共和国政府采购法》第二十二条的规定；</w:t>
      </w:r>
    </w:p>
    <w:p w14:paraId="6DDCF21B">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应具有独立承担民事责任的能力的企业法人、事业法人、其他组织或自然人，出具合法有效的营业执照或事业单位法人证书等国家规定的相关证明，自然人参与的提供其身份证明；</w:t>
      </w:r>
    </w:p>
    <w:p w14:paraId="4D9EBE2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w:t>
      </w:r>
      <w:r>
        <w:rPr>
          <w:rFonts w:hint="eastAsia" w:ascii="宋体" w:hAnsi="宋体" w:cs="宋体"/>
          <w:color w:val="auto"/>
          <w:sz w:val="24"/>
          <w:szCs w:val="24"/>
          <w:highlight w:val="none"/>
          <w:lang w:eastAsia="zh-CN"/>
        </w:rPr>
        <w:t>提供经审计</w:t>
      </w:r>
      <w:r>
        <w:rPr>
          <w:rFonts w:hint="eastAsia" w:ascii="宋体" w:hAnsi="宋体" w:cs="宋体"/>
          <w:color w:val="auto"/>
          <w:sz w:val="24"/>
          <w:szCs w:val="24"/>
          <w:highlight w:val="none"/>
          <w:lang w:val="en-US" w:eastAsia="zh-CN"/>
        </w:rPr>
        <w:t>的</w:t>
      </w:r>
      <w:r>
        <w:rPr>
          <w:rFonts w:hint="eastAsia" w:ascii="宋体" w:hAnsi="宋体" w:eastAsia="宋体" w:cs="宋体"/>
          <w:color w:val="auto"/>
          <w:sz w:val="24"/>
          <w:szCs w:val="24"/>
          <w:highlight w:val="none"/>
          <w:lang w:val="en-US" w:eastAsia="zh-CN"/>
        </w:rPr>
        <w:t>2024年度</w:t>
      </w:r>
      <w:r>
        <w:rPr>
          <w:rFonts w:hint="eastAsia" w:ascii="宋体" w:hAnsi="宋体" w:eastAsia="宋体" w:cs="宋体"/>
          <w:color w:val="auto"/>
          <w:sz w:val="24"/>
          <w:szCs w:val="24"/>
          <w:highlight w:val="none"/>
        </w:rPr>
        <w:t>的财务报告或提交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截止时间前六个月内其基本账户开户银行出具的资信证明</w:t>
      </w:r>
      <w:r>
        <w:rPr>
          <w:rFonts w:hint="eastAsia" w:ascii="宋体" w:hAnsi="宋体" w:eastAsia="宋体" w:cs="宋体"/>
          <w:color w:val="auto"/>
          <w:sz w:val="24"/>
          <w:szCs w:val="24"/>
          <w:highlight w:val="none"/>
          <w:lang w:val="en-US" w:eastAsia="zh-CN"/>
        </w:rPr>
        <w:t>及基本存款账户信息</w:t>
      </w:r>
      <w:r>
        <w:rPr>
          <w:rFonts w:hint="eastAsia" w:ascii="宋体" w:hAnsi="宋体" w:eastAsia="宋体" w:cs="宋体"/>
          <w:color w:val="auto"/>
          <w:sz w:val="24"/>
          <w:szCs w:val="24"/>
          <w:highlight w:val="none"/>
        </w:rPr>
        <w:t>；其他组织和自然人提供银行出具的资信证明或财务报表；</w:t>
      </w:r>
    </w:p>
    <w:p w14:paraId="5E49914D">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w:t>
      </w:r>
      <w:r>
        <w:rPr>
          <w:rFonts w:hint="eastAsia" w:ascii="宋体" w:hAnsi="宋体" w:eastAsia="宋体" w:cs="宋体"/>
          <w:color w:val="auto"/>
          <w:sz w:val="24"/>
          <w:szCs w:val="24"/>
          <w:highlight w:val="none"/>
          <w:lang w:eastAsia="zh-CN"/>
        </w:rPr>
        <w:t>供应商202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9月份</w:t>
      </w:r>
      <w:r>
        <w:rPr>
          <w:rFonts w:hint="eastAsia" w:ascii="宋体" w:hAnsi="宋体" w:eastAsia="宋体" w:cs="宋体"/>
          <w:color w:val="auto"/>
          <w:sz w:val="24"/>
          <w:szCs w:val="24"/>
          <w:highlight w:val="none"/>
          <w:lang w:eastAsia="zh-CN"/>
        </w:rPr>
        <w:t>至今已缴纳任意一个月完税凭证</w:t>
      </w:r>
      <w:r>
        <w:rPr>
          <w:rFonts w:hint="eastAsia" w:ascii="宋体" w:hAnsi="宋体" w:eastAsia="宋体" w:cs="宋体"/>
          <w:color w:val="auto"/>
          <w:sz w:val="24"/>
          <w:szCs w:val="24"/>
          <w:highlight w:val="none"/>
        </w:rPr>
        <w:t xml:space="preserve">或税务机关开具的完税证明（任意税种）；依法免税的应提供税务机关开具的免税证明； </w:t>
      </w:r>
    </w:p>
    <w:p w14:paraId="5F867AAF">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4、社会保障资金缴纳证明：提供供应商2024年9月份至今已缴纳任意一个月的社会保障完税证明或社保机构开具的社会保险参保缴费情况证明；依法不需要缴纳社会保障资金的应提供相关</w:t>
      </w:r>
      <w:bookmarkStart w:id="37" w:name="_GoBack"/>
      <w:r>
        <w:rPr>
          <w:rFonts w:hint="eastAsia" w:ascii="宋体" w:hAnsi="宋体" w:eastAsia="宋体" w:cs="宋体"/>
          <w:color w:val="auto"/>
          <w:sz w:val="24"/>
          <w:szCs w:val="24"/>
          <w:highlight w:val="none"/>
          <w:lang w:val="en-US" w:eastAsia="zh-CN"/>
        </w:rPr>
        <w:t>免缴</w:t>
      </w:r>
      <w:bookmarkEnd w:id="37"/>
      <w:r>
        <w:rPr>
          <w:rFonts w:hint="eastAsia" w:ascii="宋体" w:hAnsi="宋体" w:eastAsia="宋体" w:cs="宋体"/>
          <w:color w:val="auto"/>
          <w:sz w:val="24"/>
          <w:szCs w:val="24"/>
          <w:highlight w:val="none"/>
          <w:lang w:val="en-US" w:eastAsia="zh-CN"/>
        </w:rPr>
        <w:t>证明；</w:t>
      </w:r>
    </w:p>
    <w:p w14:paraId="25FFD5E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bookmarkStart w:id="0" w:name="_Toc22036"/>
      <w:r>
        <w:rPr>
          <w:rFonts w:hint="eastAsia" w:ascii="宋体" w:hAnsi="宋体" w:eastAsia="宋体" w:cs="宋体"/>
          <w:color w:val="auto"/>
          <w:sz w:val="24"/>
          <w:szCs w:val="24"/>
          <w:highlight w:val="none"/>
          <w:lang w:val="en-US" w:eastAsia="zh-CN"/>
        </w:rPr>
        <w:t>5、具有履行合同所必需的设备和专业技术能力的承诺函；</w:t>
      </w:r>
      <w:bookmarkEnd w:id="0"/>
    </w:p>
    <w:p w14:paraId="73317501">
      <w:pPr>
        <w:keepNext w:val="0"/>
        <w:keepLines w:val="0"/>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参加政府采购活动前3年内在经营活动中没有重大违法记录的书面声明；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格式1</w:t>
      </w:r>
      <w:r>
        <w:rPr>
          <w:rFonts w:hint="eastAsia" w:ascii="宋体" w:hAnsi="宋体" w:eastAsia="宋体" w:cs="宋体"/>
          <w:color w:val="auto"/>
          <w:sz w:val="24"/>
          <w:szCs w:val="24"/>
          <w:highlight w:val="none"/>
          <w:lang w:eastAsia="zh-CN"/>
        </w:rPr>
        <w:t>）</w:t>
      </w:r>
    </w:p>
    <w:p w14:paraId="12DE0A8D">
      <w:pPr>
        <w:keepNext w:val="0"/>
        <w:keepLines w:val="0"/>
        <w:pageBreakBefore w:val="0"/>
        <w:widowControl/>
        <w:kinsoku/>
        <w:wordWrap/>
        <w:overflowPunct/>
        <w:topLinePunct w:val="0"/>
        <w:bidi w:val="0"/>
        <w:adjustRightInd/>
        <w:snapToGrid/>
        <w:spacing w:line="440" w:lineRule="exact"/>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lang w:val="zh-CN"/>
        </w:rPr>
        <w:t>落实政府采购政策需满足的资格要求：</w:t>
      </w:r>
    </w:p>
    <w:p w14:paraId="0AB732C1">
      <w:pPr>
        <w:keepNext w:val="0"/>
        <w:keepLines w:val="0"/>
        <w:pageBreakBefore w:val="0"/>
        <w:widowControl/>
        <w:kinsoku/>
        <w:wordWrap/>
        <w:overflowPunct/>
        <w:topLinePunct w:val="0"/>
        <w:bidi w:val="0"/>
        <w:adjustRightInd/>
        <w:snapToGrid/>
        <w:spacing w:line="440" w:lineRule="exact"/>
        <w:ind w:firstLine="480" w:firstLineChars="200"/>
        <w:jc w:val="left"/>
        <w:textAlignment w:val="auto"/>
        <w:rPr>
          <w:rFonts w:hint="eastAsia" w:ascii="宋体" w:hAnsi="宋体" w:eastAsia="宋体" w:cs="宋体"/>
          <w:kern w:val="0"/>
          <w:sz w:val="24"/>
          <w:szCs w:val="24"/>
          <w:shd w:val="clear" w:color="auto" w:fill="FFFFFF"/>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highlight w:val="none"/>
          <w:lang w:val="en-US" w:eastAsia="zh-CN"/>
        </w:rPr>
        <w:t>供应商属于</w:t>
      </w:r>
      <w:r>
        <w:rPr>
          <w:rFonts w:hint="eastAsia" w:ascii="宋体" w:hAnsi="宋体" w:eastAsia="宋体" w:cs="宋体"/>
          <w:kern w:val="0"/>
          <w:sz w:val="24"/>
          <w:szCs w:val="24"/>
          <w:shd w:val="clear" w:color="auto" w:fill="FFFFFF"/>
        </w:rPr>
        <w:t>中小企业或小型、微型企业</w:t>
      </w:r>
      <w:r>
        <w:rPr>
          <w:rFonts w:hint="eastAsia" w:ascii="宋体" w:hAnsi="宋体" w:eastAsia="宋体" w:cs="宋体"/>
          <w:kern w:val="0"/>
          <w:sz w:val="24"/>
          <w:szCs w:val="24"/>
          <w:shd w:val="clear" w:color="auto" w:fill="FFFFFF"/>
          <w:lang w:val="en-US" w:eastAsia="zh-CN"/>
        </w:rPr>
        <w:t>并</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声明</w:t>
      </w:r>
      <w:r>
        <w:rPr>
          <w:rFonts w:hint="eastAsia" w:ascii="宋体" w:hAnsi="宋体" w:eastAsia="宋体" w:cs="宋体"/>
          <w:color w:val="auto"/>
          <w:sz w:val="24"/>
          <w:szCs w:val="24"/>
          <w:highlight w:val="none"/>
          <w:lang w:val="en-US" w:eastAsia="zh-CN"/>
        </w:rPr>
        <w:t>函</w:t>
      </w:r>
      <w:r>
        <w:rPr>
          <w:rFonts w:hint="eastAsia" w:ascii="宋体" w:hAnsi="宋体" w:eastAsia="宋体" w:cs="宋体"/>
          <w:kern w:val="0"/>
          <w:sz w:val="24"/>
          <w:szCs w:val="24"/>
          <w:shd w:val="clear" w:color="auto" w:fill="FFFFFF"/>
        </w:rPr>
        <w:t>。</w:t>
      </w:r>
    </w:p>
    <w:p w14:paraId="14106592">
      <w:pPr>
        <w:keepNext w:val="0"/>
        <w:keepLines w:val="0"/>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三、特定资格条件：</w:t>
      </w:r>
    </w:p>
    <w:p w14:paraId="36C555F5">
      <w:pPr>
        <w:widowControl/>
        <w:shd w:val="clear" w:color="auto" w:fill="FFFFFF"/>
        <w:spacing w:line="440" w:lineRule="exact"/>
        <w:ind w:firstLine="480" w:firstLineChars="200"/>
        <w:jc w:val="left"/>
        <w:rPr>
          <w:rFonts w:hint="eastAsia" w:ascii="宋体" w:hAnsi="宋体" w:cs="宋体"/>
          <w:color w:val="auto"/>
          <w:sz w:val="24"/>
        </w:rPr>
      </w:pPr>
      <w:r>
        <w:rPr>
          <w:rFonts w:hint="eastAsia" w:ascii="宋体" w:hAnsi="宋体" w:cs="宋体"/>
          <w:color w:val="auto"/>
          <w:sz w:val="24"/>
          <w:lang w:val="en-US" w:eastAsia="zh-CN"/>
        </w:rPr>
        <w:t>8、</w:t>
      </w:r>
      <w:r>
        <w:rPr>
          <w:rFonts w:hint="eastAsia" w:ascii="宋体" w:hAnsi="宋体" w:cs="宋体"/>
          <w:color w:val="auto"/>
          <w:sz w:val="24"/>
        </w:rPr>
        <w:t>未被列为“信用中国”网（www.creditchina.gov.cn）中失信被执行人和重大税收违法案件当事人名单及中国政府采购网（www.ccgp.gov.cn）政府采购严重违法失信行为记录名单；</w:t>
      </w:r>
    </w:p>
    <w:p w14:paraId="43D76894">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color w:val="auto"/>
        </w:rPr>
      </w:pPr>
      <w:r>
        <w:rPr>
          <w:rFonts w:hint="eastAsia" w:ascii="宋体" w:hAnsi="宋体" w:eastAsia="宋体" w:cs="宋体"/>
          <w:color w:val="auto"/>
          <w:sz w:val="24"/>
          <w:shd w:val="clear" w:color="auto" w:fill="FFFFFF"/>
          <w:lang w:val="en-US" w:eastAsia="zh-CN"/>
        </w:rPr>
        <w:t>9</w:t>
      </w:r>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14:paraId="08D5540B">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textAlignment w:val="auto"/>
        <w:rPr>
          <w:rFonts w:hint="eastAsia" w:ascii="宋体" w:hAnsi="宋体" w:cs="宋体"/>
          <w:color w:val="auto"/>
          <w:sz w:val="24"/>
        </w:rPr>
      </w:pPr>
    </w:p>
    <w:p w14:paraId="50E0285A">
      <w:pPr>
        <w:pStyle w:val="12"/>
        <w:rPr>
          <w:rFonts w:hint="eastAsia"/>
          <w:color w:val="auto"/>
        </w:rPr>
      </w:pPr>
    </w:p>
    <w:p w14:paraId="66752F97">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bookmarkStart w:id="1" w:name="_Toc3731"/>
      <w:bookmarkStart w:id="2" w:name="_Toc5736"/>
      <w:r>
        <w:rPr>
          <w:rFonts w:hint="eastAsia" w:ascii="宋体" w:hAnsi="宋体" w:eastAsia="Times New Roman" w:cs="宋体"/>
          <w:color w:val="auto"/>
          <w:sz w:val="24"/>
          <w:lang w:val="en-US" w:eastAsia="zh-CN"/>
        </w:rPr>
        <w:t>格式1</w:t>
      </w:r>
      <w:bookmarkEnd w:id="1"/>
      <w:bookmarkEnd w:id="2"/>
    </w:p>
    <w:p w14:paraId="3C50C667">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2F9F20B">
      <w:pPr>
        <w:pStyle w:val="6"/>
        <w:spacing w:after="0" w:line="400" w:lineRule="exact"/>
        <w:rPr>
          <w:rFonts w:hint="eastAsia" w:ascii="宋体" w:hAnsi="宋体" w:eastAsia="宋体" w:cs="宋体"/>
          <w:color w:val="auto"/>
          <w:highlight w:val="none"/>
          <w:lang w:val="en-US" w:eastAsia="zh-CN"/>
        </w:rPr>
      </w:pPr>
    </w:p>
    <w:p w14:paraId="4F116288">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062972C9">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3F15B4B8">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01EDD92E">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5D520A4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71AA9A3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32C9ABB">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B6BE8E0">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DE1857">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6A87629">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61B4F4CD">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76DEC08B">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CAD8D1D">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DC48C84">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6D2689E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49497862">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39708D7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41D513">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51B66439">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3" w:name="_Toc14168"/>
      <w:bookmarkStart w:id="4" w:name="_Toc12445"/>
      <w:bookmarkStart w:id="5" w:name="_Toc9094"/>
      <w:bookmarkStart w:id="6" w:name="_Toc19234"/>
      <w:bookmarkStart w:id="7" w:name="_Toc13537"/>
      <w:bookmarkStart w:id="8" w:name="_Toc28343"/>
      <w:bookmarkStart w:id="9" w:name="_Toc30687"/>
      <w:bookmarkStart w:id="10" w:name="_Toc25279"/>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3"/>
      <w:bookmarkEnd w:id="4"/>
      <w:bookmarkEnd w:id="5"/>
      <w:bookmarkEnd w:id="6"/>
      <w:bookmarkEnd w:id="7"/>
      <w:bookmarkEnd w:id="8"/>
      <w:bookmarkEnd w:id="9"/>
      <w:bookmarkEnd w:id="10"/>
    </w:p>
    <w:p w14:paraId="76910017">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51DD5F81">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11320"/>
      <w:bookmarkStart w:id="12" w:name="_Toc15963"/>
      <w:bookmarkStart w:id="13" w:name="_Toc29753"/>
      <w:bookmarkStart w:id="14" w:name="_Toc1421"/>
      <w:bookmarkStart w:id="15" w:name="_Toc15744"/>
      <w:bookmarkStart w:id="16" w:name="_Toc30201"/>
      <w:bookmarkStart w:id="17" w:name="_Toc23178"/>
      <w:bookmarkStart w:id="18" w:name="_Toc27929"/>
      <w:r>
        <w:rPr>
          <w:rFonts w:hint="eastAsia" w:ascii="宋体" w:hAnsi="宋体" w:cs="宋体"/>
          <w:color w:val="auto"/>
          <w:kern w:val="0"/>
          <w:sz w:val="24"/>
        </w:rPr>
        <w:t>2-1、管理关系说明：</w:t>
      </w:r>
      <w:bookmarkEnd w:id="11"/>
      <w:bookmarkEnd w:id="12"/>
      <w:bookmarkEnd w:id="13"/>
      <w:bookmarkEnd w:id="14"/>
      <w:bookmarkEnd w:id="15"/>
      <w:bookmarkEnd w:id="16"/>
      <w:bookmarkEnd w:id="17"/>
      <w:bookmarkEnd w:id="18"/>
    </w:p>
    <w:p w14:paraId="2BDE1CB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66058B6C">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AC11537">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9" w:name="_Toc14359"/>
      <w:bookmarkStart w:id="20" w:name="_Toc3760"/>
      <w:bookmarkStart w:id="21" w:name="_Toc24124"/>
      <w:bookmarkStart w:id="22" w:name="_Toc12127"/>
      <w:bookmarkStart w:id="23" w:name="_Toc14566"/>
      <w:bookmarkStart w:id="24" w:name="_Toc29019"/>
      <w:bookmarkStart w:id="25" w:name="_Toc21024"/>
      <w:bookmarkStart w:id="26" w:name="_Toc15775"/>
      <w:r>
        <w:rPr>
          <w:rFonts w:hint="eastAsia" w:ascii="宋体" w:hAnsi="宋体" w:cs="宋体"/>
          <w:color w:val="auto"/>
          <w:kern w:val="0"/>
          <w:sz w:val="24"/>
        </w:rPr>
        <w:t>2-2、股权关系说明：</w:t>
      </w:r>
      <w:bookmarkEnd w:id="19"/>
      <w:bookmarkEnd w:id="20"/>
      <w:bookmarkEnd w:id="21"/>
      <w:bookmarkEnd w:id="22"/>
      <w:bookmarkEnd w:id="23"/>
      <w:bookmarkEnd w:id="24"/>
      <w:bookmarkEnd w:id="25"/>
      <w:bookmarkEnd w:id="26"/>
    </w:p>
    <w:p w14:paraId="3D6ADCA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00D2680F">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7C350B3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7" w:name="_Toc22988"/>
      <w:bookmarkStart w:id="28" w:name="_Toc17343"/>
      <w:bookmarkStart w:id="29" w:name="_Toc3602"/>
      <w:bookmarkStart w:id="30" w:name="_Toc26276"/>
      <w:bookmarkStart w:id="31" w:name="_Toc28920"/>
      <w:bookmarkStart w:id="32" w:name="_Toc10366"/>
      <w:bookmarkStart w:id="33" w:name="_Toc7355"/>
      <w:bookmarkStart w:id="34" w:name="_Toc862"/>
      <w:r>
        <w:rPr>
          <w:rFonts w:hint="eastAsia" w:ascii="宋体" w:hAnsi="宋体" w:cs="宋体"/>
          <w:color w:val="auto"/>
          <w:kern w:val="0"/>
          <w:sz w:val="24"/>
        </w:rPr>
        <w:t>2-3、单位负责人：</w:t>
      </w:r>
      <w:bookmarkEnd w:id="27"/>
      <w:bookmarkEnd w:id="28"/>
      <w:bookmarkEnd w:id="29"/>
      <w:bookmarkEnd w:id="30"/>
      <w:bookmarkEnd w:id="31"/>
      <w:bookmarkEnd w:id="32"/>
      <w:bookmarkEnd w:id="33"/>
      <w:bookmarkEnd w:id="34"/>
    </w:p>
    <w:p w14:paraId="3968A94D">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5" w:name="_Toc15738"/>
      <w:bookmarkStart w:id="36" w:name="_Toc12468"/>
      <w:r>
        <w:rPr>
          <w:rFonts w:hint="eastAsia" w:ascii="宋体" w:hAnsi="宋体" w:cs="宋体"/>
          <w:color w:val="auto"/>
          <w:kern w:val="0"/>
          <w:sz w:val="24"/>
        </w:rPr>
        <w:t>3、其他与本项目有关的利害关系说明：</w:t>
      </w:r>
      <w:bookmarkEnd w:id="35"/>
      <w:bookmarkEnd w:id="36"/>
    </w:p>
    <w:p w14:paraId="3685ACA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29F4A526">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24E6C0C2">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3537785">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r>
        <w:rPr>
          <w:rFonts w:hint="eastAsia" w:ascii="宋体" w:hAnsi="宋体" w:eastAsia="宋体" w:cs="宋体"/>
          <w:color w:val="auto"/>
          <w:kern w:val="0"/>
          <w:sz w:val="24"/>
          <w:lang w:eastAsia="zh-CN"/>
        </w:rPr>
        <w:t>或盖章</w:t>
      </w:r>
      <w:r>
        <w:rPr>
          <w:rFonts w:hint="eastAsia" w:ascii="宋体" w:hAnsi="宋体" w:cs="宋体"/>
          <w:color w:val="auto"/>
          <w:kern w:val="0"/>
          <w:sz w:val="24"/>
        </w:rPr>
        <w:t>）</w:t>
      </w:r>
    </w:p>
    <w:p w14:paraId="1ACA56EA">
      <w:pPr>
        <w:widowControl/>
        <w:shd w:val="clear" w:color="auto" w:fill="FFFFFF"/>
        <w:spacing w:before="100" w:beforeAutospacing="1" w:after="100" w:afterAutospacing="1"/>
        <w:jc w:val="center"/>
        <w:rPr>
          <w:rFonts w:ascii="宋体" w:hAnsi="宋体" w:cs="宋体"/>
          <w:color w:val="auto"/>
          <w:kern w:val="0"/>
          <w:sz w:val="24"/>
        </w:rPr>
      </w:pPr>
    </w:p>
    <w:p w14:paraId="159744DC">
      <w:pPr>
        <w:widowControl/>
        <w:shd w:val="clear" w:color="auto" w:fill="FFFFFF"/>
        <w:spacing w:before="100" w:beforeAutospacing="1" w:after="100" w:afterAutospacing="1"/>
        <w:rPr>
          <w:rFonts w:hint="eastAsia" w:ascii="宋体" w:hAnsi="宋体" w:cs="宋体"/>
          <w:color w:val="auto"/>
          <w:kern w:val="0"/>
          <w:sz w:val="24"/>
        </w:rPr>
      </w:pPr>
    </w:p>
    <w:p w14:paraId="7E646E87">
      <w:pPr>
        <w:widowControl/>
        <w:shd w:val="clear" w:color="auto" w:fill="FFFFFF"/>
        <w:spacing w:line="440" w:lineRule="exact"/>
        <w:jc w:val="left"/>
        <w:rPr>
          <w:rFonts w:hint="eastAsia" w:ascii="宋体" w:hAnsi="宋体" w:cs="宋体"/>
          <w:sz w:val="24"/>
        </w:rPr>
      </w:pPr>
    </w:p>
    <w:p w14:paraId="649C7944">
      <w:pPr>
        <w:widowControl/>
        <w:shd w:val="clear" w:color="auto" w:fill="FFFFFF"/>
        <w:spacing w:line="440" w:lineRule="exact"/>
        <w:jc w:val="left"/>
        <w:rPr>
          <w:rFonts w:hint="eastAsia" w:ascii="宋体" w:hAnsi="宋体" w:cs="宋体"/>
          <w:sz w:val="24"/>
        </w:rPr>
      </w:pPr>
    </w:p>
    <w:p w14:paraId="38BA4B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11862D8C"/>
    <w:rsid w:val="277114EB"/>
    <w:rsid w:val="278F6D9F"/>
    <w:rsid w:val="2CD86F31"/>
    <w:rsid w:val="30631BDE"/>
    <w:rsid w:val="32A54401"/>
    <w:rsid w:val="359017BD"/>
    <w:rsid w:val="3CD64AF3"/>
    <w:rsid w:val="425305CA"/>
    <w:rsid w:val="42BE64EE"/>
    <w:rsid w:val="4B240862"/>
    <w:rsid w:val="5AF60C89"/>
    <w:rsid w:val="5C911CA6"/>
    <w:rsid w:val="5DA12B58"/>
    <w:rsid w:val="633A5F8A"/>
    <w:rsid w:val="64B84A10"/>
    <w:rsid w:val="698477BA"/>
    <w:rsid w:val="6A4D5FB5"/>
    <w:rsid w:val="6C36577D"/>
    <w:rsid w:val="6D060F5D"/>
    <w:rsid w:val="6F767A5C"/>
    <w:rsid w:val="707F1EEE"/>
    <w:rsid w:val="70EA20AA"/>
    <w:rsid w:val="74322A2B"/>
    <w:rsid w:val="77CF0681"/>
    <w:rsid w:val="7C364A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autoRedefine/>
    <w:unhideWhenUsed/>
    <w:qFormat/>
    <w:uiPriority w:val="0"/>
    <w:pPr>
      <w:keepNext/>
      <w:keepLines/>
      <w:spacing w:before="260" w:beforeLines="0" w:after="260" w:afterLines="0" w:line="413" w:lineRule="auto"/>
      <w:jc w:val="center"/>
      <w:outlineLvl w:val="1"/>
    </w:pPr>
    <w:rPr>
      <w:rFonts w:ascii="Arial" w:hAnsi="Arial" w:eastAsia="黑体" w:cs="Arial"/>
      <w:b/>
      <w:bCs/>
      <w:sz w:val="30"/>
      <w:szCs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pPr>
      <w:spacing w:after="120" w:afterLines="0" w:afterAutospacing="0"/>
    </w:p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0">
    <w:name w:val="标题 1 Char"/>
    <w:link w:val="3"/>
    <w:autoRedefine/>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autoRedefine/>
    <w:qFormat/>
    <w:uiPriority w:val="0"/>
    <w:rPr>
      <w:rFonts w:ascii="Arial" w:hAnsi="Arial" w:eastAsia="黑体" w:cs="Arial"/>
      <w:b/>
      <w:bCs/>
      <w:sz w:val="30"/>
      <w:szCs w:val="32"/>
    </w:rPr>
  </w:style>
  <w:style w:type="paragraph" w:customStyle="1" w:styleId="12">
    <w:name w:val="HTML Preformatted"/>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1193</Words>
  <Characters>1243</Characters>
  <Lines>0</Lines>
  <Paragraphs>0</Paragraphs>
  <TotalTime>4</TotalTime>
  <ScaleCrop>false</ScaleCrop>
  <LinksUpToDate>false</LinksUpToDate>
  <CharactersWithSpaces>1467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2025-09-08T07:19:14Z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FCE606074EC2408A93571CB991E6DC00_13</vt:lpwstr>
  </property>
  <property fmtid="{D5CDD505-2E9C-101B-9397-08002B2CF9AE}" pid="4" name="KSOTemplateDocerSaveRecord">
    <vt:lpwstr>eyJoZGlkIjoiOGYzOGJlZTQxYzY3ZWY4ODg1YmNmNTNiZDdlZGNlMDciLCJ1c2VySWQiOiIxNTE3ODQyNzU3In0=</vt:lpwstr>
  </property>
</Properties>
</file>