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版本号：LZBA2025-17520250905002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彩色数码印刷机采购项目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LZBA2025-175</w:t>
      </w:r>
      <w:r>
        <w:br/>
      </w:r>
      <w:r>
        <w:br/>
      </w:r>
      <w:r>
        <w:br/>
      </w:r>
    </w:p>
    <w:p>
      <w:pPr>
        <w:pStyle w:val="null3"/>
        <w:jc w:val="center"/>
        <w:outlineLvl w:val="2"/>
      </w:pPr>
      <w:r>
        <w:rPr>
          <w:rFonts w:ascii="仿宋_GB2312" w:hAnsi="仿宋_GB2312" w:cs="仿宋_GB2312" w:eastAsia="仿宋_GB2312"/>
          <w:sz w:val="28"/>
          <w:b/>
        </w:rPr>
        <w:t>中共陕西省委机要印务中心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中共陕西省委机要印务中心</w:t>
      </w:r>
      <w:r>
        <w:rPr>
          <w:rFonts w:ascii="仿宋_GB2312" w:hAnsi="仿宋_GB2312" w:cs="仿宋_GB2312" w:eastAsia="仿宋_GB2312"/>
        </w:rPr>
        <w:t>委托，拟对</w:t>
      </w:r>
      <w:r>
        <w:rPr>
          <w:rFonts w:ascii="仿宋_GB2312" w:hAnsi="仿宋_GB2312" w:cs="仿宋_GB2312" w:eastAsia="仿宋_GB2312"/>
        </w:rPr>
        <w:t>彩色数码印刷机采购项目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彩色数码印刷机采购项目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本次采购内容为彩色数码印刷机1套。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采购包1（中共陕西省委机要印务中心彩色数码印刷机采购项目）：属于专门面向中小企业采购。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参加本次政府采购活动前3年内在经营活动中没有重大违法记录的书面声明：参加本次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3、具有履行合同所必需的设备和专业技术能力的承诺函：具有履行合同所必需的设备和专业技术能力的承诺函，供应商需在项目电子化交易系统中按要求上传相应证明文件并进行电子签章。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4、社保缴纳凭证：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凭证：自2024年9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财务状况报告：提供2024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7、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中共陕西省委机要印务中心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西安市碑林区建国路21号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029-87434623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采购包1：2,617,005.00元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和国家发展和改革委员会办公厅颁发的《关于招标代理服务收费有关问题的通知》（发改办价格[2003]857号）规定按预算金额收取代理服务费 。本项目代理服务费按货物类计取。 2、代理服务费以转账或现金形式交纳，服务费缴纳账号如下： 开户名称：龙寰项目管理咨询有限公司 开户行名称：平安银行西安高新路支行 账 号：30201278016274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中共陕西省委机要印务中心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中共陕西省委机要印务中心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中共陕西省委机要印务中心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满足国家及行业现行技术标准、规范要求。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本次采购内容为彩色数码印刷机1套。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2,617,005.00</w:t>
      </w:r>
    </w:p>
    <w:p>
      <w:pPr>
        <w:pStyle w:val="null3"/>
      </w:pPr>
      <w:r>
        <w:rPr>
          <w:rFonts w:ascii="仿宋_GB2312" w:hAnsi="仿宋_GB2312" w:cs="仿宋_GB2312" w:eastAsia="仿宋_GB2312"/>
        </w:rPr>
        <w:t>采购包最高限价（元）: 2,617,005.00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四色数码印刷机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2,617,005.00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标的名称：四色数码印刷机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一、技术要求：</w:t>
            </w:r>
          </w:p>
          <w:p>
            <w:pPr>
              <w:pStyle w:val="null3"/>
              <w:ind w:left="720"/>
            </w:pPr>
            <w:r>
              <w:rPr>
                <w:rFonts w:ascii="仿宋_GB2312" w:hAnsi="仿宋_GB2312" w:cs="仿宋_GB2312" w:eastAsia="仿宋_GB2312"/>
                <w:sz w:val="20"/>
              </w:rPr>
              <w:t>★1.</w:t>
            </w:r>
            <w:r>
              <w:rPr>
                <w:rFonts w:ascii="仿宋_GB2312" w:hAnsi="仿宋_GB2312" w:cs="仿宋_GB2312" w:eastAsia="仿宋_GB2312"/>
                <w:sz w:val="20"/>
              </w:rPr>
              <w:t>配置：</w:t>
            </w:r>
            <w:r>
              <w:rPr>
                <w:rFonts w:ascii="仿宋_GB2312" w:hAnsi="仿宋_GB2312" w:cs="仿宋_GB2312" w:eastAsia="仿宋_GB2312"/>
                <w:sz w:val="20"/>
              </w:rPr>
              <w:t>六色主机</w:t>
            </w:r>
            <w:r>
              <w:rPr>
                <w:rFonts w:ascii="仿宋_GB2312" w:hAnsi="仿宋_GB2312" w:cs="仿宋_GB2312" w:eastAsia="仿宋_GB2312"/>
                <w:sz w:val="20"/>
              </w:rPr>
              <w:t>+真空吸附</w:t>
            </w:r>
            <w:r>
              <w:rPr>
                <w:rFonts w:ascii="仿宋_GB2312" w:hAnsi="仿宋_GB2312" w:cs="仿宋_GB2312" w:eastAsia="仿宋_GB2312"/>
                <w:sz w:val="20"/>
              </w:rPr>
              <w:t>式送纸器</w:t>
            </w:r>
            <w:r>
              <w:rPr>
                <w:rFonts w:ascii="仿宋_GB2312" w:hAnsi="仿宋_GB2312" w:cs="仿宋_GB2312" w:eastAsia="仿宋_GB2312"/>
                <w:sz w:val="20"/>
              </w:rPr>
              <w:t>+</w:t>
            </w:r>
            <w:r>
              <w:rPr>
                <w:rFonts w:ascii="仿宋_GB2312" w:hAnsi="仿宋_GB2312" w:cs="仿宋_GB2312" w:eastAsia="仿宋_GB2312"/>
                <w:sz w:val="20"/>
              </w:rPr>
              <w:t>大容量堆叠器。</w:t>
            </w:r>
          </w:p>
          <w:p>
            <w:pPr>
              <w:pStyle w:val="null3"/>
              <w:ind w:left="720"/>
            </w:pPr>
            <w:r>
              <w:rPr>
                <w:rFonts w:ascii="仿宋_GB2312" w:hAnsi="仿宋_GB2312" w:cs="仿宋_GB2312" w:eastAsia="仿宋_GB2312"/>
                <w:sz w:val="20"/>
              </w:rPr>
              <w:t>★2.</w:t>
            </w:r>
            <w:r>
              <w:rPr>
                <w:rFonts w:ascii="仿宋_GB2312" w:hAnsi="仿宋_GB2312" w:cs="仿宋_GB2312" w:eastAsia="仿宋_GB2312"/>
                <w:sz w:val="20"/>
              </w:rPr>
              <w:t>彩色图像印刷分辨率</w:t>
            </w:r>
            <w:r>
              <w:rPr>
                <w:rFonts w:ascii="仿宋_GB2312" w:hAnsi="仿宋_GB2312" w:cs="仿宋_GB2312" w:eastAsia="仿宋_GB2312"/>
                <w:sz w:val="20"/>
              </w:rPr>
              <w:t>≥2400×2400dpi,支持1200×1200dpi</w:t>
            </w:r>
            <w:r>
              <w:rPr>
                <w:rFonts w:ascii="仿宋_GB2312" w:hAnsi="仿宋_GB2312" w:cs="仿宋_GB2312" w:eastAsia="仿宋_GB2312"/>
                <w:sz w:val="20"/>
              </w:rPr>
              <w:t>的</w:t>
            </w:r>
            <w:r>
              <w:rPr>
                <w:rFonts w:ascii="仿宋_GB2312" w:hAnsi="仿宋_GB2312" w:cs="仿宋_GB2312" w:eastAsia="仿宋_GB2312"/>
                <w:sz w:val="20"/>
              </w:rPr>
              <w:t>10</w:t>
            </w:r>
            <w:r>
              <w:rPr>
                <w:rFonts w:ascii="仿宋_GB2312" w:hAnsi="仿宋_GB2312" w:cs="仿宋_GB2312" w:eastAsia="仿宋_GB2312"/>
                <w:sz w:val="20"/>
              </w:rPr>
              <w:t>位</w:t>
            </w:r>
            <w:r>
              <w:rPr>
                <w:rFonts w:ascii="仿宋_GB2312" w:hAnsi="仿宋_GB2312" w:cs="仿宋_GB2312" w:eastAsia="仿宋_GB2312"/>
                <w:sz w:val="20"/>
              </w:rPr>
              <w:t>RIP</w:t>
            </w:r>
            <w:r>
              <w:rPr>
                <w:rFonts w:ascii="仿宋_GB2312" w:hAnsi="仿宋_GB2312" w:cs="仿宋_GB2312" w:eastAsia="仿宋_GB2312"/>
                <w:sz w:val="20"/>
              </w:rPr>
              <w:t>处理技术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色彩能力：</w:t>
            </w:r>
            <w:r>
              <w:rPr>
                <w:rFonts w:ascii="仿宋_GB2312" w:hAnsi="仿宋_GB2312" w:cs="仿宋_GB2312" w:eastAsia="仿宋_GB2312"/>
                <w:sz w:val="20"/>
              </w:rPr>
              <w:t>具备单次</w:t>
            </w:r>
            <w:r>
              <w:rPr>
                <w:rFonts w:ascii="仿宋_GB2312" w:hAnsi="仿宋_GB2312" w:cs="仿宋_GB2312" w:eastAsia="仿宋_GB2312"/>
                <w:sz w:val="20"/>
              </w:rPr>
              <w:t>6色打印引擎</w:t>
            </w:r>
            <w:r>
              <w:rPr>
                <w:rFonts w:ascii="仿宋_GB2312" w:hAnsi="仿宋_GB2312" w:cs="仿宋_GB2312" w:eastAsia="仿宋_GB2312"/>
                <w:sz w:val="20"/>
              </w:rPr>
              <w:t>（满足六色在同面一次性印刷），支持六色印刷（四色采用</w:t>
            </w:r>
            <w:r>
              <w:rPr>
                <w:rFonts w:ascii="仿宋_GB2312" w:hAnsi="仿宋_GB2312" w:cs="仿宋_GB2312" w:eastAsia="仿宋_GB2312"/>
                <w:sz w:val="20"/>
              </w:rPr>
              <w:t>CMYK印刷，第五、六色支持</w:t>
            </w:r>
            <w:r>
              <w:rPr>
                <w:rFonts w:ascii="仿宋_GB2312" w:hAnsi="仿宋_GB2312" w:cs="仿宋_GB2312" w:eastAsia="仿宋_GB2312"/>
                <w:sz w:val="20"/>
              </w:rPr>
              <w:t>金色、</w:t>
            </w:r>
            <w:r>
              <w:rPr>
                <w:rFonts w:ascii="仿宋_GB2312" w:hAnsi="仿宋_GB2312" w:cs="仿宋_GB2312" w:eastAsia="仿宋_GB2312"/>
                <w:sz w:val="20"/>
              </w:rPr>
              <w:t>银色、白色、</w:t>
            </w:r>
            <w:r>
              <w:rPr>
                <w:rFonts w:ascii="仿宋_GB2312" w:hAnsi="仿宋_GB2312" w:cs="仿宋_GB2312" w:eastAsia="仿宋_GB2312"/>
                <w:sz w:val="20"/>
              </w:rPr>
              <w:t>自定义红色</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成像原理：要求数码碳粉印刷机采用高温定影方式，定影温度要</w:t>
            </w:r>
            <w:r>
              <w:rPr>
                <w:rFonts w:ascii="仿宋_GB2312" w:hAnsi="仿宋_GB2312" w:cs="仿宋_GB2312" w:eastAsia="仿宋_GB2312"/>
                <w:sz w:val="20"/>
              </w:rPr>
              <w:t>＞</w:t>
            </w:r>
            <w:r>
              <w:rPr>
                <w:rFonts w:ascii="仿宋_GB2312" w:hAnsi="仿宋_GB2312" w:cs="仿宋_GB2312" w:eastAsia="仿宋_GB2312"/>
                <w:sz w:val="20"/>
              </w:rPr>
              <w:t>150℃。着墨牢固，满足印后加工过程中使用搓纸轮设备时不掉墨的要求。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单页</w:t>
            </w:r>
            <w:r>
              <w:rPr>
                <w:rFonts w:ascii="仿宋_GB2312" w:hAnsi="仿宋_GB2312" w:cs="仿宋_GB2312" w:eastAsia="仿宋_GB2312"/>
                <w:sz w:val="20"/>
              </w:rPr>
              <w:t>（</w:t>
            </w:r>
            <w:r>
              <w:rPr>
                <w:rFonts w:ascii="仿宋_GB2312" w:hAnsi="仿宋_GB2312" w:cs="仿宋_GB2312" w:eastAsia="仿宋_GB2312"/>
                <w:sz w:val="20"/>
              </w:rPr>
              <w:t>A4)连续</w:t>
            </w:r>
            <w:r>
              <w:rPr>
                <w:rFonts w:ascii="仿宋_GB2312" w:hAnsi="仿宋_GB2312" w:cs="仿宋_GB2312" w:eastAsia="仿宋_GB2312"/>
                <w:sz w:val="20"/>
              </w:rPr>
              <w:t>打印速度</w:t>
            </w:r>
            <w:r>
              <w:rPr>
                <w:rFonts w:ascii="仿宋_GB2312" w:hAnsi="仿宋_GB2312" w:cs="仿宋_GB2312" w:eastAsia="仿宋_GB2312"/>
                <w:sz w:val="20"/>
              </w:rPr>
              <w:t>≥120页/</w:t>
            </w:r>
            <w:r>
              <w:rPr>
                <w:rFonts w:ascii="仿宋_GB2312" w:hAnsi="仿宋_GB2312" w:cs="仿宋_GB2312" w:eastAsia="仿宋_GB2312"/>
                <w:sz w:val="20"/>
              </w:rPr>
              <w:t>分钟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支持</w:t>
            </w:r>
            <w:r>
              <w:rPr>
                <w:rFonts w:ascii="仿宋_GB2312" w:hAnsi="仿宋_GB2312" w:cs="仿宋_GB2312" w:eastAsia="仿宋_GB2312"/>
                <w:sz w:val="20"/>
              </w:rPr>
              <w:t>纸张克重：</w:t>
            </w:r>
            <w:r>
              <w:rPr>
                <w:rFonts w:ascii="仿宋_GB2312" w:hAnsi="仿宋_GB2312" w:cs="仿宋_GB2312" w:eastAsia="仿宋_GB2312"/>
                <w:sz w:val="20"/>
              </w:rPr>
              <w:t>52-400g/m</w:t>
            </w:r>
            <w:r>
              <w:rPr>
                <w:rFonts w:ascii="仿宋_GB2312" w:hAnsi="仿宋_GB2312" w:cs="仿宋_GB2312" w:eastAsia="仿宋_GB2312"/>
                <w:sz w:val="20"/>
                <w:vertAlign w:val="superscript"/>
              </w:rPr>
              <w:t>2</w:t>
            </w:r>
            <w:r>
              <w:rPr>
                <w:rFonts w:ascii="仿宋_GB2312" w:hAnsi="仿宋_GB2312" w:cs="仿宋_GB2312" w:eastAsia="仿宋_GB2312"/>
                <w:sz w:val="20"/>
              </w:rPr>
              <w:t>，自动双面印刷的纸张克重</w:t>
            </w:r>
            <w:r>
              <w:rPr>
                <w:rFonts w:ascii="仿宋_GB2312" w:hAnsi="仿宋_GB2312" w:cs="仿宋_GB2312" w:eastAsia="仿宋_GB2312"/>
                <w:sz w:val="20"/>
              </w:rPr>
              <w:t>52-360g/m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配置真空吸附式加长纸盒，进纸可承印纸张尺寸为：</w:t>
            </w:r>
            <w:r>
              <w:rPr>
                <w:rFonts w:ascii="仿宋_GB2312" w:hAnsi="仿宋_GB2312" w:cs="仿宋_GB2312" w:eastAsia="仿宋_GB2312"/>
                <w:sz w:val="20"/>
              </w:rPr>
              <w:t>98*148mm-330*1200mm，自动双面印刷最大进纸尺寸≥330*72</w:t>
            </w:r>
            <w:r>
              <w:rPr>
                <w:rFonts w:ascii="仿宋_GB2312" w:hAnsi="仿宋_GB2312" w:cs="仿宋_GB2312" w:eastAsia="仿宋_GB2312"/>
                <w:sz w:val="20"/>
              </w:rPr>
              <w:t>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供纸总容量</w:t>
            </w:r>
            <w:r>
              <w:rPr>
                <w:rFonts w:ascii="仿宋_GB2312" w:hAnsi="仿宋_GB2312" w:cs="仿宋_GB2312" w:eastAsia="仿宋_GB2312"/>
                <w:sz w:val="20"/>
              </w:rPr>
              <w:t>≥7</w:t>
            </w:r>
            <w:r>
              <w:rPr>
                <w:rFonts w:ascii="仿宋_GB2312" w:hAnsi="仿宋_GB2312" w:cs="仿宋_GB2312" w:eastAsia="仿宋_GB2312"/>
                <w:sz w:val="20"/>
              </w:rPr>
              <w:t>00</w:t>
            </w:r>
            <w:r>
              <w:rPr>
                <w:rFonts w:ascii="仿宋_GB2312" w:hAnsi="仿宋_GB2312" w:cs="仿宋_GB2312" w:eastAsia="仿宋_GB2312"/>
                <w:sz w:val="20"/>
              </w:rPr>
              <w:t>0页(</w:t>
            </w:r>
            <w:r>
              <w:rPr>
                <w:rFonts w:ascii="仿宋_GB2312" w:hAnsi="仿宋_GB2312" w:cs="仿宋_GB2312" w:eastAsia="仿宋_GB2312"/>
                <w:sz w:val="20"/>
              </w:rPr>
              <w:t>8</w:t>
            </w:r>
            <w:r>
              <w:rPr>
                <w:rFonts w:ascii="仿宋_GB2312" w:hAnsi="仿宋_GB2312" w:cs="仿宋_GB2312" w:eastAsia="仿宋_GB2312"/>
                <w:sz w:val="20"/>
              </w:rPr>
              <w:t>0g/m</w:t>
            </w:r>
            <w:r>
              <w:rPr>
                <w:rFonts w:ascii="仿宋_GB2312" w:hAnsi="仿宋_GB2312" w:cs="仿宋_GB2312" w:eastAsia="仿宋_GB2312"/>
                <w:sz w:val="20"/>
                <w:vertAlign w:val="superscript"/>
              </w:rPr>
              <w:t>2</w:t>
            </w:r>
            <w:r>
              <w:rPr>
                <w:rFonts w:ascii="仿宋_GB2312" w:hAnsi="仿宋_GB2312" w:cs="仿宋_GB2312" w:eastAsia="仿宋_GB2312"/>
                <w:sz w:val="20"/>
              </w:rPr>
              <w:t>)，所有纸盒均支持各类承印物，并配置手动送纸盘。</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配置</w:t>
            </w:r>
            <w:r>
              <w:rPr>
                <w:rFonts w:ascii="仿宋_GB2312" w:hAnsi="仿宋_GB2312" w:cs="仿宋_GB2312" w:eastAsia="仿宋_GB2312"/>
                <w:sz w:val="20"/>
              </w:rPr>
              <w:t>加长纸扩展组件的大容量堆叠器</w:t>
            </w:r>
            <w:r>
              <w:rPr>
                <w:rFonts w:ascii="仿宋_GB2312" w:hAnsi="仿宋_GB2312" w:cs="仿宋_GB2312" w:eastAsia="仿宋_GB2312"/>
                <w:sz w:val="20"/>
              </w:rPr>
              <w:t>。收纸纸张尺寸为：</w:t>
            </w:r>
            <w:r>
              <w:rPr>
                <w:rFonts w:ascii="仿宋_GB2312" w:hAnsi="仿宋_GB2312" w:cs="仿宋_GB2312" w:eastAsia="仿宋_GB2312"/>
                <w:sz w:val="20"/>
              </w:rPr>
              <w:t>98*148mm-330*1200mm。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具备自动较色模块；具备自动套准模块；具备防卷曲模块。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配备专业的色彩管理服务器及高级版</w:t>
            </w:r>
            <w:r>
              <w:rPr>
                <w:rFonts w:ascii="仿宋_GB2312" w:hAnsi="仿宋_GB2312" w:cs="仿宋_GB2312" w:eastAsia="仿宋_GB2312"/>
                <w:sz w:val="20"/>
              </w:rPr>
              <w:t>X-rite分光光度计。</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配置除臭氧分解单元；设备需按照数码印刷机主机型号量身定制连接组件，数码印刷机的出风口与除臭氧单元的进风口紧密相连，以确保数码印刷机所产生的臭氧可直接进入除臭氧单元进行臭氧分解；</w:t>
            </w:r>
            <w:r>
              <w:rPr>
                <w:rFonts w:ascii="仿宋_GB2312" w:hAnsi="仿宋_GB2312" w:cs="仿宋_GB2312" w:eastAsia="仿宋_GB2312"/>
                <w:sz w:val="20"/>
              </w:rPr>
              <w:t>能实时监控并显示温度、湿度、</w:t>
            </w:r>
            <w:r>
              <w:rPr>
                <w:rFonts w:ascii="仿宋_GB2312" w:hAnsi="仿宋_GB2312" w:cs="仿宋_GB2312" w:eastAsia="仿宋_GB2312"/>
                <w:sz w:val="20"/>
              </w:rPr>
              <w:t>PM2.5浓度、滤芯寿命。</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配套打印控制软件功能：</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软件采用</w:t>
            </w:r>
            <w:r>
              <w:rPr>
                <w:rFonts w:ascii="仿宋_GB2312" w:hAnsi="仿宋_GB2312" w:cs="仿宋_GB2312" w:eastAsia="仿宋_GB2312"/>
                <w:sz w:val="20"/>
              </w:rPr>
              <w:t>PDF/JDF数字化生产流程，支持自定义作业传票；软件兼容办公文件格式：DOC、DOCX、XLS、XLSX、PPT、PPTX、WPS，支持国内的OFD文件格式。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软件采用</w:t>
            </w:r>
            <w:r>
              <w:rPr>
                <w:rFonts w:ascii="仿宋_GB2312" w:hAnsi="仿宋_GB2312" w:cs="仿宋_GB2312" w:eastAsia="仿宋_GB2312"/>
                <w:sz w:val="20"/>
              </w:rPr>
              <w:t>Client/Server结构，支持局域网内建立多客户端，实现多人协同，有效提升工作效率。</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软件采用模块化设计，具有可扩展性，灵活搭建，拓展应用范围</w:t>
            </w:r>
            <w:r>
              <w:rPr>
                <w:rFonts w:ascii="仿宋_GB2312" w:hAnsi="仿宋_GB2312" w:cs="仿宋_GB2312" w:eastAsia="仿宋_GB2312"/>
                <w:sz w:val="20"/>
              </w:rPr>
              <w:t>,软件制造厂商需提供CMMI≥5级别的研发资质证书，确保软件后续个性化开发的软件研发能力。</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软件需完全兼容方正书版生成的</w:t>
            </w:r>
            <w:r>
              <w:rPr>
                <w:rFonts w:ascii="仿宋_GB2312" w:hAnsi="仿宋_GB2312" w:cs="仿宋_GB2312" w:eastAsia="仿宋_GB2312"/>
                <w:sz w:val="20"/>
              </w:rPr>
              <w:t>PS文件格式，需提供</w:t>
            </w:r>
            <w:r>
              <w:rPr>
                <w:rFonts w:ascii="仿宋_GB2312" w:hAnsi="仿宋_GB2312" w:cs="仿宋_GB2312" w:eastAsia="仿宋_GB2312"/>
                <w:sz w:val="20"/>
              </w:rPr>
              <w:t>兼容性</w:t>
            </w:r>
            <w:r>
              <w:rPr>
                <w:rFonts w:ascii="仿宋_GB2312" w:hAnsi="仿宋_GB2312" w:cs="仿宋_GB2312" w:eastAsia="仿宋_GB2312"/>
                <w:sz w:val="20"/>
              </w:rPr>
              <w:t>证明材料。</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具备字体嵌入技术，支持</w:t>
            </w:r>
            <w:r>
              <w:rPr>
                <w:rFonts w:ascii="仿宋_GB2312" w:hAnsi="仿宋_GB2312" w:cs="仿宋_GB2312" w:eastAsia="仿宋_GB2312"/>
                <w:sz w:val="20"/>
              </w:rPr>
              <w:t>TrueType、CID字体嵌入到PDF，支持简体字、繁体字，跨语言、跨平台，形成适合印刷的高精度PDF文件，需提供字库软件著作权证书证明材料。</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软件配置</w:t>
            </w:r>
            <w:r>
              <w:rPr>
                <w:rFonts w:ascii="仿宋_GB2312" w:hAnsi="仿宋_GB2312" w:cs="仿宋_GB2312" w:eastAsia="仿宋_GB2312"/>
                <w:sz w:val="20"/>
              </w:rPr>
              <w:t>≥80款正版高精度输出字库，提高印品文字质量，避免出现字体问题，提供字库生产厂商字体升级承诺证明材料。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色彩管理标准化，支持</w:t>
            </w:r>
            <w:r>
              <w:rPr>
                <w:rFonts w:ascii="仿宋_GB2312" w:hAnsi="仿宋_GB2312" w:cs="仿宋_GB2312" w:eastAsia="仿宋_GB2312"/>
                <w:sz w:val="20"/>
              </w:rPr>
              <w:t>PDF文件级的色彩转换，也支持点阵输出时进行颜色控制，提升印刷品质；支持RGB颜色的正确输出，支持RGB转CMYK，支持等值RGB用黑输出。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支持骑缝章加盖效果，支持小页、大版右键交互式盖章，支持公章管理与应用，支持公章导出，实现电子公文备份再利用；软件具有打号功能，支持可视化打号操作，支持一个页面打印</w:t>
            </w:r>
            <w:r>
              <w:rPr>
                <w:rFonts w:ascii="仿宋_GB2312" w:hAnsi="仿宋_GB2312" w:cs="仿宋_GB2312" w:eastAsia="仿宋_GB2312"/>
                <w:sz w:val="20"/>
              </w:rPr>
              <w:t>2个号码，同时可以进行点击移动，更加直观地显示文件打号效果。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软件提供智能折手，满足平订、骑马订、内折骑马订等各种样式装订要求；具有插页功能，支持批量插入空白页，支持按页面大小自动选择纸张来源，实现作业的混合打印生产。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22.</w:t>
            </w:r>
            <w:r>
              <w:rPr>
                <w:rFonts w:ascii="仿宋_GB2312" w:hAnsi="仿宋_GB2312" w:cs="仿宋_GB2312" w:eastAsia="仿宋_GB2312"/>
                <w:sz w:val="20"/>
              </w:rPr>
              <w:t>配备国产自主知识产权的光栅化图像处理技术，支持多</w:t>
            </w:r>
            <w:r>
              <w:rPr>
                <w:rFonts w:ascii="仿宋_GB2312" w:hAnsi="仿宋_GB2312" w:cs="仿宋_GB2312" w:eastAsia="仿宋_GB2312"/>
                <w:sz w:val="20"/>
              </w:rPr>
              <w:t>RIP并行处理，保证文件处理的效率及准确性。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23.</w:t>
            </w:r>
            <w:r>
              <w:rPr>
                <w:rFonts w:ascii="仿宋_GB2312" w:hAnsi="仿宋_GB2312" w:cs="仿宋_GB2312" w:eastAsia="仿宋_GB2312"/>
                <w:sz w:val="20"/>
              </w:rPr>
              <w:t>支持将多个单页的小页</w:t>
            </w:r>
            <w:r>
              <w:rPr>
                <w:rFonts w:ascii="仿宋_GB2312" w:hAnsi="仿宋_GB2312" w:cs="仿宋_GB2312" w:eastAsia="仿宋_GB2312"/>
                <w:sz w:val="20"/>
              </w:rPr>
              <w:t>PDF文件合成一个多页的文件，流程中直接实现文件的合并。导出经过畅流处理的PDF文件做其他用途，扩大了畅流的应用范围。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软件原厂商需具备研发能力，软件系统相关专利</w:t>
            </w:r>
            <w:r>
              <w:rPr>
                <w:rFonts w:ascii="仿宋_GB2312" w:hAnsi="仿宋_GB2312" w:cs="仿宋_GB2312" w:eastAsia="仿宋_GB2312"/>
                <w:sz w:val="20"/>
              </w:rPr>
              <w:t>≥5种，实现软件系统后续更新维护的保障，可根据使用方需求进行国产化系统的迁移。</w:t>
            </w:r>
          </w:p>
          <w:p>
            <w:pPr>
              <w:pStyle w:val="null3"/>
              <w:jc w:val="both"/>
            </w:pPr>
            <w:r>
              <w:rPr>
                <w:rFonts w:ascii="仿宋_GB2312" w:hAnsi="仿宋_GB2312" w:cs="仿宋_GB2312" w:eastAsia="仿宋_GB2312"/>
                <w:sz w:val="20"/>
                <w:b/>
              </w:rPr>
              <w:t>备注：上述</w:t>
            </w:r>
            <w:r>
              <w:rPr>
                <w:rFonts w:ascii="仿宋_GB2312" w:hAnsi="仿宋_GB2312" w:cs="仿宋_GB2312" w:eastAsia="仿宋_GB2312"/>
                <w:sz w:val="20"/>
                <w:b/>
              </w:rPr>
              <w:t>★项的技术指标为实质性技术指标，投标人拟投设备的技术指标必须满足招标文件要求不得出现负偏离，否则按无效投标处理；▲项参数为重要技术指标，#项参数为一般技术指标，出现负偏离将做扣分处理。</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合同签订生效且中标人向采购人提供有效的增值税专用发票后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项目交付完成并经双方验收合格后，中标人须向采购人出具验收合格证明材料、书面付款通知以及有效的增值税专用发票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的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中标供应商承担。2、每件包装箱内应附一份详细装箱单和质量合格证。3、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自设备安装调试完成并经采购人验收合格之日起18个月。质量保修范围：质保期内如设备本身问题造成短期停产时，则质保期相应顺延。质保期内设备问题均由中标人免费维修。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详见合同相关要求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人领取中标通知书时须线下提交投标文件正本壹套、副本贰套、电子版(U盘壹套，PDF格式）。纸质投标文件应与电子投标文件保持一致。递交文件地点：西安市太白南路181号西部电子社区A座A区501室招标一部。 2、采购标的对应的中小企业划分标准所属行业为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3、需要落实的政府采购政策：（1）《国务院办公厅关于建立政府强制采购节能产品制度的通知》（国办发〔2007〕51号）；（2）《财政部 司法部关于政府采购支持监狱企业发展有关问题的通知》（财库〔2014〕68 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 （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自2024年9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技术参数偏离表 投标函 投标人需要提交的其他资料 技术方案 标的清单 投标文件封面 业绩情况一览表 法定代表人身份证明或法定代表人授权委托书 投标人应提交的相关资格证明材料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法定代表人直接参加投标的，须出具法定代表人身份证明及法人身份证；法定代表人授权代表参加投标的，须出具法定代表人授权委托书和被授权人身份证明。</w:t>
            </w:r>
          </w:p>
        </w:tc>
        <w:tc>
          <w:tcPr>
            <w:tcW w:type="dxa" w:w="1661"/>
          </w:tcPr>
          <w:p>
            <w:pPr>
              <w:pStyle w:val="null3"/>
            </w:pPr>
            <w:r>
              <w:rPr>
                <w:rFonts w:ascii="仿宋_GB2312" w:hAnsi="仿宋_GB2312" w:cs="仿宋_GB2312" w:eastAsia="仿宋_GB2312"/>
              </w:rPr>
              <w:t>法定代表人身份证明或法定代表人授权委托书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交货期、交货地点、质保期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满足技术参数“★”项要求</w:t>
            </w:r>
          </w:p>
        </w:tc>
        <w:tc>
          <w:tcPr>
            <w:tcW w:type="dxa" w:w="1661"/>
          </w:tcPr>
          <w:p>
            <w:pPr>
              <w:pStyle w:val="null3"/>
            </w:pPr>
            <w:r>
              <w:rPr>
                <w:rFonts w:ascii="仿宋_GB2312" w:hAnsi="仿宋_GB2312" w:cs="仿宋_GB2312" w:eastAsia="仿宋_GB2312"/>
              </w:rPr>
              <w:t>技术参数偏离表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指标分为实质性技术指标（★项）、重要技术指标（▲项）和一般技术指标（＃项）。投标人所投设备不满足实质性技术指标（★项）的，视为无效投标。重要技术指标（▲项）有1项负偏离扣3分，一般技术指标（＃项有1项负偏离扣1分。投标人须提供相关技术指标证明材料予以佐证，证明材料不限于检测报告、试验报告、产品彩页、厂家出具的技术证明文件、软件功能截图等一种或多种，并表明证明材料所在页码。投标人自行承担因材料提供不全导致的技术参数评审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一、评审内容 根据本项目提供供货安装方案，包括：①货源组织安排②交付及到货时间进度安排、人员分工③安装调试④试运行。 二、评审标准： 1、完整性：方案必须全面，对评审内容中的各项要求有详细描述； 2、可实施性：切合本项目实际情况，提出步骤清晰、合理的方案； 3、针对性：方案能够紧扣项目实际情况，内容科学合理。 三、赋分标准（满分12分）：①货源组织安排（满分3分）：每完全满足一个评审标准得1分，基本满足得0.5分，不满足得0分；②交付及到货时间进度安排、人员分工（满分3分）：每完全满足一个评审标准得1分，基本满足得0.5分，不满足得0分；③安装调试（满分3分）：每完全满足一个评审标准得1分，基本满足得0.5分，不满足得0分；④试运行（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本项目所需产品的合法正规来源渠道证明文件（若为代理商须提供不限于销售协议、代理协议、原厂授权等证明材料；若为制造商须提供质量保证承诺函），提供本项目所投全部产品的合法正规来源渠道证明文件得3分，不提供或缺项不得分。 备注：以加盖投标人公章的证明材料或质量保证承诺函为准。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投标人具有有效的环境管理体系认证证书(ISO14001)得1分； 具有有效的质量管理体系认证证书(ISO9001)得1分； 具有有效的职业健康安全管理体系认证证书(ISO45001)得1分。 需提供投标人证书复印件或扫描件并加盖投标人公章。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结合采购人机关单位文印特点制定售后服务方案，包括：①售后服务内容，以及服务响应时间、响应方式、响应速度②售后服务团队配置。 二、评审标准： 1、完整性：方案必须全面，对评审内容中的各项要求有详细描述； 2、可实施性：切合本项目实际情况，提出步骤清晰、合理的方案； 3、针对性：方案能够紧扣项目实际情况，内容科学合理。 三、赋分标准（满分6分）： ①售后服务内容，以及服务响应时间、响应方式、响应速度（满分3分）：每完全满足一个评审标准得1分，基本满足得0.5分，不满足得0分；②售后服务团队配置（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培训方案能够体现项目机关文印特点，内容全面，师资力量强、灵活性好，与采购人的日常生产配合度高，效果承诺清晰，得5分； 培训方案内容完整全面，师资力量较强、灵活性较好，与采购人的日常生产配合度较高，效果承诺较清晰，得4分； 培训方案较完整，但非主要环节中存在表述不清晰，或存在非关键性内容表述不完整的，得3分； 培训方案基本完整，但在主要环节中存在表述不清晰，或存在关键性内容表述不完整的，得2分； 培训方案针对性明显不足，或内容过于简单，得1分； 没有提供有针对性的培训方案，得0分。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以合同签订时间为准）以来类似项目业绩，附合同或合同关键页（必须含封面、内容、合同价款、签订时间、盖章签字页等信息）的复印件或扫描件并加盖公章，每提供1个得2分，最高得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采用低价优先法计算，满足招标文件要求且投标价格最低的作为评标基准价，其价格分为满分。其他投标人的价格分统一按照下列公式计算：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详见附件：法定代表人身份证明或法定代表人授权委托书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详见附件：业绩情况一览表</w:t>
      </w:r>
    </w:p>
    <w:p>
      <w:pPr>
        <w:pStyle w:val="null3"/>
        <w:ind w:firstLine="960"/>
      </w:pPr>
      <w:r>
        <w:rPr>
          <w:rFonts w:ascii="仿宋_GB2312" w:hAnsi="仿宋_GB2312" w:cs="仿宋_GB2312" w:eastAsia="仿宋_GB2312"/>
        </w:rPr>
        <w:t>详见附件：投标人需要提交的其他资料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详见附件：中共陕西省委机要印务中心彩色数码印刷机采购项目供货合同.docx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