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217063">
      <w:pPr>
        <w:jc w:val="left"/>
        <w:rPr>
          <w:rFonts w:hint="default" w:eastAsia="宋体"/>
          <w:sz w:val="28"/>
          <w:szCs w:val="28"/>
          <w:lang w:val="en-US" w:eastAsia="zh-CN"/>
        </w:rPr>
      </w:pPr>
      <w:r>
        <w:rPr>
          <w:rFonts w:hint="eastAsia" w:ascii="黑体" w:hAnsi="黑体" w:eastAsia="黑体"/>
          <w:sz w:val="28"/>
          <w:szCs w:val="28"/>
        </w:rPr>
        <w:t>合同编号</w:t>
      </w:r>
      <w:r>
        <w:rPr>
          <w:rFonts w:hint="eastAsia" w:ascii="宋体" w:hAnsi="宋体"/>
          <w:sz w:val="28"/>
          <w:szCs w:val="28"/>
        </w:rPr>
        <w:t>：</w:t>
      </w:r>
    </w:p>
    <w:p w14:paraId="1FC793A4">
      <w:pPr>
        <w:keepLines w:val="0"/>
        <w:pageBreakBefore w:val="0"/>
        <w:kinsoku/>
        <w:overflowPunct/>
        <w:topLinePunct w:val="0"/>
        <w:autoSpaceDE/>
        <w:autoSpaceDN/>
        <w:bidi w:val="0"/>
        <w:adjustRightInd/>
        <w:snapToGrid/>
        <w:spacing w:before="210" w:beforeLines="50" w:line="336" w:lineRule="auto"/>
        <w:textAlignment w:val="auto"/>
        <w:rPr>
          <w:rFonts w:hint="eastAsia" w:ascii="黑体" w:hAnsi="黑体" w:eastAsia="黑体" w:cs="黑体"/>
          <w:b/>
          <w:sz w:val="44"/>
          <w:szCs w:val="40"/>
        </w:rPr>
      </w:pPr>
    </w:p>
    <w:p w14:paraId="25780CAC">
      <w:pPr>
        <w:keepLines w:val="0"/>
        <w:pageBreakBefore w:val="0"/>
        <w:kinsoku/>
        <w:overflowPunct/>
        <w:topLinePunct w:val="0"/>
        <w:autoSpaceDE/>
        <w:autoSpaceDN/>
        <w:bidi w:val="0"/>
        <w:adjustRightInd/>
        <w:snapToGrid/>
        <w:spacing w:before="210" w:beforeLines="50" w:line="336" w:lineRule="auto"/>
        <w:textAlignment w:val="auto"/>
        <w:rPr>
          <w:rFonts w:hint="eastAsia" w:ascii="黑体" w:hAnsi="黑体" w:eastAsia="黑体" w:cs="黑体"/>
          <w:b/>
          <w:sz w:val="44"/>
          <w:szCs w:val="40"/>
        </w:rPr>
      </w:pPr>
    </w:p>
    <w:p w14:paraId="72D8BCE3">
      <w:pPr>
        <w:keepLines w:val="0"/>
        <w:pageBreakBefore w:val="0"/>
        <w:kinsoku/>
        <w:overflowPunct/>
        <w:topLinePunct w:val="0"/>
        <w:autoSpaceDE/>
        <w:autoSpaceDN/>
        <w:bidi w:val="0"/>
        <w:adjustRightInd/>
        <w:snapToGrid/>
        <w:spacing w:before="210" w:beforeLines="50" w:line="336" w:lineRule="auto"/>
        <w:textAlignment w:val="auto"/>
        <w:rPr>
          <w:rFonts w:hint="eastAsia" w:ascii="黑体" w:hAnsi="黑体" w:eastAsia="黑体" w:cs="黑体"/>
          <w:b/>
          <w:sz w:val="44"/>
          <w:szCs w:val="40"/>
        </w:rPr>
      </w:pPr>
    </w:p>
    <w:p w14:paraId="4A509F2D">
      <w:pPr>
        <w:keepLines w:val="0"/>
        <w:pageBreakBefore w:val="0"/>
        <w:kinsoku/>
        <w:overflowPunct/>
        <w:topLinePunct w:val="0"/>
        <w:autoSpaceDE/>
        <w:autoSpaceDN/>
        <w:bidi w:val="0"/>
        <w:adjustRightInd/>
        <w:snapToGrid/>
        <w:spacing w:before="210" w:beforeLines="50" w:line="360" w:lineRule="auto"/>
        <w:jc w:val="center"/>
        <w:textAlignment w:val="auto"/>
        <w:rPr>
          <w:rFonts w:hint="eastAsia" w:ascii="黑体" w:hAnsi="黑体" w:eastAsia="黑体" w:cs="黑体"/>
          <w:b w:val="0"/>
          <w:bCs/>
          <w:sz w:val="44"/>
          <w:szCs w:val="40"/>
        </w:rPr>
      </w:pPr>
      <w:r>
        <w:rPr>
          <w:rFonts w:hint="eastAsia" w:ascii="黑体" w:hAnsi="黑体" w:eastAsia="黑体" w:cs="黑体"/>
          <w:b w:val="0"/>
          <w:bCs/>
          <w:sz w:val="44"/>
          <w:szCs w:val="40"/>
        </w:rPr>
        <w:t>中共陕西省委机要印务中心</w:t>
      </w:r>
    </w:p>
    <w:p w14:paraId="0EA31A66">
      <w:pPr>
        <w:keepLines w:val="0"/>
        <w:pageBreakBefore w:val="0"/>
        <w:kinsoku/>
        <w:overflowPunct/>
        <w:topLinePunct w:val="0"/>
        <w:autoSpaceDE/>
        <w:autoSpaceDN/>
        <w:bidi w:val="0"/>
        <w:adjustRightInd/>
        <w:snapToGrid/>
        <w:spacing w:before="210" w:beforeLines="50" w:line="360" w:lineRule="auto"/>
        <w:jc w:val="center"/>
        <w:textAlignment w:val="auto"/>
        <w:rPr>
          <w:rFonts w:hint="eastAsia" w:ascii="黑体" w:hAnsi="黑体" w:eastAsia="黑体" w:cs="黑体"/>
          <w:b w:val="0"/>
          <w:bCs/>
          <w:sz w:val="44"/>
          <w:szCs w:val="40"/>
          <w:lang w:val="en-US" w:eastAsia="zh-CN"/>
        </w:rPr>
      </w:pPr>
      <w:r>
        <w:rPr>
          <w:rFonts w:hint="eastAsia" w:ascii="黑体" w:hAnsi="黑体" w:eastAsia="黑体" w:cs="黑体"/>
          <w:b w:val="0"/>
          <w:bCs/>
          <w:sz w:val="44"/>
          <w:szCs w:val="40"/>
          <w:lang w:val="en-US" w:eastAsia="zh-CN"/>
        </w:rPr>
        <w:t>彩色数码印刷机采购项目</w:t>
      </w:r>
    </w:p>
    <w:p w14:paraId="126D0CF8">
      <w:pPr>
        <w:keepLines w:val="0"/>
        <w:pageBreakBefore w:val="0"/>
        <w:kinsoku/>
        <w:overflowPunct/>
        <w:topLinePunct w:val="0"/>
        <w:autoSpaceDE/>
        <w:autoSpaceDN/>
        <w:bidi w:val="0"/>
        <w:adjustRightInd/>
        <w:snapToGrid/>
        <w:spacing w:before="210" w:beforeLines="50" w:line="720" w:lineRule="auto"/>
        <w:jc w:val="center"/>
        <w:textAlignment w:val="auto"/>
        <w:rPr>
          <w:rFonts w:hint="eastAsia" w:ascii="黑体" w:hAnsi="黑体" w:eastAsia="黑体" w:cs="黑体"/>
          <w:b w:val="0"/>
          <w:bCs/>
          <w:sz w:val="44"/>
          <w:szCs w:val="40"/>
          <w:lang w:val="en-US" w:eastAsia="zh-CN"/>
        </w:rPr>
      </w:pPr>
    </w:p>
    <w:p w14:paraId="5C7FC5E2">
      <w:pPr>
        <w:keepLines w:val="0"/>
        <w:pageBreakBefore w:val="0"/>
        <w:kinsoku/>
        <w:overflowPunct/>
        <w:topLinePunct w:val="0"/>
        <w:autoSpaceDE/>
        <w:autoSpaceDN/>
        <w:bidi w:val="0"/>
        <w:adjustRightInd/>
        <w:snapToGrid/>
        <w:spacing w:before="210" w:beforeLines="50" w:line="720" w:lineRule="auto"/>
        <w:jc w:val="center"/>
        <w:textAlignment w:val="auto"/>
        <w:rPr>
          <w:rFonts w:hint="eastAsia" w:ascii="黑体" w:hAnsi="黑体" w:eastAsia="黑体" w:cs="黑体"/>
          <w:b w:val="0"/>
          <w:bCs/>
          <w:sz w:val="40"/>
          <w:szCs w:val="40"/>
          <w:lang w:val="en-US" w:eastAsia="zh-CN"/>
        </w:rPr>
      </w:pPr>
      <w:r>
        <w:rPr>
          <w:rFonts w:hint="eastAsia" w:ascii="黑体" w:hAnsi="黑体" w:eastAsia="黑体" w:cs="黑体"/>
          <w:b w:val="0"/>
          <w:bCs/>
          <w:sz w:val="44"/>
          <w:szCs w:val="40"/>
          <w:lang w:val="en-US" w:eastAsia="zh-CN"/>
        </w:rPr>
        <w:t>供 货 合 同</w:t>
      </w:r>
    </w:p>
    <w:p w14:paraId="37400CBB">
      <w:pPr>
        <w:rPr>
          <w:rFonts w:hint="eastAsia"/>
          <w:b/>
          <w:sz w:val="28"/>
        </w:rPr>
      </w:pPr>
    </w:p>
    <w:p w14:paraId="0C1BB942">
      <w:pPr>
        <w:rPr>
          <w:rFonts w:hint="eastAsia"/>
          <w:b/>
          <w:sz w:val="28"/>
        </w:rPr>
      </w:pPr>
    </w:p>
    <w:p w14:paraId="220F1268">
      <w:pPr>
        <w:rPr>
          <w:rFonts w:hint="eastAsia"/>
          <w:b/>
          <w:sz w:val="28"/>
        </w:rPr>
      </w:pPr>
    </w:p>
    <w:p w14:paraId="7A04C0CD">
      <w:pPr>
        <w:rPr>
          <w:rFonts w:hint="eastAsia"/>
          <w:b/>
          <w:sz w:val="28"/>
        </w:rPr>
      </w:pPr>
    </w:p>
    <w:p w14:paraId="4F89CC21">
      <w:pPr>
        <w:rPr>
          <w:rFonts w:hint="eastAsia"/>
          <w:b/>
          <w:sz w:val="28"/>
        </w:rPr>
      </w:pPr>
    </w:p>
    <w:p w14:paraId="40F269D0">
      <w:pPr>
        <w:rPr>
          <w:rFonts w:hint="eastAsia" w:ascii="黑体" w:hAnsi="黑体" w:eastAsia="黑体" w:cs="黑体"/>
          <w:b/>
          <w:sz w:val="28"/>
          <w:lang w:val="en-US" w:eastAsia="zh-CN"/>
        </w:rPr>
      </w:pPr>
    </w:p>
    <w:p w14:paraId="2F03B780">
      <w:pPr>
        <w:ind w:firstLine="1124" w:firstLineChars="400"/>
        <w:rPr>
          <w:rFonts w:hint="eastAsia" w:ascii="黑体" w:hAnsi="黑体" w:eastAsia="黑体" w:cs="黑体"/>
          <w:b/>
          <w:sz w:val="28"/>
          <w:lang w:val="en-US" w:eastAsia="zh-CN"/>
        </w:rPr>
      </w:pPr>
    </w:p>
    <w:p w14:paraId="0FFCE2C5">
      <w:pPr>
        <w:ind w:firstLine="1120" w:firstLineChars="400"/>
        <w:rPr>
          <w:rFonts w:hint="default" w:ascii="黑体" w:hAnsi="黑体" w:eastAsia="黑体" w:cs="黑体"/>
          <w:b w:val="0"/>
          <w:bCs/>
          <w:sz w:val="28"/>
          <w:u w:val="single"/>
          <w:lang w:val="en-US" w:eastAsia="zh-CN"/>
        </w:rPr>
      </w:pPr>
      <w:r>
        <w:rPr>
          <w:rFonts w:hint="eastAsia" w:ascii="黑体" w:hAnsi="黑体" w:eastAsia="黑体" w:cs="黑体"/>
          <w:b w:val="0"/>
          <w:bCs/>
          <w:sz w:val="28"/>
          <w:lang w:val="en-US" w:eastAsia="zh-CN"/>
        </w:rPr>
        <w:t>甲方（采购人）：</w:t>
      </w:r>
      <w:r>
        <w:rPr>
          <w:rFonts w:hint="eastAsia" w:ascii="黑体" w:hAnsi="黑体" w:eastAsia="黑体" w:cs="黑体"/>
          <w:b w:val="0"/>
          <w:bCs/>
          <w:sz w:val="28"/>
          <w:u w:val="single"/>
          <w:lang w:val="en-US" w:eastAsia="zh-CN"/>
        </w:rPr>
        <w:t xml:space="preserve">                         </w:t>
      </w:r>
    </w:p>
    <w:p w14:paraId="7634E6DA">
      <w:pPr>
        <w:ind w:firstLine="1120" w:firstLineChars="400"/>
        <w:rPr>
          <w:rFonts w:hint="default" w:ascii="黑体" w:hAnsi="黑体" w:eastAsia="黑体" w:cs="黑体"/>
          <w:b w:val="0"/>
          <w:bCs/>
          <w:sz w:val="28"/>
          <w:u w:val="single"/>
          <w:lang w:val="en-US" w:eastAsia="zh-CN"/>
        </w:rPr>
      </w:pPr>
      <w:r>
        <w:rPr>
          <w:rFonts w:hint="eastAsia" w:ascii="黑体" w:hAnsi="黑体" w:eastAsia="黑体" w:cs="黑体"/>
          <w:b w:val="0"/>
          <w:bCs/>
          <w:sz w:val="28"/>
          <w:lang w:val="en-US" w:eastAsia="zh-CN"/>
        </w:rPr>
        <w:t>乙方（供应商）：</w:t>
      </w:r>
      <w:r>
        <w:rPr>
          <w:rFonts w:hint="eastAsia" w:ascii="黑体" w:hAnsi="黑体" w:eastAsia="黑体" w:cs="黑体"/>
          <w:b w:val="0"/>
          <w:bCs/>
          <w:sz w:val="28"/>
          <w:u w:val="single"/>
          <w:lang w:val="en-US" w:eastAsia="zh-CN"/>
        </w:rPr>
        <w:t xml:space="preserve">                         </w:t>
      </w:r>
    </w:p>
    <w:p w14:paraId="33BC7717">
      <w:pPr>
        <w:rPr>
          <w:rFonts w:hint="default"/>
          <w:b/>
          <w:sz w:val="28"/>
          <w:lang w:val="en-US" w:eastAsia="zh-CN"/>
        </w:rPr>
      </w:pPr>
    </w:p>
    <w:p w14:paraId="44F79CA9">
      <w:pPr>
        <w:rPr>
          <w:rFonts w:hint="eastAsia"/>
          <w:b/>
          <w:sz w:val="28"/>
        </w:rPr>
      </w:pPr>
      <w:r>
        <w:rPr>
          <w:rFonts w:hint="eastAsia"/>
          <w:b/>
          <w:sz w:val="28"/>
        </w:rPr>
        <w:br w:type="page"/>
      </w:r>
    </w:p>
    <w:p w14:paraId="449C3E15">
      <w:pPr>
        <w:pStyle w:val="4"/>
        <w:widowControl w:val="0"/>
        <w:spacing w:after="0" w:afterAutospacing="0" w:line="360" w:lineRule="auto"/>
        <w:ind w:firstLine="420" w:firstLineChars="200"/>
        <w:contextualSpacing/>
        <w:jc w:val="both"/>
        <w:rPr>
          <w:rFonts w:cs="Arial"/>
          <w:kern w:val="2"/>
          <w:sz w:val="21"/>
          <w:szCs w:val="21"/>
          <w:u w:val="single"/>
        </w:rPr>
      </w:pPr>
      <w:r>
        <w:rPr>
          <w:rFonts w:hint="eastAsia"/>
          <w:kern w:val="2"/>
          <w:sz w:val="21"/>
          <w:szCs w:val="21"/>
        </w:rPr>
        <w:t>甲方（采购人）：</w:t>
      </w:r>
      <w:r>
        <w:rPr>
          <w:rFonts w:hint="eastAsia"/>
          <w:kern w:val="2"/>
          <w:sz w:val="21"/>
          <w:szCs w:val="21"/>
          <w:u w:val="single"/>
        </w:rPr>
        <w:t xml:space="preserve">                                  </w:t>
      </w:r>
    </w:p>
    <w:p w14:paraId="78B36EC6">
      <w:pPr>
        <w:pStyle w:val="4"/>
        <w:widowControl w:val="0"/>
        <w:spacing w:after="0" w:afterAutospacing="0" w:line="360" w:lineRule="auto"/>
        <w:ind w:firstLine="420" w:firstLineChars="200"/>
        <w:contextualSpacing/>
        <w:jc w:val="both"/>
        <w:rPr>
          <w:rFonts w:hint="eastAsia"/>
          <w:kern w:val="2"/>
          <w:sz w:val="21"/>
          <w:szCs w:val="21"/>
          <w:u w:val="single"/>
        </w:rPr>
      </w:pPr>
      <w:r>
        <w:rPr>
          <w:rFonts w:hint="eastAsia"/>
          <w:kern w:val="2"/>
          <w:sz w:val="21"/>
          <w:szCs w:val="21"/>
        </w:rPr>
        <w:t>乙方（供应商）：</w:t>
      </w:r>
      <w:r>
        <w:rPr>
          <w:rFonts w:hint="eastAsia"/>
          <w:kern w:val="2"/>
          <w:sz w:val="21"/>
          <w:szCs w:val="21"/>
          <w:u w:val="single"/>
        </w:rPr>
        <w:t xml:space="preserve">                              </w:t>
      </w:r>
    </w:p>
    <w:p w14:paraId="365D0331">
      <w:pPr>
        <w:pStyle w:val="4"/>
        <w:widowControl w:val="0"/>
        <w:spacing w:after="0" w:afterAutospacing="0" w:line="360" w:lineRule="auto"/>
        <w:ind w:left="785" w:leftChars="174" w:hanging="420" w:hangingChars="200"/>
        <w:contextualSpacing/>
        <w:jc w:val="both"/>
        <w:rPr>
          <w:rFonts w:hint="eastAsia"/>
          <w:kern w:val="2"/>
          <w:sz w:val="21"/>
          <w:szCs w:val="21"/>
        </w:rPr>
      </w:pPr>
      <w:r>
        <w:rPr>
          <w:rFonts w:hint="eastAsia"/>
          <w:kern w:val="2"/>
          <w:sz w:val="21"/>
          <w:szCs w:val="21"/>
        </w:rPr>
        <w:t>中共陕西省委机要印务中心（以下简称“甲方”）通过</w:t>
      </w:r>
      <w:r>
        <w:rPr>
          <w:rFonts w:hint="eastAsia"/>
          <w:kern w:val="2"/>
          <w:sz w:val="21"/>
          <w:szCs w:val="21"/>
          <w:u w:val="single"/>
        </w:rPr>
        <w:t xml:space="preserve">                </w:t>
      </w:r>
      <w:r>
        <w:rPr>
          <w:rFonts w:hint="eastAsia"/>
          <w:kern w:val="2"/>
          <w:sz w:val="21"/>
          <w:szCs w:val="21"/>
        </w:rPr>
        <w:t>方式采购，确</w:t>
      </w:r>
    </w:p>
    <w:p w14:paraId="0327CBDF">
      <w:pPr>
        <w:pStyle w:val="4"/>
        <w:widowControl w:val="0"/>
        <w:spacing w:after="0" w:afterAutospacing="0" w:line="360" w:lineRule="auto"/>
        <w:contextualSpacing/>
        <w:jc w:val="both"/>
        <w:rPr>
          <w:rFonts w:hint="eastAsia"/>
          <w:kern w:val="2"/>
          <w:sz w:val="21"/>
          <w:szCs w:val="21"/>
        </w:rPr>
      </w:pPr>
      <w:r>
        <w:rPr>
          <w:rFonts w:hint="eastAsia"/>
          <w:kern w:val="2"/>
          <w:sz w:val="21"/>
          <w:szCs w:val="21"/>
        </w:rPr>
        <w:t>定</w:t>
      </w:r>
      <w:r>
        <w:rPr>
          <w:rFonts w:hint="eastAsia"/>
          <w:kern w:val="2"/>
          <w:sz w:val="21"/>
          <w:szCs w:val="21"/>
          <w:u w:val="single"/>
        </w:rPr>
        <w:t xml:space="preserve">             </w:t>
      </w:r>
      <w:r>
        <w:rPr>
          <w:rFonts w:hint="eastAsia"/>
          <w:kern w:val="2"/>
          <w:sz w:val="21"/>
          <w:szCs w:val="21"/>
        </w:rPr>
        <w:t>（以下简称“乙方”）为中共陕西省委机要印务中心</w:t>
      </w:r>
      <w:r>
        <w:rPr>
          <w:rFonts w:hint="eastAsia"/>
          <w:kern w:val="2"/>
          <w:sz w:val="21"/>
          <w:szCs w:val="21"/>
          <w:highlight w:val="none"/>
          <w:lang w:val="en-US" w:eastAsia="zh-CN"/>
        </w:rPr>
        <w:t>彩</w:t>
      </w:r>
      <w:r>
        <w:rPr>
          <w:rFonts w:hint="eastAsia"/>
          <w:kern w:val="2"/>
          <w:sz w:val="21"/>
          <w:szCs w:val="21"/>
          <w:highlight w:val="none"/>
        </w:rPr>
        <w:t>色数码印刷机</w:t>
      </w:r>
      <w:r>
        <w:rPr>
          <w:rFonts w:hint="eastAsia"/>
          <w:kern w:val="2"/>
          <w:sz w:val="21"/>
          <w:szCs w:val="21"/>
        </w:rPr>
        <w:t>采购项目的中标供应商。依据《中华人民共和国政府采购法》、《中</w:t>
      </w:r>
      <w:r>
        <w:rPr>
          <w:rFonts w:hint="eastAsia"/>
          <w:kern w:val="2"/>
          <w:sz w:val="21"/>
          <w:szCs w:val="21"/>
          <w:lang w:val="en-US" w:eastAsia="zh-CN"/>
        </w:rPr>
        <w:t>华</w:t>
      </w:r>
      <w:r>
        <w:rPr>
          <w:rFonts w:hint="eastAsia"/>
          <w:kern w:val="2"/>
          <w:sz w:val="21"/>
          <w:szCs w:val="21"/>
        </w:rPr>
        <w:t>人民共和国民法典》以及招标文件、中标通知书，经甲、乙双方协商，达成如下合同条款。</w:t>
      </w:r>
    </w:p>
    <w:p w14:paraId="2DCAAA70">
      <w:pPr>
        <w:pStyle w:val="4"/>
        <w:widowControl w:val="0"/>
        <w:numPr>
          <w:ilvl w:val="0"/>
          <w:numId w:val="2"/>
        </w:numPr>
        <w:spacing w:after="0" w:afterAutospacing="0" w:line="360" w:lineRule="auto"/>
        <w:ind w:firstLine="422" w:firstLineChars="200"/>
        <w:contextualSpacing/>
        <w:jc w:val="both"/>
        <w:outlineLvl w:val="1"/>
        <w:rPr>
          <w:rFonts w:hint="eastAsia"/>
          <w:b/>
          <w:bCs/>
          <w:kern w:val="2"/>
          <w:sz w:val="21"/>
          <w:szCs w:val="21"/>
        </w:rPr>
      </w:pPr>
      <w:r>
        <w:rPr>
          <w:rFonts w:hint="eastAsia"/>
          <w:b/>
          <w:bCs/>
          <w:kern w:val="2"/>
          <w:sz w:val="21"/>
          <w:szCs w:val="21"/>
        </w:rPr>
        <w:t>设备清单</w:t>
      </w:r>
    </w:p>
    <w:tbl>
      <w:tblPr>
        <w:tblStyle w:val="5"/>
        <w:tblW w:w="8931" w:type="dxa"/>
        <w:tblInd w:w="93" w:type="dxa"/>
        <w:tblLayout w:type="fixed"/>
        <w:tblCellMar>
          <w:top w:w="0" w:type="dxa"/>
          <w:left w:w="108" w:type="dxa"/>
          <w:bottom w:w="0" w:type="dxa"/>
          <w:right w:w="108" w:type="dxa"/>
        </w:tblCellMar>
      </w:tblPr>
      <w:tblGrid>
        <w:gridCol w:w="741"/>
        <w:gridCol w:w="1262"/>
        <w:gridCol w:w="1183"/>
        <w:gridCol w:w="810"/>
        <w:gridCol w:w="720"/>
        <w:gridCol w:w="840"/>
        <w:gridCol w:w="1290"/>
        <w:gridCol w:w="1155"/>
        <w:gridCol w:w="930"/>
      </w:tblGrid>
      <w:tr w14:paraId="417EB3D0">
        <w:tblPrEx>
          <w:tblCellMar>
            <w:top w:w="0" w:type="dxa"/>
            <w:left w:w="108" w:type="dxa"/>
            <w:bottom w:w="0" w:type="dxa"/>
            <w:right w:w="108" w:type="dxa"/>
          </w:tblCellMar>
        </w:tblPrEx>
        <w:trPr>
          <w:trHeight w:val="777" w:hRule="atLeast"/>
        </w:trPr>
        <w:tc>
          <w:tcPr>
            <w:tcW w:w="741" w:type="dxa"/>
            <w:tcBorders>
              <w:top w:val="single" w:color="000000" w:sz="4" w:space="0"/>
              <w:left w:val="single" w:color="000000" w:sz="4" w:space="0"/>
              <w:bottom w:val="single" w:color="000000" w:sz="4" w:space="0"/>
              <w:right w:val="single" w:color="000000" w:sz="4" w:space="0"/>
            </w:tcBorders>
            <w:noWrap/>
            <w:vAlign w:val="center"/>
          </w:tcPr>
          <w:p w14:paraId="503C6D40">
            <w:pPr>
              <w:widowControl/>
              <w:jc w:val="center"/>
              <w:textAlignment w:val="center"/>
              <w:rPr>
                <w:rFonts w:hint="eastAsia" w:ascii="宋体" w:hAnsi="宋体" w:cs="宋体"/>
                <w:b/>
                <w:bCs/>
                <w:color w:val="000000"/>
                <w:sz w:val="20"/>
                <w:szCs w:val="20"/>
              </w:rPr>
            </w:pPr>
            <w:r>
              <w:rPr>
                <w:rFonts w:hint="eastAsia" w:ascii="宋体" w:hAnsi="宋体" w:cs="宋体"/>
                <w:b/>
                <w:bCs/>
                <w:color w:val="000000"/>
                <w:sz w:val="20"/>
                <w:szCs w:val="20"/>
                <w:lang w:bidi="ar"/>
              </w:rPr>
              <w:t>序号</w:t>
            </w:r>
          </w:p>
        </w:tc>
        <w:tc>
          <w:tcPr>
            <w:tcW w:w="1262" w:type="dxa"/>
            <w:tcBorders>
              <w:top w:val="single" w:color="000000" w:sz="4" w:space="0"/>
              <w:left w:val="single" w:color="000000" w:sz="4" w:space="0"/>
              <w:bottom w:val="single" w:color="000000" w:sz="4" w:space="0"/>
              <w:right w:val="single" w:color="000000" w:sz="4" w:space="0"/>
            </w:tcBorders>
            <w:noWrap/>
            <w:vAlign w:val="center"/>
          </w:tcPr>
          <w:p w14:paraId="6B244630">
            <w:pPr>
              <w:widowControl/>
              <w:jc w:val="center"/>
              <w:textAlignment w:val="center"/>
              <w:rPr>
                <w:rFonts w:hint="eastAsia" w:ascii="宋体" w:hAnsi="宋体" w:cs="宋体"/>
                <w:b/>
                <w:bCs/>
                <w:color w:val="000000"/>
                <w:sz w:val="20"/>
                <w:szCs w:val="20"/>
              </w:rPr>
            </w:pPr>
            <w:r>
              <w:rPr>
                <w:rFonts w:hint="eastAsia" w:ascii="宋体" w:hAnsi="宋体" w:cs="宋体"/>
                <w:b/>
                <w:bCs/>
                <w:color w:val="000000"/>
                <w:sz w:val="20"/>
                <w:szCs w:val="20"/>
                <w:lang w:bidi="ar"/>
              </w:rPr>
              <w:t>产品名称</w:t>
            </w:r>
          </w:p>
        </w:tc>
        <w:tc>
          <w:tcPr>
            <w:tcW w:w="1183" w:type="dxa"/>
            <w:tcBorders>
              <w:top w:val="single" w:color="000000" w:sz="4" w:space="0"/>
              <w:left w:val="single" w:color="000000" w:sz="4" w:space="0"/>
              <w:bottom w:val="single" w:color="000000" w:sz="4" w:space="0"/>
              <w:right w:val="single" w:color="000000" w:sz="4" w:space="0"/>
            </w:tcBorders>
            <w:noWrap/>
            <w:vAlign w:val="center"/>
          </w:tcPr>
          <w:p w14:paraId="261703CD">
            <w:pPr>
              <w:widowControl/>
              <w:jc w:val="center"/>
              <w:textAlignment w:val="center"/>
              <w:rPr>
                <w:rFonts w:hint="eastAsia" w:ascii="宋体" w:hAnsi="宋体" w:cs="宋体"/>
                <w:b/>
                <w:bCs/>
                <w:color w:val="000000"/>
                <w:sz w:val="20"/>
                <w:szCs w:val="20"/>
              </w:rPr>
            </w:pPr>
            <w:r>
              <w:rPr>
                <w:rFonts w:hint="eastAsia" w:ascii="宋体" w:hAnsi="宋体" w:cs="宋体"/>
                <w:b/>
                <w:bCs/>
                <w:color w:val="000000"/>
                <w:sz w:val="20"/>
                <w:szCs w:val="20"/>
                <w:lang w:bidi="ar"/>
              </w:rPr>
              <w:t>规格型号</w:t>
            </w:r>
          </w:p>
        </w:tc>
        <w:tc>
          <w:tcPr>
            <w:tcW w:w="810" w:type="dxa"/>
            <w:tcBorders>
              <w:top w:val="single" w:color="000000" w:sz="4" w:space="0"/>
              <w:left w:val="single" w:color="000000" w:sz="4" w:space="0"/>
              <w:bottom w:val="single" w:color="000000" w:sz="4" w:space="0"/>
              <w:right w:val="single" w:color="000000" w:sz="4" w:space="0"/>
            </w:tcBorders>
            <w:noWrap/>
            <w:vAlign w:val="center"/>
          </w:tcPr>
          <w:p w14:paraId="34315C86">
            <w:pPr>
              <w:widowControl/>
              <w:jc w:val="center"/>
              <w:textAlignment w:val="center"/>
              <w:rPr>
                <w:rFonts w:ascii="宋体" w:hAnsi="宋体" w:cs="宋体"/>
                <w:b/>
                <w:bCs/>
                <w:color w:val="000000"/>
                <w:sz w:val="20"/>
                <w:szCs w:val="20"/>
                <w:lang w:bidi="ar"/>
              </w:rPr>
            </w:pPr>
            <w:r>
              <w:rPr>
                <w:rFonts w:hint="eastAsia" w:ascii="宋体" w:hAnsi="宋体" w:cs="宋体"/>
                <w:b/>
                <w:bCs/>
                <w:color w:val="000000"/>
                <w:sz w:val="20"/>
                <w:szCs w:val="20"/>
                <w:lang w:bidi="ar"/>
              </w:rPr>
              <w:t>品牌</w:t>
            </w:r>
          </w:p>
        </w:tc>
        <w:tc>
          <w:tcPr>
            <w:tcW w:w="720" w:type="dxa"/>
            <w:tcBorders>
              <w:top w:val="single" w:color="000000" w:sz="4" w:space="0"/>
              <w:left w:val="single" w:color="000000" w:sz="4" w:space="0"/>
              <w:bottom w:val="single" w:color="000000" w:sz="4" w:space="0"/>
              <w:right w:val="single" w:color="000000" w:sz="4" w:space="0"/>
            </w:tcBorders>
            <w:noWrap/>
            <w:vAlign w:val="center"/>
          </w:tcPr>
          <w:p w14:paraId="14346998">
            <w:pPr>
              <w:widowControl/>
              <w:jc w:val="center"/>
              <w:textAlignment w:val="center"/>
              <w:rPr>
                <w:rFonts w:hint="eastAsia" w:ascii="宋体" w:hAnsi="宋体" w:cs="宋体"/>
                <w:b/>
                <w:bCs/>
                <w:color w:val="000000"/>
                <w:sz w:val="20"/>
                <w:szCs w:val="20"/>
                <w:lang w:bidi="ar"/>
              </w:rPr>
            </w:pPr>
            <w:r>
              <w:rPr>
                <w:rFonts w:hint="eastAsia" w:ascii="宋体" w:hAnsi="宋体" w:cs="宋体"/>
                <w:b/>
                <w:bCs/>
                <w:color w:val="000000"/>
                <w:sz w:val="20"/>
                <w:szCs w:val="20"/>
                <w:lang w:bidi="ar"/>
              </w:rPr>
              <w:t>单位</w:t>
            </w:r>
          </w:p>
        </w:tc>
        <w:tc>
          <w:tcPr>
            <w:tcW w:w="840" w:type="dxa"/>
            <w:tcBorders>
              <w:top w:val="single" w:color="000000" w:sz="4" w:space="0"/>
              <w:left w:val="single" w:color="000000" w:sz="4" w:space="0"/>
              <w:bottom w:val="single" w:color="000000" w:sz="4" w:space="0"/>
              <w:right w:val="single" w:color="000000" w:sz="4" w:space="0"/>
            </w:tcBorders>
            <w:noWrap/>
            <w:vAlign w:val="center"/>
          </w:tcPr>
          <w:p w14:paraId="0581269D">
            <w:pPr>
              <w:widowControl/>
              <w:jc w:val="center"/>
              <w:textAlignment w:val="center"/>
              <w:rPr>
                <w:rFonts w:ascii="宋体" w:hAnsi="宋体" w:cs="宋体"/>
                <w:b/>
                <w:bCs/>
                <w:color w:val="000000"/>
                <w:sz w:val="20"/>
                <w:szCs w:val="20"/>
                <w:lang w:bidi="ar"/>
              </w:rPr>
            </w:pPr>
            <w:r>
              <w:rPr>
                <w:rFonts w:hint="eastAsia" w:ascii="宋体" w:hAnsi="宋体" w:cs="宋体"/>
                <w:b/>
                <w:bCs/>
                <w:color w:val="000000"/>
                <w:sz w:val="20"/>
                <w:szCs w:val="20"/>
                <w:lang w:bidi="ar"/>
              </w:rPr>
              <w:t>数量</w:t>
            </w:r>
          </w:p>
        </w:tc>
        <w:tc>
          <w:tcPr>
            <w:tcW w:w="1290" w:type="dxa"/>
            <w:tcBorders>
              <w:top w:val="single" w:color="000000" w:sz="4" w:space="0"/>
              <w:left w:val="single" w:color="000000" w:sz="4" w:space="0"/>
              <w:bottom w:val="single" w:color="000000" w:sz="4" w:space="0"/>
              <w:right w:val="single" w:color="000000" w:sz="4" w:space="0"/>
            </w:tcBorders>
            <w:noWrap/>
            <w:vAlign w:val="center"/>
          </w:tcPr>
          <w:p w14:paraId="7374DE2A">
            <w:pPr>
              <w:widowControl/>
              <w:spacing w:line="240" w:lineRule="auto"/>
              <w:jc w:val="center"/>
              <w:textAlignment w:val="center"/>
              <w:rPr>
                <w:rFonts w:ascii="宋体" w:hAnsi="宋体" w:cs="宋体"/>
                <w:b/>
                <w:bCs/>
                <w:color w:val="000000"/>
                <w:sz w:val="20"/>
                <w:szCs w:val="20"/>
                <w:lang w:bidi="ar"/>
              </w:rPr>
            </w:pPr>
            <w:r>
              <w:rPr>
                <w:rFonts w:hint="eastAsia" w:ascii="宋体" w:hAnsi="宋体" w:cs="宋体"/>
                <w:b/>
                <w:bCs/>
                <w:color w:val="000000"/>
                <w:sz w:val="20"/>
                <w:szCs w:val="20"/>
                <w:lang w:bidi="ar"/>
              </w:rPr>
              <w:t>综合单价（元/套）</w:t>
            </w:r>
          </w:p>
        </w:tc>
        <w:tc>
          <w:tcPr>
            <w:tcW w:w="1155" w:type="dxa"/>
            <w:tcBorders>
              <w:top w:val="single" w:color="000000" w:sz="4" w:space="0"/>
              <w:left w:val="single" w:color="000000" w:sz="4" w:space="0"/>
              <w:bottom w:val="single" w:color="000000" w:sz="4" w:space="0"/>
              <w:right w:val="single" w:color="000000" w:sz="4" w:space="0"/>
            </w:tcBorders>
            <w:noWrap/>
            <w:vAlign w:val="center"/>
          </w:tcPr>
          <w:p w14:paraId="621E8468">
            <w:pPr>
              <w:widowControl/>
              <w:jc w:val="center"/>
              <w:textAlignment w:val="center"/>
              <w:rPr>
                <w:rFonts w:ascii="宋体" w:hAnsi="宋体" w:cs="宋体"/>
                <w:b/>
                <w:bCs/>
                <w:color w:val="000000"/>
                <w:sz w:val="20"/>
                <w:szCs w:val="20"/>
              </w:rPr>
            </w:pPr>
            <w:r>
              <w:rPr>
                <w:rFonts w:hint="eastAsia" w:ascii="宋体" w:hAnsi="宋体" w:cs="宋体"/>
                <w:b/>
                <w:bCs/>
                <w:color w:val="000000"/>
                <w:sz w:val="20"/>
                <w:szCs w:val="20"/>
                <w:lang w:bidi="ar"/>
              </w:rPr>
              <w:t>合价（元）</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1FA18E02">
            <w:pPr>
              <w:widowControl/>
              <w:jc w:val="center"/>
              <w:textAlignment w:val="center"/>
              <w:rPr>
                <w:rFonts w:hint="eastAsia" w:ascii="宋体" w:hAnsi="宋体" w:cs="宋体"/>
                <w:b/>
                <w:bCs/>
                <w:color w:val="000000"/>
                <w:sz w:val="20"/>
                <w:szCs w:val="20"/>
                <w:lang w:bidi="ar"/>
              </w:rPr>
            </w:pPr>
            <w:r>
              <w:rPr>
                <w:rFonts w:hint="eastAsia" w:ascii="宋体" w:hAnsi="宋体" w:cs="宋体"/>
                <w:b/>
                <w:bCs/>
                <w:color w:val="000000"/>
                <w:sz w:val="20"/>
                <w:szCs w:val="20"/>
                <w:lang w:bidi="ar"/>
              </w:rPr>
              <w:t>备注</w:t>
            </w:r>
          </w:p>
        </w:tc>
      </w:tr>
      <w:tr w14:paraId="1BF6FBA5">
        <w:tblPrEx>
          <w:tblCellMar>
            <w:top w:w="0" w:type="dxa"/>
            <w:left w:w="108" w:type="dxa"/>
            <w:bottom w:w="0" w:type="dxa"/>
            <w:right w:w="108" w:type="dxa"/>
          </w:tblCellMar>
        </w:tblPrEx>
        <w:trPr>
          <w:trHeight w:val="956" w:hRule="atLeast"/>
        </w:trPr>
        <w:tc>
          <w:tcPr>
            <w:tcW w:w="741" w:type="dxa"/>
            <w:tcBorders>
              <w:top w:val="single" w:color="000000" w:sz="4" w:space="0"/>
              <w:left w:val="single" w:color="000000" w:sz="4" w:space="0"/>
              <w:bottom w:val="single" w:color="000000" w:sz="4" w:space="0"/>
              <w:right w:val="single" w:color="000000" w:sz="4" w:space="0"/>
            </w:tcBorders>
            <w:noWrap w:val="0"/>
            <w:vAlign w:val="center"/>
          </w:tcPr>
          <w:p w14:paraId="3507D4EA">
            <w:pPr>
              <w:widowControl/>
              <w:jc w:val="center"/>
              <w:textAlignment w:val="center"/>
              <w:rPr>
                <w:rFonts w:hint="eastAsia" w:ascii="宋体" w:hAnsi="宋体" w:cs="宋体"/>
                <w:color w:val="000000"/>
                <w:sz w:val="20"/>
                <w:szCs w:val="20"/>
              </w:rPr>
            </w:pPr>
            <w:r>
              <w:rPr>
                <w:rFonts w:hint="eastAsia" w:ascii="宋体" w:hAnsi="宋体" w:cs="宋体"/>
                <w:color w:val="000000"/>
                <w:sz w:val="20"/>
                <w:szCs w:val="20"/>
              </w:rPr>
              <w:t>1</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2E8BB846">
            <w:pPr>
              <w:widowControl/>
              <w:jc w:val="center"/>
              <w:textAlignment w:val="center"/>
              <w:rPr>
                <w:rFonts w:hint="eastAsia" w:ascii="宋体" w:hAnsi="宋体" w:cs="宋体"/>
                <w:color w:val="000000"/>
                <w:sz w:val="20"/>
                <w:szCs w:val="20"/>
              </w:rPr>
            </w:pPr>
          </w:p>
        </w:tc>
        <w:tc>
          <w:tcPr>
            <w:tcW w:w="1183" w:type="dxa"/>
            <w:tcBorders>
              <w:top w:val="single" w:color="000000" w:sz="4" w:space="0"/>
              <w:left w:val="single" w:color="000000" w:sz="4" w:space="0"/>
              <w:bottom w:val="single" w:color="000000" w:sz="4" w:space="0"/>
              <w:right w:val="single" w:color="000000" w:sz="4" w:space="0"/>
            </w:tcBorders>
            <w:noWrap w:val="0"/>
            <w:vAlign w:val="center"/>
          </w:tcPr>
          <w:p w14:paraId="230D84AC">
            <w:pPr>
              <w:widowControl/>
              <w:textAlignment w:val="center"/>
              <w:rPr>
                <w:rFonts w:hint="eastAsia" w:ascii="宋体" w:hAnsi="宋体" w:cs="宋体"/>
                <w:color w:val="000000"/>
                <w:sz w:val="20"/>
                <w:szCs w:val="20"/>
              </w:rPr>
            </w:pPr>
          </w:p>
        </w:tc>
        <w:tc>
          <w:tcPr>
            <w:tcW w:w="810" w:type="dxa"/>
            <w:tcBorders>
              <w:top w:val="single" w:color="000000" w:sz="4" w:space="0"/>
              <w:left w:val="single" w:color="000000" w:sz="4" w:space="0"/>
              <w:bottom w:val="single" w:color="000000" w:sz="4" w:space="0"/>
              <w:right w:val="single" w:color="000000" w:sz="4" w:space="0"/>
            </w:tcBorders>
            <w:noWrap/>
            <w:vAlign w:val="center"/>
          </w:tcPr>
          <w:p w14:paraId="102484D3">
            <w:pPr>
              <w:widowControl/>
              <w:jc w:val="center"/>
              <w:textAlignment w:val="center"/>
              <w:rPr>
                <w:rFonts w:hint="eastAsia" w:ascii="宋体" w:hAnsi="宋体" w:cs="宋体"/>
                <w:color w:val="00000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noWrap/>
            <w:vAlign w:val="center"/>
          </w:tcPr>
          <w:p w14:paraId="283D7A79">
            <w:pPr>
              <w:widowControl/>
              <w:jc w:val="center"/>
              <w:textAlignment w:val="center"/>
              <w:rPr>
                <w:rFonts w:ascii="宋体" w:hAnsi="宋体" w:cs="宋体"/>
                <w:color w:val="000000"/>
                <w:sz w:val="20"/>
                <w:szCs w:val="20"/>
                <w:lang w:bidi="ar"/>
              </w:rPr>
            </w:pPr>
            <w:r>
              <w:rPr>
                <w:rFonts w:hint="eastAsia" w:ascii="宋体" w:hAnsi="宋体" w:cs="宋体"/>
                <w:color w:val="000000"/>
                <w:sz w:val="20"/>
                <w:szCs w:val="20"/>
                <w:lang w:bidi="ar"/>
              </w:rPr>
              <w:t>套</w:t>
            </w:r>
          </w:p>
        </w:tc>
        <w:tc>
          <w:tcPr>
            <w:tcW w:w="840" w:type="dxa"/>
            <w:tcBorders>
              <w:top w:val="single" w:color="000000" w:sz="4" w:space="0"/>
              <w:left w:val="single" w:color="000000" w:sz="4" w:space="0"/>
              <w:bottom w:val="single" w:color="000000" w:sz="4" w:space="0"/>
              <w:right w:val="single" w:color="000000" w:sz="4" w:space="0"/>
            </w:tcBorders>
            <w:noWrap/>
            <w:vAlign w:val="center"/>
          </w:tcPr>
          <w:p w14:paraId="6348B890">
            <w:pPr>
              <w:widowControl/>
              <w:jc w:val="center"/>
              <w:textAlignment w:val="center"/>
              <w:rPr>
                <w:rFonts w:hint="eastAsia" w:ascii="宋体" w:hAnsi="宋体" w:cs="宋体"/>
                <w:color w:val="000000"/>
                <w:sz w:val="20"/>
                <w:szCs w:val="20"/>
              </w:rPr>
            </w:pPr>
            <w:r>
              <w:rPr>
                <w:rFonts w:hint="eastAsia" w:ascii="宋体" w:hAnsi="宋体" w:cs="宋体"/>
                <w:color w:val="000000"/>
                <w:sz w:val="20"/>
                <w:szCs w:val="20"/>
              </w:rPr>
              <w:t>1</w:t>
            </w:r>
          </w:p>
        </w:tc>
        <w:tc>
          <w:tcPr>
            <w:tcW w:w="1290" w:type="dxa"/>
            <w:tcBorders>
              <w:top w:val="single" w:color="000000" w:sz="4" w:space="0"/>
              <w:left w:val="single" w:color="000000" w:sz="4" w:space="0"/>
              <w:bottom w:val="single" w:color="000000" w:sz="4" w:space="0"/>
              <w:right w:val="single" w:color="000000" w:sz="4" w:space="0"/>
            </w:tcBorders>
            <w:noWrap/>
            <w:vAlign w:val="center"/>
          </w:tcPr>
          <w:p w14:paraId="19528CB3">
            <w:pPr>
              <w:widowControl/>
              <w:jc w:val="center"/>
              <w:textAlignment w:val="center"/>
              <w:rPr>
                <w:rFonts w:hint="eastAsia" w:ascii="宋体" w:hAnsi="宋体" w:cs="宋体"/>
                <w:color w:val="000000"/>
                <w:sz w:val="20"/>
                <w:szCs w:val="20"/>
              </w:rPr>
            </w:pPr>
          </w:p>
        </w:tc>
        <w:tc>
          <w:tcPr>
            <w:tcW w:w="1155" w:type="dxa"/>
            <w:tcBorders>
              <w:top w:val="single" w:color="000000" w:sz="4" w:space="0"/>
              <w:left w:val="single" w:color="000000" w:sz="4" w:space="0"/>
              <w:bottom w:val="single" w:color="000000" w:sz="4" w:space="0"/>
              <w:right w:val="single" w:color="000000" w:sz="4" w:space="0"/>
            </w:tcBorders>
            <w:noWrap/>
            <w:vAlign w:val="center"/>
          </w:tcPr>
          <w:p w14:paraId="3EAC0897">
            <w:pPr>
              <w:widowControl/>
              <w:jc w:val="center"/>
              <w:textAlignment w:val="center"/>
              <w:rPr>
                <w:rFonts w:hint="eastAsia" w:ascii="宋体" w:hAnsi="宋体" w:cs="宋体"/>
                <w:color w:val="000000"/>
                <w:sz w:val="20"/>
                <w:szCs w:val="20"/>
              </w:rPr>
            </w:pP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1C908D8C">
            <w:pPr>
              <w:widowControl/>
              <w:jc w:val="center"/>
              <w:textAlignment w:val="center"/>
              <w:rPr>
                <w:rFonts w:hint="eastAsia" w:ascii="宋体" w:hAnsi="宋体" w:cs="宋体"/>
                <w:color w:val="000000"/>
                <w:sz w:val="20"/>
                <w:szCs w:val="20"/>
              </w:rPr>
            </w:pPr>
          </w:p>
        </w:tc>
      </w:tr>
      <w:tr w14:paraId="6D16FA55">
        <w:tblPrEx>
          <w:tblCellMar>
            <w:top w:w="0" w:type="dxa"/>
            <w:left w:w="108" w:type="dxa"/>
            <w:bottom w:w="0" w:type="dxa"/>
            <w:right w:w="108" w:type="dxa"/>
          </w:tblCellMar>
        </w:tblPrEx>
        <w:trPr>
          <w:trHeight w:val="566" w:hRule="atLeast"/>
        </w:trPr>
        <w:tc>
          <w:tcPr>
            <w:tcW w:w="8931" w:type="dxa"/>
            <w:gridSpan w:val="9"/>
            <w:tcBorders>
              <w:top w:val="single" w:color="000000" w:sz="4" w:space="0"/>
              <w:left w:val="single" w:color="000000" w:sz="4" w:space="0"/>
              <w:bottom w:val="single" w:color="000000" w:sz="4" w:space="0"/>
              <w:right w:val="single" w:color="000000" w:sz="4" w:space="0"/>
            </w:tcBorders>
            <w:noWrap w:val="0"/>
            <w:vAlign w:val="center"/>
          </w:tcPr>
          <w:p w14:paraId="364507CC">
            <w:pPr>
              <w:widowControl/>
              <w:jc w:val="both"/>
              <w:textAlignment w:val="center"/>
              <w:rPr>
                <w:rFonts w:hint="eastAsia" w:ascii="宋体" w:hAnsi="宋体" w:cs="宋体"/>
                <w:color w:val="000000"/>
                <w:sz w:val="20"/>
                <w:szCs w:val="20"/>
              </w:rPr>
            </w:pPr>
            <w:bookmarkStart w:id="0" w:name="_Toc1894234392"/>
            <w:r>
              <w:rPr>
                <w:rFonts w:hint="eastAsia" w:ascii="宋体" w:hAnsi="宋体" w:cs="宋体"/>
                <w:color w:val="000000"/>
                <w:sz w:val="20"/>
                <w:szCs w:val="20"/>
              </w:rPr>
              <w:t>备注：设备配置详见采购内容及采购要求、设备配置清单等。</w:t>
            </w:r>
          </w:p>
        </w:tc>
      </w:tr>
    </w:tbl>
    <w:p w14:paraId="4DA3EB45">
      <w:pPr>
        <w:pStyle w:val="4"/>
        <w:widowControl w:val="0"/>
        <w:spacing w:before="156" w:beforeLines="50" w:beforeAutospacing="0" w:after="0" w:afterAutospacing="0" w:line="360" w:lineRule="auto"/>
        <w:ind w:firstLine="422" w:firstLineChars="200"/>
        <w:contextualSpacing/>
        <w:jc w:val="both"/>
        <w:outlineLvl w:val="1"/>
        <w:rPr>
          <w:rFonts w:cs="Arial"/>
          <w:b/>
          <w:bCs/>
          <w:kern w:val="2"/>
          <w:sz w:val="21"/>
          <w:szCs w:val="21"/>
        </w:rPr>
      </w:pPr>
      <w:r>
        <w:rPr>
          <w:rFonts w:hint="eastAsia"/>
          <w:b/>
          <w:bCs/>
          <w:kern w:val="2"/>
          <w:sz w:val="21"/>
          <w:szCs w:val="21"/>
        </w:rPr>
        <w:t>二、合同价款</w:t>
      </w:r>
      <w:bookmarkEnd w:id="0"/>
      <w:r>
        <w:rPr>
          <w:rFonts w:hint="eastAsia"/>
          <w:b/>
          <w:bCs/>
          <w:kern w:val="2"/>
          <w:sz w:val="21"/>
          <w:szCs w:val="21"/>
        </w:rPr>
        <w:t xml:space="preserve"> </w:t>
      </w:r>
    </w:p>
    <w:p w14:paraId="72FE5AC8">
      <w:pPr>
        <w:pStyle w:val="4"/>
        <w:widowControl w:val="0"/>
        <w:spacing w:after="0" w:afterAutospacing="0" w:line="360" w:lineRule="auto"/>
        <w:ind w:left="183" w:leftChars="87" w:firstLine="210" w:firstLineChars="100"/>
        <w:contextualSpacing/>
        <w:rPr>
          <w:rFonts w:hint="eastAsia"/>
          <w:kern w:val="2"/>
          <w:sz w:val="21"/>
          <w:szCs w:val="21"/>
        </w:rPr>
      </w:pPr>
      <w:r>
        <w:rPr>
          <w:rFonts w:hint="eastAsia"/>
          <w:kern w:val="2"/>
          <w:sz w:val="21"/>
          <w:szCs w:val="21"/>
        </w:rPr>
        <w:t>本合同总价款为￥</w:t>
      </w:r>
      <w:r>
        <w:rPr>
          <w:rFonts w:hint="eastAsia" w:cs="Arial"/>
          <w:kern w:val="2"/>
          <w:sz w:val="21"/>
          <w:szCs w:val="21"/>
          <w:u w:val="single"/>
        </w:rPr>
        <w:t xml:space="preserve">        </w:t>
      </w:r>
      <w:r>
        <w:rPr>
          <w:rFonts w:hint="eastAsia"/>
          <w:kern w:val="2"/>
          <w:sz w:val="21"/>
          <w:szCs w:val="21"/>
        </w:rPr>
        <w:t>元（大写：人民币</w:t>
      </w:r>
      <w:r>
        <w:rPr>
          <w:rFonts w:hint="eastAsia" w:cs="Arial"/>
          <w:kern w:val="2"/>
          <w:sz w:val="21"/>
          <w:szCs w:val="21"/>
          <w:u w:val="single"/>
        </w:rPr>
        <w:t xml:space="preserve">         </w:t>
      </w:r>
      <w:r>
        <w:rPr>
          <w:rFonts w:hint="eastAsia"/>
          <w:kern w:val="2"/>
          <w:sz w:val="21"/>
          <w:szCs w:val="21"/>
        </w:rPr>
        <w:t>元整）。该价格包含设备费、</w:t>
      </w:r>
    </w:p>
    <w:p w14:paraId="7B47EC79">
      <w:pPr>
        <w:pStyle w:val="4"/>
        <w:widowControl w:val="0"/>
        <w:spacing w:after="0" w:afterAutospacing="0" w:line="360" w:lineRule="auto"/>
        <w:contextualSpacing/>
        <w:rPr>
          <w:rFonts w:cs="Arial"/>
          <w:kern w:val="2"/>
          <w:sz w:val="21"/>
          <w:szCs w:val="21"/>
        </w:rPr>
      </w:pPr>
      <w:r>
        <w:rPr>
          <w:rFonts w:hint="eastAsia"/>
          <w:kern w:val="2"/>
          <w:sz w:val="21"/>
          <w:szCs w:val="21"/>
        </w:rPr>
        <w:t>运输费、装卸费、仓储费、安装调试费、税费、保险费，以及技术资料、备品备件、专用工具、技术服务、培训、监督设备就位等的一切相关服务费用。除本合同约定价款外，甲方无义务向乙方支付其他任何款项。</w:t>
      </w:r>
    </w:p>
    <w:p w14:paraId="7FC83DD3">
      <w:pPr>
        <w:pStyle w:val="4"/>
        <w:widowControl w:val="0"/>
        <w:spacing w:after="0" w:afterAutospacing="0" w:line="360" w:lineRule="auto"/>
        <w:ind w:firstLine="422" w:firstLineChars="200"/>
        <w:contextualSpacing/>
        <w:jc w:val="both"/>
        <w:outlineLvl w:val="1"/>
        <w:rPr>
          <w:rFonts w:cs="Arial"/>
          <w:b/>
          <w:bCs/>
          <w:kern w:val="2"/>
          <w:sz w:val="21"/>
          <w:szCs w:val="21"/>
        </w:rPr>
      </w:pPr>
      <w:bookmarkStart w:id="1" w:name="_Toc514181528"/>
      <w:r>
        <w:rPr>
          <w:rFonts w:hint="eastAsia"/>
          <w:b/>
          <w:bCs/>
          <w:kern w:val="2"/>
          <w:sz w:val="21"/>
          <w:szCs w:val="21"/>
        </w:rPr>
        <w:t>三、付款方式</w:t>
      </w:r>
      <w:bookmarkEnd w:id="1"/>
    </w:p>
    <w:p w14:paraId="289AD3C0">
      <w:pPr>
        <w:pStyle w:val="4"/>
        <w:widowControl w:val="0"/>
        <w:spacing w:after="0" w:afterAutospacing="0" w:line="360" w:lineRule="auto"/>
        <w:ind w:firstLine="420" w:firstLineChars="200"/>
        <w:contextualSpacing/>
        <w:jc w:val="both"/>
        <w:rPr>
          <w:rFonts w:hint="eastAsia"/>
          <w:kern w:val="2"/>
          <w:sz w:val="21"/>
          <w:szCs w:val="21"/>
          <w:lang w:val="en-US" w:eastAsia="zh-CN"/>
        </w:rPr>
      </w:pPr>
      <w:r>
        <w:rPr>
          <w:rFonts w:hint="eastAsia"/>
          <w:kern w:val="2"/>
          <w:sz w:val="21"/>
          <w:szCs w:val="21"/>
          <w:lang w:val="en-US" w:eastAsia="zh-CN"/>
        </w:rPr>
        <w:t>1、合同签订生效且乙方提供有效的增值税专用发票后，甲方7日内支付合同总金额的70.00%。</w:t>
      </w:r>
    </w:p>
    <w:p w14:paraId="71720B03">
      <w:pPr>
        <w:pStyle w:val="4"/>
        <w:widowControl w:val="0"/>
        <w:spacing w:after="0" w:afterAutospacing="0" w:line="360" w:lineRule="auto"/>
        <w:ind w:firstLine="420" w:firstLineChars="200"/>
        <w:contextualSpacing/>
        <w:jc w:val="both"/>
        <w:rPr>
          <w:rFonts w:hint="eastAsia"/>
          <w:kern w:val="2"/>
          <w:sz w:val="21"/>
          <w:szCs w:val="21"/>
          <w:lang w:val="en-US" w:eastAsia="zh-CN"/>
        </w:rPr>
      </w:pPr>
      <w:r>
        <w:rPr>
          <w:rFonts w:hint="eastAsia"/>
          <w:kern w:val="2"/>
          <w:sz w:val="21"/>
          <w:szCs w:val="21"/>
          <w:lang w:val="en-US" w:eastAsia="zh-CN"/>
        </w:rPr>
        <w:t>2、项目交付完成并经甲乙双方验收合格后，乙方须向甲方出具验收合格证明材料、书面付款通知以及有效的增值税专用发票，甲方7日内支付合同总金额的30.00%。</w:t>
      </w:r>
    </w:p>
    <w:p w14:paraId="7F323303">
      <w:pPr>
        <w:pStyle w:val="7"/>
        <w:keepNext w:val="0"/>
        <w:keepLines w:val="0"/>
        <w:pageBreakBefore w:val="0"/>
        <w:widowControl/>
        <w:kinsoku/>
        <w:wordWrap/>
        <w:overflowPunct/>
        <w:topLinePunct w:val="0"/>
        <w:autoSpaceDE/>
        <w:autoSpaceDN/>
        <w:bidi w:val="0"/>
        <w:adjustRightInd/>
        <w:snapToGrid/>
        <w:spacing w:line="312" w:lineRule="auto"/>
        <w:ind w:firstLine="420" w:firstLineChars="200"/>
        <w:textAlignment w:val="auto"/>
        <w:outlineLvl w:val="3"/>
        <w:rPr>
          <w:rFonts w:hint="eastAsia"/>
          <w:kern w:val="2"/>
          <w:sz w:val="21"/>
          <w:szCs w:val="21"/>
        </w:rPr>
      </w:pPr>
      <w:r>
        <w:rPr>
          <w:rFonts w:hint="eastAsia"/>
          <w:kern w:val="2"/>
          <w:sz w:val="21"/>
          <w:szCs w:val="21"/>
        </w:rPr>
        <w:t>3、乙方指定的收款账号如下：</w:t>
      </w:r>
    </w:p>
    <w:p w14:paraId="05ACB9A8">
      <w:pPr>
        <w:pStyle w:val="7"/>
        <w:keepNext w:val="0"/>
        <w:keepLines w:val="0"/>
        <w:pageBreakBefore w:val="0"/>
        <w:widowControl/>
        <w:kinsoku/>
        <w:wordWrap/>
        <w:overflowPunct/>
        <w:topLinePunct w:val="0"/>
        <w:autoSpaceDE/>
        <w:autoSpaceDN/>
        <w:bidi w:val="0"/>
        <w:adjustRightInd/>
        <w:snapToGrid/>
        <w:spacing w:line="312" w:lineRule="auto"/>
        <w:ind w:firstLine="420" w:firstLineChars="200"/>
        <w:textAlignment w:val="auto"/>
        <w:outlineLvl w:val="3"/>
        <w:rPr>
          <w:rFonts w:hint="eastAsia"/>
          <w:kern w:val="2"/>
          <w:sz w:val="21"/>
          <w:szCs w:val="21"/>
        </w:rPr>
      </w:pPr>
      <w:r>
        <w:rPr>
          <w:rFonts w:hint="eastAsia"/>
          <w:kern w:val="2"/>
          <w:sz w:val="21"/>
          <w:szCs w:val="21"/>
        </w:rPr>
        <w:t>收款人：</w:t>
      </w:r>
    </w:p>
    <w:p w14:paraId="6C5F85AF">
      <w:pPr>
        <w:pStyle w:val="7"/>
        <w:keepNext w:val="0"/>
        <w:keepLines w:val="0"/>
        <w:pageBreakBefore w:val="0"/>
        <w:widowControl/>
        <w:kinsoku/>
        <w:wordWrap/>
        <w:overflowPunct/>
        <w:topLinePunct w:val="0"/>
        <w:autoSpaceDE/>
        <w:autoSpaceDN/>
        <w:bidi w:val="0"/>
        <w:adjustRightInd/>
        <w:snapToGrid/>
        <w:spacing w:line="312" w:lineRule="auto"/>
        <w:ind w:firstLine="420" w:firstLineChars="200"/>
        <w:textAlignment w:val="auto"/>
        <w:outlineLvl w:val="3"/>
        <w:rPr>
          <w:rFonts w:hint="eastAsia"/>
          <w:kern w:val="2"/>
          <w:sz w:val="21"/>
          <w:szCs w:val="21"/>
        </w:rPr>
      </w:pPr>
      <w:r>
        <w:rPr>
          <w:rFonts w:hint="eastAsia"/>
          <w:kern w:val="2"/>
          <w:sz w:val="21"/>
          <w:szCs w:val="21"/>
        </w:rPr>
        <w:t>开户行：</w:t>
      </w:r>
    </w:p>
    <w:p w14:paraId="6906EC75">
      <w:pPr>
        <w:pStyle w:val="7"/>
        <w:keepNext w:val="0"/>
        <w:keepLines w:val="0"/>
        <w:pageBreakBefore w:val="0"/>
        <w:widowControl/>
        <w:kinsoku/>
        <w:wordWrap/>
        <w:overflowPunct/>
        <w:topLinePunct w:val="0"/>
        <w:autoSpaceDE/>
        <w:autoSpaceDN/>
        <w:bidi w:val="0"/>
        <w:adjustRightInd/>
        <w:snapToGrid/>
        <w:spacing w:line="312" w:lineRule="auto"/>
        <w:ind w:firstLine="420" w:firstLineChars="200"/>
        <w:textAlignment w:val="auto"/>
        <w:outlineLvl w:val="3"/>
        <w:rPr>
          <w:rFonts w:hint="eastAsia"/>
          <w:kern w:val="2"/>
          <w:sz w:val="21"/>
          <w:szCs w:val="21"/>
        </w:rPr>
      </w:pPr>
      <w:r>
        <w:rPr>
          <w:rFonts w:hint="eastAsia"/>
          <w:kern w:val="2"/>
          <w:sz w:val="21"/>
          <w:szCs w:val="21"/>
        </w:rPr>
        <w:t>账  号：</w:t>
      </w:r>
    </w:p>
    <w:p w14:paraId="319DCF41">
      <w:pPr>
        <w:pStyle w:val="7"/>
        <w:keepNext w:val="0"/>
        <w:keepLines w:val="0"/>
        <w:pageBreakBefore w:val="0"/>
        <w:widowControl/>
        <w:kinsoku/>
        <w:wordWrap/>
        <w:overflowPunct/>
        <w:topLinePunct w:val="0"/>
        <w:autoSpaceDE/>
        <w:autoSpaceDN/>
        <w:bidi w:val="0"/>
        <w:adjustRightInd/>
        <w:snapToGrid/>
        <w:spacing w:beforeAutospacing="0" w:line="312" w:lineRule="auto"/>
        <w:ind w:firstLine="420" w:firstLineChars="200"/>
        <w:textAlignment w:val="auto"/>
        <w:outlineLvl w:val="3"/>
        <w:rPr>
          <w:kern w:val="2"/>
          <w:sz w:val="21"/>
          <w:szCs w:val="21"/>
        </w:rPr>
      </w:pPr>
      <w:r>
        <w:rPr>
          <w:rFonts w:hint="eastAsia"/>
          <w:kern w:val="2"/>
          <w:sz w:val="21"/>
          <w:szCs w:val="21"/>
        </w:rPr>
        <w:t>如乙方收款账户发生变更，乙方应在本合同约定的相关付款期限前【  】日以书面方式通知甲方，通知应加盖乙方公章。因乙方未及时通知甲方而产生的一切后果，由乙方自行承担。</w:t>
      </w:r>
    </w:p>
    <w:p w14:paraId="69BE44DD">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contextualSpacing/>
        <w:jc w:val="both"/>
        <w:textAlignment w:val="auto"/>
        <w:rPr>
          <w:kern w:val="2"/>
          <w:sz w:val="21"/>
          <w:szCs w:val="21"/>
        </w:rPr>
      </w:pPr>
      <w:r>
        <w:rPr>
          <w:rFonts w:hint="eastAsia"/>
          <w:kern w:val="2"/>
          <w:sz w:val="21"/>
          <w:szCs w:val="21"/>
        </w:rPr>
        <w:t>4、乙方知悉并确认，甲方付款资金来源为自有资金，如因不可抗力等非甲方自身原因导致甲方未能按约定付款的，不视为甲方违约，甲方无需承担任何违约责任。</w:t>
      </w:r>
    </w:p>
    <w:p w14:paraId="40241AA8">
      <w:pPr>
        <w:pStyle w:val="4"/>
        <w:widowControl w:val="0"/>
        <w:spacing w:after="0" w:afterAutospacing="0" w:line="360" w:lineRule="auto"/>
        <w:ind w:firstLine="422" w:firstLineChars="200"/>
        <w:contextualSpacing/>
        <w:jc w:val="both"/>
        <w:outlineLvl w:val="1"/>
        <w:rPr>
          <w:rFonts w:cs="Arial"/>
          <w:b/>
          <w:bCs/>
          <w:kern w:val="2"/>
          <w:sz w:val="21"/>
          <w:szCs w:val="21"/>
        </w:rPr>
      </w:pPr>
      <w:bookmarkStart w:id="2" w:name="_Toc1751189996"/>
      <w:r>
        <w:rPr>
          <w:rFonts w:hint="eastAsia"/>
          <w:b/>
          <w:bCs/>
          <w:kern w:val="2"/>
          <w:sz w:val="21"/>
          <w:szCs w:val="21"/>
        </w:rPr>
        <w:t>四、交货期、地点</w:t>
      </w:r>
      <w:bookmarkEnd w:id="2"/>
      <w:r>
        <w:rPr>
          <w:rFonts w:hint="eastAsia"/>
          <w:b/>
          <w:bCs/>
          <w:kern w:val="2"/>
          <w:sz w:val="21"/>
          <w:szCs w:val="21"/>
        </w:rPr>
        <w:t>及交货方式</w:t>
      </w:r>
    </w:p>
    <w:p w14:paraId="0A825C95">
      <w:pPr>
        <w:pStyle w:val="4"/>
        <w:widowControl w:val="0"/>
        <w:spacing w:after="0" w:afterAutospacing="0" w:line="360" w:lineRule="auto"/>
        <w:ind w:firstLine="420" w:firstLineChars="200"/>
        <w:contextualSpacing/>
        <w:jc w:val="both"/>
        <w:rPr>
          <w:kern w:val="2"/>
          <w:sz w:val="21"/>
          <w:szCs w:val="21"/>
        </w:rPr>
      </w:pPr>
      <w:r>
        <w:rPr>
          <w:rFonts w:hint="eastAsia"/>
          <w:sz w:val="21"/>
          <w:szCs w:val="21"/>
        </w:rPr>
        <w:t>1、交货期：自</w:t>
      </w:r>
      <w:r>
        <w:rPr>
          <w:rFonts w:hint="eastAsia"/>
          <w:kern w:val="2"/>
          <w:sz w:val="21"/>
          <w:szCs w:val="21"/>
        </w:rPr>
        <w:t>合同签订之日起【   】天内，以甲方通知要求的日期为准。</w:t>
      </w:r>
    </w:p>
    <w:p w14:paraId="451F05C6">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2、交货地点: 甲方指定地点。</w:t>
      </w:r>
    </w:p>
    <w:p w14:paraId="70DF4268">
      <w:pPr>
        <w:pStyle w:val="4"/>
        <w:widowControl w:val="0"/>
        <w:spacing w:after="0" w:afterAutospacing="0" w:line="360" w:lineRule="auto"/>
        <w:ind w:firstLine="420" w:firstLineChars="200"/>
        <w:contextualSpacing/>
        <w:jc w:val="both"/>
        <w:rPr>
          <w:kern w:val="2"/>
          <w:sz w:val="21"/>
          <w:szCs w:val="21"/>
        </w:rPr>
      </w:pPr>
      <w:bookmarkStart w:id="3" w:name="_Toc2136415463"/>
      <w:r>
        <w:rPr>
          <w:rFonts w:hint="eastAsia"/>
          <w:kern w:val="2"/>
          <w:sz w:val="21"/>
          <w:szCs w:val="21"/>
        </w:rPr>
        <w:t>3、交货方式</w:t>
      </w:r>
      <w:bookmarkEnd w:id="3"/>
      <w:r>
        <w:rPr>
          <w:rFonts w:hint="eastAsia"/>
          <w:kern w:val="2"/>
          <w:sz w:val="21"/>
          <w:szCs w:val="21"/>
        </w:rPr>
        <w:t>：现场交货。由乙方将货物运送到甲方指定地点，所有货物运抵现场的日期为交货日期。在交付甲方前发生的不可预见的风险均由乙方承担。</w:t>
      </w:r>
    </w:p>
    <w:p w14:paraId="52871EC1">
      <w:pPr>
        <w:pStyle w:val="4"/>
        <w:widowControl w:val="0"/>
        <w:spacing w:after="0" w:afterAutospacing="0" w:line="360" w:lineRule="auto"/>
        <w:ind w:firstLine="420" w:firstLineChars="200"/>
        <w:contextualSpacing/>
        <w:jc w:val="both"/>
        <w:rPr>
          <w:kern w:val="2"/>
          <w:sz w:val="21"/>
          <w:szCs w:val="21"/>
        </w:rPr>
      </w:pPr>
      <w:r>
        <w:rPr>
          <w:rFonts w:hint="eastAsia"/>
          <w:kern w:val="2"/>
          <w:sz w:val="21"/>
          <w:szCs w:val="21"/>
        </w:rPr>
        <w:t>乙方应在合同规定的交货期</w:t>
      </w:r>
      <w:r>
        <w:rPr>
          <w:rFonts w:hint="eastAsia"/>
          <w:kern w:val="2"/>
          <w:sz w:val="21"/>
          <w:szCs w:val="21"/>
          <w:u w:val="single"/>
        </w:rPr>
        <w:t xml:space="preserve">    </w:t>
      </w:r>
      <w:r>
        <w:rPr>
          <w:rFonts w:hint="eastAsia"/>
          <w:kern w:val="2"/>
          <w:sz w:val="21"/>
          <w:szCs w:val="21"/>
        </w:rPr>
        <w:t>天以前以邮件或传真形式将合同号、货物名称、数量、包装箱件数、总毛重、总体积（立方米）和备妥交货日期通知甲方。同时乙方将详细交货清单一式</w:t>
      </w:r>
      <w:r>
        <w:rPr>
          <w:rFonts w:hint="eastAsia"/>
          <w:kern w:val="2"/>
          <w:sz w:val="21"/>
          <w:szCs w:val="21"/>
          <w:u w:val="single"/>
        </w:rPr>
        <w:t xml:space="preserve">      </w:t>
      </w:r>
      <w:r>
        <w:rPr>
          <w:rFonts w:hint="eastAsia"/>
          <w:kern w:val="2"/>
          <w:sz w:val="21"/>
          <w:szCs w:val="21"/>
        </w:rPr>
        <w:t>份包括合同号、货物名称、规格、数量、总毛重、总体积（立方米）、包装箱件数和每个包装箱的尺寸（长×宽×高）、货物总价和备妥待交日期以及对货物在运输和仓储的特殊要求和注意事项通知甲方。</w:t>
      </w:r>
    </w:p>
    <w:p w14:paraId="3CEADEF4">
      <w:pPr>
        <w:pStyle w:val="4"/>
        <w:widowControl w:val="0"/>
        <w:spacing w:after="0" w:afterAutospacing="0" w:line="360" w:lineRule="auto"/>
        <w:ind w:firstLine="422" w:firstLineChars="200"/>
        <w:contextualSpacing/>
        <w:jc w:val="both"/>
        <w:outlineLvl w:val="1"/>
        <w:rPr>
          <w:rFonts w:cs="Arial"/>
          <w:b/>
          <w:bCs/>
          <w:kern w:val="2"/>
          <w:sz w:val="21"/>
          <w:szCs w:val="21"/>
        </w:rPr>
      </w:pPr>
      <w:bookmarkStart w:id="4" w:name="_Toc1255573556"/>
      <w:r>
        <w:rPr>
          <w:rFonts w:hint="eastAsia"/>
          <w:b/>
          <w:bCs/>
          <w:kern w:val="2"/>
          <w:sz w:val="21"/>
          <w:szCs w:val="21"/>
        </w:rPr>
        <w:t>五、包装和装运</w:t>
      </w:r>
      <w:bookmarkEnd w:id="4"/>
    </w:p>
    <w:p w14:paraId="08CA1426">
      <w:pPr>
        <w:pStyle w:val="4"/>
        <w:widowControl w:val="0"/>
        <w:spacing w:after="0" w:afterAutospacing="0" w:line="360" w:lineRule="auto"/>
        <w:ind w:firstLine="420" w:firstLineChars="200"/>
        <w:contextualSpacing/>
        <w:jc w:val="both"/>
        <w:rPr>
          <w:rFonts w:cs="Arial"/>
          <w:kern w:val="2"/>
          <w:sz w:val="21"/>
          <w:szCs w:val="21"/>
        </w:rPr>
      </w:pPr>
      <w:r>
        <w:rPr>
          <w:rFonts w:hint="eastAsia" w:cs="Arial"/>
          <w:kern w:val="2"/>
          <w:sz w:val="21"/>
          <w:szCs w:val="21"/>
        </w:rPr>
        <w:t>1、</w:t>
      </w:r>
      <w:r>
        <w:rPr>
          <w:rFonts w:hint="eastAsia"/>
          <w:kern w:val="2"/>
          <w:sz w:val="21"/>
          <w:szCs w:val="21"/>
        </w:rPr>
        <w:t>除合同另有约定外，乙方提供的全部货物，均应采用本行业通用的方式进行包装， 且该包装应符合国家有关包装的法律法规的规定。包装应适应于远距离运输、防潮、防震、防锈和防粗暴装卸，确保货物安全无损，运抵现场。由于包装不善所引起的货物锈蚀、损坏和损失均由乙方承担。</w:t>
      </w:r>
    </w:p>
    <w:p w14:paraId="2FD6B87A">
      <w:pPr>
        <w:pStyle w:val="4"/>
        <w:widowControl w:val="0"/>
        <w:spacing w:after="0" w:afterAutospacing="0" w:line="360" w:lineRule="auto"/>
        <w:ind w:firstLine="420" w:firstLineChars="200"/>
        <w:contextualSpacing/>
        <w:jc w:val="both"/>
        <w:rPr>
          <w:rFonts w:cs="Arial"/>
          <w:kern w:val="2"/>
          <w:sz w:val="21"/>
          <w:szCs w:val="21"/>
        </w:rPr>
      </w:pPr>
      <w:r>
        <w:rPr>
          <w:rFonts w:hint="eastAsia" w:cs="Arial"/>
          <w:kern w:val="2"/>
          <w:sz w:val="21"/>
          <w:szCs w:val="21"/>
        </w:rPr>
        <w:t>2、</w:t>
      </w:r>
      <w:r>
        <w:rPr>
          <w:rFonts w:hint="eastAsia"/>
          <w:kern w:val="2"/>
          <w:sz w:val="21"/>
          <w:szCs w:val="21"/>
        </w:rPr>
        <w:t>每件包装箱内应附一份详细装箱单和质量合格证。</w:t>
      </w:r>
    </w:p>
    <w:p w14:paraId="5FA26FD2">
      <w:pPr>
        <w:pStyle w:val="4"/>
        <w:widowControl w:val="0"/>
        <w:spacing w:after="0" w:afterAutospacing="0" w:line="360" w:lineRule="auto"/>
        <w:ind w:firstLine="420" w:firstLineChars="200"/>
        <w:contextualSpacing/>
        <w:jc w:val="both"/>
        <w:rPr>
          <w:rFonts w:cs="Arial"/>
          <w:kern w:val="2"/>
          <w:sz w:val="21"/>
          <w:szCs w:val="21"/>
        </w:rPr>
      </w:pPr>
      <w:r>
        <w:rPr>
          <w:rFonts w:hint="eastAsia" w:cs="Arial"/>
          <w:kern w:val="2"/>
          <w:sz w:val="21"/>
          <w:szCs w:val="21"/>
        </w:rPr>
        <w:t>3、</w:t>
      </w:r>
      <w:r>
        <w:rPr>
          <w:rFonts w:hint="eastAsia"/>
          <w:kern w:val="2"/>
          <w:sz w:val="21"/>
          <w:szCs w:val="21"/>
        </w:rPr>
        <w:t>乙方应在每一包装箱的四侧用不褪色的油漆以醒目的中文字样做出下列标记：</w:t>
      </w:r>
    </w:p>
    <w:p w14:paraId="33D1A957">
      <w:pPr>
        <w:pStyle w:val="4"/>
        <w:widowControl w:val="0"/>
        <w:spacing w:after="0" w:afterAutospacing="0" w:line="360" w:lineRule="auto"/>
        <w:ind w:firstLine="420" w:firstLineChars="200"/>
        <w:contextualSpacing/>
        <w:jc w:val="both"/>
        <w:rPr>
          <w:rFonts w:cs="Arial"/>
          <w:kern w:val="2"/>
          <w:sz w:val="21"/>
          <w:szCs w:val="21"/>
          <w:u w:val="single"/>
        </w:rPr>
      </w:pPr>
      <w:r>
        <w:rPr>
          <w:rFonts w:hint="eastAsia"/>
          <w:kern w:val="2"/>
          <w:sz w:val="21"/>
          <w:szCs w:val="21"/>
        </w:rPr>
        <w:t>收货人：</w:t>
      </w:r>
      <w:r>
        <w:rPr>
          <w:rFonts w:hint="eastAsia" w:cs="Arial"/>
          <w:kern w:val="2"/>
          <w:sz w:val="21"/>
          <w:szCs w:val="21"/>
          <w:u w:val="single"/>
        </w:rPr>
        <w:t xml:space="preserve">                                     </w:t>
      </w:r>
    </w:p>
    <w:p w14:paraId="489A4F80">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合同号：</w:t>
      </w:r>
      <w:r>
        <w:rPr>
          <w:rFonts w:hint="eastAsia" w:cs="Arial"/>
          <w:kern w:val="2"/>
          <w:sz w:val="21"/>
          <w:szCs w:val="21"/>
          <w:u w:val="single"/>
        </w:rPr>
        <w:t xml:space="preserve">                                     </w:t>
      </w:r>
    </w:p>
    <w:p w14:paraId="4C0B9ADE">
      <w:pPr>
        <w:pStyle w:val="4"/>
        <w:widowControl w:val="0"/>
        <w:spacing w:after="0" w:afterAutospacing="0" w:line="360" w:lineRule="auto"/>
        <w:ind w:firstLine="420" w:firstLineChars="200"/>
        <w:contextualSpacing/>
        <w:jc w:val="both"/>
        <w:rPr>
          <w:rFonts w:cs="Arial"/>
          <w:kern w:val="2"/>
          <w:sz w:val="21"/>
          <w:szCs w:val="21"/>
          <w:u w:val="single"/>
        </w:rPr>
      </w:pPr>
      <w:r>
        <w:rPr>
          <w:rFonts w:hint="eastAsia"/>
          <w:kern w:val="2"/>
          <w:sz w:val="21"/>
          <w:szCs w:val="21"/>
        </w:rPr>
        <w:t>装运标志:</w:t>
      </w:r>
      <w:r>
        <w:rPr>
          <w:rFonts w:hint="eastAsia" w:cs="Arial"/>
          <w:kern w:val="2"/>
          <w:sz w:val="21"/>
          <w:szCs w:val="21"/>
          <w:u w:val="single"/>
        </w:rPr>
        <w:t xml:space="preserve">                                   </w:t>
      </w:r>
    </w:p>
    <w:p w14:paraId="7E4ED9FC">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收货人代号:</w:t>
      </w:r>
      <w:r>
        <w:rPr>
          <w:rFonts w:hint="eastAsia" w:cs="Arial"/>
          <w:kern w:val="2"/>
          <w:sz w:val="21"/>
          <w:szCs w:val="21"/>
          <w:u w:val="single"/>
        </w:rPr>
        <w:t xml:space="preserve">                                 </w:t>
      </w:r>
    </w:p>
    <w:p w14:paraId="5BD7A3F6">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目的地:</w:t>
      </w:r>
      <w:r>
        <w:rPr>
          <w:rFonts w:hint="eastAsia" w:cs="Arial"/>
          <w:kern w:val="2"/>
          <w:sz w:val="21"/>
          <w:szCs w:val="21"/>
          <w:u w:val="single"/>
        </w:rPr>
        <w:t xml:space="preserve">                                     </w:t>
      </w:r>
    </w:p>
    <w:p w14:paraId="5DA37287">
      <w:pPr>
        <w:pStyle w:val="4"/>
        <w:widowControl w:val="0"/>
        <w:spacing w:after="0" w:afterAutospacing="0" w:line="360" w:lineRule="auto"/>
        <w:ind w:firstLine="420" w:firstLineChars="200"/>
        <w:contextualSpacing/>
        <w:jc w:val="both"/>
        <w:rPr>
          <w:rFonts w:cs="Arial"/>
          <w:kern w:val="2"/>
          <w:sz w:val="21"/>
          <w:szCs w:val="21"/>
          <w:u w:val="single"/>
        </w:rPr>
      </w:pPr>
      <w:r>
        <w:rPr>
          <w:rFonts w:hint="eastAsia"/>
          <w:kern w:val="2"/>
          <w:sz w:val="21"/>
          <w:szCs w:val="21"/>
        </w:rPr>
        <w:t>货物名称、品目号和箱号:</w:t>
      </w:r>
      <w:r>
        <w:rPr>
          <w:rFonts w:hint="eastAsia" w:cs="Arial"/>
          <w:kern w:val="2"/>
          <w:sz w:val="21"/>
          <w:szCs w:val="21"/>
          <w:u w:val="single"/>
        </w:rPr>
        <w:t xml:space="preserve">                     </w:t>
      </w:r>
    </w:p>
    <w:p w14:paraId="6E5EF042">
      <w:pPr>
        <w:pStyle w:val="4"/>
        <w:widowControl w:val="0"/>
        <w:spacing w:after="0" w:afterAutospacing="0" w:line="360" w:lineRule="auto"/>
        <w:ind w:firstLine="420" w:firstLineChars="200"/>
        <w:contextualSpacing/>
        <w:jc w:val="both"/>
        <w:rPr>
          <w:rFonts w:cs="Arial"/>
          <w:kern w:val="2"/>
          <w:sz w:val="21"/>
          <w:szCs w:val="21"/>
          <w:u w:val="single"/>
        </w:rPr>
      </w:pPr>
      <w:r>
        <w:rPr>
          <w:rFonts w:hint="eastAsia"/>
          <w:kern w:val="2"/>
          <w:sz w:val="21"/>
          <w:szCs w:val="21"/>
        </w:rPr>
        <w:t>毛重/净重：</w:t>
      </w:r>
      <w:r>
        <w:rPr>
          <w:rFonts w:hint="eastAsia" w:cs="Arial"/>
          <w:kern w:val="2"/>
          <w:sz w:val="21"/>
          <w:szCs w:val="21"/>
          <w:u w:val="single"/>
        </w:rPr>
        <w:t xml:space="preserve">                                  </w:t>
      </w:r>
    </w:p>
    <w:p w14:paraId="7509C3A9">
      <w:pPr>
        <w:pStyle w:val="4"/>
        <w:widowControl w:val="0"/>
        <w:spacing w:after="0" w:afterAutospacing="0" w:line="360" w:lineRule="auto"/>
        <w:ind w:firstLine="420" w:firstLineChars="200"/>
        <w:contextualSpacing/>
        <w:jc w:val="both"/>
        <w:rPr>
          <w:rFonts w:cs="Arial"/>
          <w:kern w:val="2"/>
          <w:sz w:val="21"/>
          <w:szCs w:val="21"/>
          <w:u w:val="single"/>
        </w:rPr>
      </w:pPr>
      <w:r>
        <w:rPr>
          <w:rFonts w:hint="eastAsia"/>
          <w:kern w:val="2"/>
          <w:sz w:val="21"/>
          <w:szCs w:val="21"/>
        </w:rPr>
        <w:t>尺寸（长×宽×高以厘米计）：</w:t>
      </w:r>
      <w:r>
        <w:rPr>
          <w:rFonts w:hint="eastAsia" w:cs="Arial"/>
          <w:kern w:val="2"/>
          <w:sz w:val="21"/>
          <w:szCs w:val="21"/>
          <w:u w:val="single"/>
        </w:rPr>
        <w:t xml:space="preserve">                  </w:t>
      </w:r>
    </w:p>
    <w:p w14:paraId="72B1928A">
      <w:pPr>
        <w:pStyle w:val="4"/>
        <w:widowControl w:val="0"/>
        <w:spacing w:after="0" w:afterAutospacing="0" w:line="360" w:lineRule="auto"/>
        <w:ind w:firstLine="420" w:firstLineChars="200"/>
        <w:contextualSpacing/>
        <w:jc w:val="both"/>
        <w:rPr>
          <w:rFonts w:cs="Arial"/>
          <w:kern w:val="2"/>
          <w:sz w:val="21"/>
          <w:szCs w:val="21"/>
        </w:rPr>
      </w:pPr>
      <w:r>
        <w:rPr>
          <w:rFonts w:hint="eastAsia" w:cs="Arial"/>
          <w:kern w:val="2"/>
          <w:sz w:val="21"/>
          <w:szCs w:val="21"/>
        </w:rPr>
        <w:t>4、</w:t>
      </w:r>
      <w:r>
        <w:rPr>
          <w:rFonts w:hint="eastAsia"/>
          <w:kern w:val="2"/>
          <w:sz w:val="21"/>
          <w:szCs w:val="21"/>
        </w:rPr>
        <w:t>如果货物单件重量在2吨或2吨以上，乙方应在每件包装箱的两侧用中文和适当的运输标记，标明“重心”和“吊装点”，以便装卸和搬运。根据货物的特点和运输的不同要求，乙方应在包装箱上清楚地标有“小心轻放”、“防潮”、“勿倒置”等字样和其他适当的标志。</w:t>
      </w:r>
    </w:p>
    <w:p w14:paraId="65A3D30D">
      <w:pPr>
        <w:pStyle w:val="4"/>
        <w:widowControl w:val="0"/>
        <w:spacing w:after="0" w:afterAutospacing="0" w:line="360" w:lineRule="auto"/>
        <w:ind w:firstLine="420" w:firstLineChars="200"/>
        <w:contextualSpacing/>
        <w:jc w:val="both"/>
        <w:rPr>
          <w:rFonts w:cs="Arial"/>
          <w:kern w:val="2"/>
          <w:sz w:val="21"/>
          <w:szCs w:val="21"/>
        </w:rPr>
      </w:pPr>
      <w:r>
        <w:rPr>
          <w:rFonts w:hint="eastAsia" w:cs="Arial"/>
          <w:kern w:val="2"/>
          <w:sz w:val="21"/>
          <w:szCs w:val="21"/>
        </w:rPr>
        <w:t>5、</w:t>
      </w:r>
      <w:r>
        <w:rPr>
          <w:rFonts w:hint="eastAsia"/>
          <w:kern w:val="2"/>
          <w:sz w:val="21"/>
          <w:szCs w:val="21"/>
        </w:rPr>
        <w:t>在现场交货和工厂交货条件下的货物,乙方通知甲方货物已备妥待运输后24小时之内，应将货名、数量、毛重、总体积（立方米）、运输工具名称及装运日期，以邮件或传真通知甲方。</w:t>
      </w:r>
    </w:p>
    <w:p w14:paraId="3460DC38">
      <w:pPr>
        <w:pStyle w:val="4"/>
        <w:widowControl w:val="0"/>
        <w:spacing w:after="0" w:afterAutospacing="0" w:line="360" w:lineRule="auto"/>
        <w:ind w:firstLine="420" w:firstLineChars="200"/>
        <w:contextualSpacing/>
        <w:jc w:val="both"/>
        <w:rPr>
          <w:rFonts w:cs="Arial"/>
          <w:kern w:val="2"/>
          <w:sz w:val="21"/>
          <w:szCs w:val="21"/>
        </w:rPr>
      </w:pPr>
      <w:r>
        <w:rPr>
          <w:rFonts w:hint="eastAsia" w:cs="Arial"/>
          <w:kern w:val="2"/>
          <w:sz w:val="21"/>
          <w:szCs w:val="21"/>
        </w:rPr>
        <w:t>6、</w:t>
      </w:r>
      <w:r>
        <w:rPr>
          <w:rFonts w:hint="eastAsia"/>
          <w:kern w:val="2"/>
          <w:sz w:val="21"/>
          <w:szCs w:val="21"/>
        </w:rPr>
        <w:t>如因乙方延误将上述内容用邮件或传真通知甲方，由此引起的一切后果损失应由乙方负责。</w:t>
      </w:r>
    </w:p>
    <w:p w14:paraId="3F6FC44B">
      <w:pPr>
        <w:pStyle w:val="4"/>
        <w:widowControl w:val="0"/>
        <w:spacing w:after="0" w:afterAutospacing="0" w:line="360" w:lineRule="auto"/>
        <w:ind w:firstLine="422" w:firstLineChars="200"/>
        <w:contextualSpacing/>
        <w:jc w:val="both"/>
        <w:outlineLvl w:val="1"/>
        <w:rPr>
          <w:rFonts w:cs="Arial"/>
          <w:b/>
          <w:bCs/>
          <w:kern w:val="2"/>
          <w:sz w:val="21"/>
          <w:szCs w:val="21"/>
        </w:rPr>
      </w:pPr>
      <w:bookmarkStart w:id="5" w:name="_Toc347530919"/>
      <w:r>
        <w:rPr>
          <w:rFonts w:hint="eastAsia"/>
          <w:b/>
          <w:bCs/>
          <w:kern w:val="2"/>
          <w:sz w:val="21"/>
          <w:szCs w:val="21"/>
        </w:rPr>
        <w:t>六、技术资料规范</w:t>
      </w:r>
      <w:bookmarkEnd w:id="5"/>
    </w:p>
    <w:p w14:paraId="6056060A">
      <w:pPr>
        <w:pStyle w:val="4"/>
        <w:widowControl w:val="0"/>
        <w:spacing w:after="0" w:afterAutospacing="0" w:line="360" w:lineRule="auto"/>
        <w:ind w:firstLine="422" w:firstLineChars="200"/>
        <w:contextualSpacing/>
        <w:jc w:val="both"/>
        <w:rPr>
          <w:rFonts w:cs="Arial"/>
          <w:b/>
          <w:bCs/>
          <w:kern w:val="2"/>
          <w:sz w:val="21"/>
          <w:szCs w:val="21"/>
        </w:rPr>
      </w:pPr>
      <w:r>
        <w:rPr>
          <w:rFonts w:hint="eastAsia"/>
          <w:b/>
          <w:bCs/>
          <w:kern w:val="2"/>
          <w:sz w:val="21"/>
          <w:szCs w:val="21"/>
        </w:rPr>
        <w:t>1、技术规范</w:t>
      </w:r>
    </w:p>
    <w:p w14:paraId="5B142203">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提交货物的技术规范应与招标文件规定的技术规范和技术规范附件（如果有的话）及其投标文件的技术规范偏差表（如果被甲方接受的话）相一致。若技术规范中无相应说明，则以国家有关部门最新颁布的相应标准及规范为准。</w:t>
      </w:r>
    </w:p>
    <w:p w14:paraId="359237A5">
      <w:pPr>
        <w:pStyle w:val="4"/>
        <w:widowControl w:val="0"/>
        <w:spacing w:after="0" w:afterAutospacing="0" w:line="360" w:lineRule="auto"/>
        <w:ind w:firstLine="422" w:firstLineChars="200"/>
        <w:contextualSpacing/>
        <w:jc w:val="both"/>
        <w:rPr>
          <w:rFonts w:cs="Arial"/>
          <w:b/>
          <w:bCs/>
          <w:kern w:val="2"/>
          <w:sz w:val="21"/>
          <w:szCs w:val="21"/>
        </w:rPr>
      </w:pPr>
      <w:r>
        <w:rPr>
          <w:rFonts w:hint="eastAsia"/>
          <w:b/>
          <w:bCs/>
          <w:kern w:val="2"/>
          <w:sz w:val="21"/>
          <w:szCs w:val="21"/>
        </w:rPr>
        <w:t>2、技术资料</w:t>
      </w:r>
    </w:p>
    <w:p w14:paraId="573A8F50">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(1)合同项下技术资料（除合同特殊条款规定外）将以下列方式交付:合同生效后10天之内，乙方应将每台设备的中文技术资料一套，如目录、图纸、操作手册、使用指南、维修指南和（或）服务手册和示意图寄给甲方。</w:t>
      </w:r>
    </w:p>
    <w:p w14:paraId="3F9ADB19">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(2)另外一套完整的上述资料应包装好随同每批货物一起发运。</w:t>
      </w:r>
    </w:p>
    <w:p w14:paraId="48175246">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(3)如果甲方确认乙方提供的技术资料不完整或在运输过程中丢失，乙方将在收到甲方通知后3天内将这些资料寄给甲方。</w:t>
      </w:r>
    </w:p>
    <w:p w14:paraId="0DECC904">
      <w:pPr>
        <w:pStyle w:val="4"/>
        <w:widowControl w:val="0"/>
        <w:spacing w:after="0" w:afterAutospacing="0" w:line="360" w:lineRule="auto"/>
        <w:ind w:firstLine="422" w:firstLineChars="200"/>
        <w:contextualSpacing/>
        <w:jc w:val="both"/>
        <w:rPr>
          <w:rFonts w:cs="Arial"/>
          <w:b/>
          <w:bCs/>
          <w:kern w:val="2"/>
          <w:sz w:val="21"/>
          <w:szCs w:val="21"/>
        </w:rPr>
      </w:pPr>
      <w:r>
        <w:rPr>
          <w:rFonts w:hint="eastAsia"/>
          <w:b/>
          <w:bCs/>
          <w:kern w:val="2"/>
          <w:sz w:val="21"/>
          <w:szCs w:val="21"/>
        </w:rPr>
        <w:t>3、技术培训</w:t>
      </w:r>
    </w:p>
    <w:p w14:paraId="0DABB398">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(1)乙方承诺选派有相应专业实际工作和相应辅导人员完成对货物及相关配套软件的培训，并负责编写教材。</w:t>
      </w:r>
    </w:p>
    <w:p w14:paraId="59DFCBC4">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(2)对于每次培训的具体内容、深度和时间安排，乙方事前提出具体培训方案，乙方不限制甲方此类培训参加人数。</w:t>
      </w:r>
    </w:p>
    <w:p w14:paraId="498E1E2D">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(3)除培训计划外，在系统运行和推广期间若甲方有培训要求，乙方应根据实际情况协助甲方完成相关培训。</w:t>
      </w:r>
    </w:p>
    <w:p w14:paraId="0B790E0F">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(4)培训的时间、内容、人员、班次等项内容在具体执行过程中甲方可以进行调整，甲方的培训调整事先提前5日通报乙方，以方便乙方安排。</w:t>
      </w:r>
    </w:p>
    <w:p w14:paraId="5BB870C6">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(5)针对该项目对甲方的培训，乙方提供讲师及电子资料。</w:t>
      </w:r>
    </w:p>
    <w:p w14:paraId="3FE4CE74">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(6)培训地点为甲方指定地点。如采取异地培训或封闭式培训，则甲方应负责提供培训所需的场所、设施、差旅、食宿及其他物</w:t>
      </w:r>
      <w:r>
        <w:rPr>
          <w:rFonts w:hint="eastAsia"/>
          <w:kern w:val="2"/>
          <w:sz w:val="21"/>
          <w:szCs w:val="21"/>
          <w:highlight w:val="none"/>
        </w:rPr>
        <w:t>质条件；乙方配合甲方完成培训所需软硬</w:t>
      </w:r>
      <w:r>
        <w:rPr>
          <w:rFonts w:hint="eastAsia"/>
          <w:kern w:val="2"/>
          <w:sz w:val="21"/>
          <w:szCs w:val="21"/>
          <w:highlight w:val="none"/>
          <w:lang w:val="en-US" w:eastAsia="zh-CN"/>
        </w:rPr>
        <w:t>件</w:t>
      </w:r>
      <w:r>
        <w:rPr>
          <w:rFonts w:hint="eastAsia"/>
          <w:kern w:val="2"/>
          <w:sz w:val="21"/>
          <w:szCs w:val="21"/>
          <w:highlight w:val="none"/>
        </w:rPr>
        <w:t>环境的搭建。</w:t>
      </w:r>
    </w:p>
    <w:p w14:paraId="4874D1EE">
      <w:pPr>
        <w:pStyle w:val="4"/>
        <w:widowControl w:val="0"/>
        <w:spacing w:after="0" w:afterAutospacing="0" w:line="360" w:lineRule="auto"/>
        <w:ind w:firstLine="422" w:firstLineChars="200"/>
        <w:contextualSpacing/>
        <w:jc w:val="both"/>
        <w:rPr>
          <w:rFonts w:cs="Arial"/>
          <w:b/>
          <w:bCs/>
          <w:kern w:val="2"/>
          <w:sz w:val="21"/>
          <w:szCs w:val="21"/>
        </w:rPr>
      </w:pPr>
      <w:r>
        <w:rPr>
          <w:rFonts w:hint="eastAsia"/>
          <w:b/>
          <w:bCs/>
          <w:kern w:val="2"/>
          <w:sz w:val="21"/>
          <w:szCs w:val="21"/>
        </w:rPr>
        <w:t>4、技术支持与售后</w:t>
      </w:r>
    </w:p>
    <w:p w14:paraId="6C244328">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(1)乙方应提供咨询与技术支持工作。乙方售后服务电话：</w:t>
      </w:r>
      <w:r>
        <w:rPr>
          <w:rFonts w:hint="eastAsia" w:cs="Arial"/>
          <w:kern w:val="2"/>
          <w:sz w:val="21"/>
          <w:szCs w:val="21"/>
          <w:u w:val="single"/>
        </w:rPr>
        <w:t xml:space="preserve">          </w:t>
      </w:r>
      <w:r>
        <w:rPr>
          <w:rFonts w:hint="eastAsia"/>
          <w:kern w:val="2"/>
          <w:sz w:val="21"/>
          <w:szCs w:val="21"/>
        </w:rPr>
        <w:t>。</w:t>
      </w:r>
    </w:p>
    <w:p w14:paraId="6A55C399">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(2)乙方应为甲方提供升级，提供升级版本和相应的支持服务。</w:t>
      </w:r>
    </w:p>
    <w:p w14:paraId="582ADBD3">
      <w:pPr>
        <w:pStyle w:val="4"/>
        <w:spacing w:line="360" w:lineRule="auto"/>
        <w:ind w:firstLine="420" w:firstLineChars="200"/>
        <w:contextualSpacing/>
        <w:jc w:val="both"/>
        <w:rPr>
          <w:rFonts w:hint="eastAsia"/>
          <w:kern w:val="2"/>
          <w:sz w:val="21"/>
          <w:szCs w:val="21"/>
        </w:rPr>
      </w:pPr>
      <w:r>
        <w:rPr>
          <w:rFonts w:hint="eastAsia"/>
          <w:kern w:val="2"/>
          <w:sz w:val="21"/>
          <w:szCs w:val="21"/>
        </w:rPr>
        <w:t>(3)乙方应保证货物运行稳定、正常。在有异常情况时，乙方应提供原厂工程师7*24小时上门服务，7*24小时电话热线服务，接到报修后，</w:t>
      </w:r>
      <w:r>
        <w:rPr>
          <w:kern w:val="2"/>
          <w:sz w:val="21"/>
          <w:szCs w:val="21"/>
        </w:rPr>
        <w:t>4</w:t>
      </w:r>
      <w:r>
        <w:rPr>
          <w:rFonts w:hint="eastAsia"/>
          <w:kern w:val="2"/>
          <w:sz w:val="21"/>
          <w:szCs w:val="21"/>
        </w:rPr>
        <w:t>工作小时内到达现场服务；如遇非工作日或重大活动，能够提供现场技术支持服务预案；如货物在3日之内维修不好，乙方应提供备用方案。</w:t>
      </w:r>
    </w:p>
    <w:p w14:paraId="534BB7F3">
      <w:pPr>
        <w:pStyle w:val="4"/>
        <w:spacing w:line="360" w:lineRule="auto"/>
        <w:ind w:firstLine="420" w:firstLineChars="200"/>
        <w:contextualSpacing/>
        <w:jc w:val="both"/>
        <w:rPr>
          <w:rFonts w:hint="eastAsia"/>
          <w:kern w:val="2"/>
          <w:sz w:val="21"/>
          <w:szCs w:val="21"/>
        </w:rPr>
      </w:pPr>
      <w:r>
        <w:rPr>
          <w:rFonts w:hint="eastAsia"/>
          <w:kern w:val="2"/>
          <w:sz w:val="21"/>
          <w:szCs w:val="21"/>
        </w:rPr>
        <w:t>(4)乙方应保证设备生产厂家长期提供技术资料和技术支持。</w:t>
      </w:r>
    </w:p>
    <w:p w14:paraId="49165CD4">
      <w:pPr>
        <w:pStyle w:val="4"/>
        <w:spacing w:line="360" w:lineRule="auto"/>
        <w:ind w:firstLine="420" w:firstLineChars="200"/>
        <w:contextualSpacing/>
        <w:jc w:val="both"/>
        <w:rPr>
          <w:rFonts w:hint="eastAsia"/>
          <w:kern w:val="2"/>
          <w:sz w:val="21"/>
          <w:szCs w:val="21"/>
        </w:rPr>
      </w:pPr>
      <w:r>
        <w:rPr>
          <w:rFonts w:hint="eastAsia"/>
          <w:kern w:val="2"/>
          <w:sz w:val="21"/>
          <w:szCs w:val="21"/>
        </w:rPr>
        <w:t>(5)保修期后，乙方提供的设备维修只收取零配件成本费用</w:t>
      </w:r>
      <w:r>
        <w:rPr>
          <w:rFonts w:hint="eastAsia"/>
          <w:kern w:val="2"/>
          <w:sz w:val="21"/>
          <w:szCs w:val="21"/>
          <w:lang w:eastAsia="zh-CN"/>
        </w:rPr>
        <w:t>。</w:t>
      </w:r>
    </w:p>
    <w:p w14:paraId="380472F1">
      <w:pPr>
        <w:pStyle w:val="4"/>
        <w:spacing w:line="360" w:lineRule="auto"/>
        <w:ind w:firstLine="420" w:firstLineChars="200"/>
        <w:contextualSpacing/>
        <w:jc w:val="both"/>
        <w:rPr>
          <w:kern w:val="2"/>
          <w:sz w:val="21"/>
          <w:szCs w:val="21"/>
        </w:rPr>
      </w:pPr>
      <w:r>
        <w:rPr>
          <w:rFonts w:hint="eastAsia"/>
          <w:kern w:val="2"/>
          <w:sz w:val="21"/>
          <w:szCs w:val="21"/>
        </w:rPr>
        <w:t>(6)乙方应在每季度进行一次设备维护和保养。</w:t>
      </w:r>
    </w:p>
    <w:p w14:paraId="427A843F">
      <w:pPr>
        <w:pStyle w:val="4"/>
        <w:spacing w:line="360" w:lineRule="auto"/>
        <w:ind w:firstLine="420" w:firstLineChars="200"/>
        <w:contextualSpacing/>
        <w:jc w:val="both"/>
        <w:rPr>
          <w:kern w:val="2"/>
          <w:sz w:val="21"/>
          <w:szCs w:val="21"/>
        </w:rPr>
      </w:pPr>
      <w:r>
        <w:rPr>
          <w:rFonts w:hint="eastAsia"/>
          <w:kern w:val="2"/>
          <w:sz w:val="21"/>
          <w:szCs w:val="21"/>
        </w:rPr>
        <w:t>(7)</w:t>
      </w:r>
      <w:r>
        <w:rPr>
          <w:kern w:val="2"/>
          <w:sz w:val="21"/>
          <w:szCs w:val="21"/>
        </w:rPr>
        <w:t>合同货物保修期届满后，如果因合同货物硬件或软件的固有缺陷和瑕疵出现紧急故障和事故，乙方应在接到甲方通知之</w:t>
      </w:r>
      <w:r>
        <w:rPr>
          <w:kern w:val="2"/>
          <w:sz w:val="21"/>
          <w:szCs w:val="21"/>
          <w:shd w:val="clear"/>
        </w:rPr>
        <w:t>后</w:t>
      </w:r>
      <w:r>
        <w:rPr>
          <w:rFonts w:hint="eastAsia"/>
          <w:kern w:val="2"/>
          <w:sz w:val="21"/>
          <w:szCs w:val="21"/>
          <w:highlight w:val="none"/>
          <w:shd w:val="clear"/>
          <w:lang w:val="en-US" w:eastAsia="zh-CN"/>
        </w:rPr>
        <w:t>4</w:t>
      </w:r>
      <w:r>
        <w:rPr>
          <w:kern w:val="2"/>
          <w:sz w:val="21"/>
          <w:szCs w:val="21"/>
        </w:rPr>
        <w:t>小时内到达现场。</w:t>
      </w:r>
    </w:p>
    <w:p w14:paraId="6EB660AC">
      <w:pPr>
        <w:pStyle w:val="4"/>
        <w:spacing w:line="360" w:lineRule="auto"/>
        <w:ind w:firstLine="420" w:firstLineChars="200"/>
        <w:contextualSpacing/>
        <w:rPr>
          <w:kern w:val="2"/>
          <w:sz w:val="21"/>
          <w:szCs w:val="21"/>
        </w:rPr>
      </w:pPr>
      <w:r>
        <w:rPr>
          <w:rFonts w:hint="eastAsia"/>
          <w:kern w:val="2"/>
          <w:sz w:val="21"/>
          <w:szCs w:val="21"/>
        </w:rPr>
        <w:t>(8)若厂家规定的保修期或合同货物主要部件的保修期长于本合同保修期，应适用其保修期(在本次采购文件所规定的期限中，若有不同期限自动适用其中期限较长者)。虽有该期限的约定，但：仅为兜底约定；乙方承诺，本合同项下货物的保修期或与质量相关的其它期限均自按照本合同约定方式完成最终验收并由甲方签署了货物最终验收单之日起算；本合同甲方、乙方特别约定对本合同项下货物的包退、包换、包修、负责保修等期限，应当在约定质量保证期限、约定使用寿命、甲方在招标时所要求的期限或行业认可的平均使用寿命、国家部委以上文件所规定的强制适用的期限等不同的期限中，自动适用其中最长的期限；若各方对该类期限不能达成一致的确认则应当通过本合同中所约定的解决争议的方式裁决出相关期限。</w:t>
      </w:r>
    </w:p>
    <w:p w14:paraId="7C775A4B">
      <w:pPr>
        <w:pStyle w:val="4"/>
        <w:spacing w:line="360" w:lineRule="auto"/>
        <w:ind w:firstLine="420" w:firstLineChars="200"/>
        <w:contextualSpacing/>
        <w:rPr>
          <w:kern w:val="2"/>
          <w:sz w:val="21"/>
          <w:szCs w:val="21"/>
        </w:rPr>
      </w:pPr>
      <w:r>
        <w:rPr>
          <w:rFonts w:hint="eastAsia"/>
          <w:kern w:val="2"/>
          <w:sz w:val="21"/>
          <w:szCs w:val="21"/>
        </w:rPr>
        <w:t>(9)在保修期内，如果由于乙方更换、修理和续补货物，而造成本合同货物不得不停止运行，货物保修期应依照停止运行的实际时间加以延长，如因此给甲方造成损失，乙方应负责赔偿。</w:t>
      </w:r>
    </w:p>
    <w:p w14:paraId="1472FC81">
      <w:pPr>
        <w:pStyle w:val="4"/>
        <w:spacing w:line="360" w:lineRule="auto"/>
        <w:ind w:firstLine="420" w:firstLineChars="200"/>
        <w:contextualSpacing/>
        <w:rPr>
          <w:kern w:val="2"/>
          <w:sz w:val="21"/>
          <w:szCs w:val="21"/>
        </w:rPr>
      </w:pPr>
      <w:r>
        <w:rPr>
          <w:rFonts w:hint="eastAsia"/>
          <w:kern w:val="2"/>
          <w:sz w:val="21"/>
          <w:szCs w:val="21"/>
        </w:rPr>
        <w:t>(10)在合同货物保修期届满后，乙方保证继续为甲方提供设备的维修服务，甲方应按乙方提供的不差于任何第三方的优惠价格向乙方支付相关费用，乙方保证在合同货物使用期内以不高于本合同货物、相关配件及服务的价格，并且不差于任何第三方的优惠价格，向甲方提供备品、备件及维修服务。</w:t>
      </w:r>
    </w:p>
    <w:p w14:paraId="5726F0A0">
      <w:pPr>
        <w:pStyle w:val="4"/>
        <w:spacing w:line="360" w:lineRule="auto"/>
        <w:ind w:firstLine="420" w:firstLineChars="200"/>
        <w:contextualSpacing/>
        <w:rPr>
          <w:kern w:val="2"/>
          <w:sz w:val="21"/>
          <w:szCs w:val="21"/>
        </w:rPr>
      </w:pPr>
      <w:r>
        <w:rPr>
          <w:rFonts w:hint="eastAsia"/>
          <w:kern w:val="2"/>
          <w:sz w:val="21"/>
          <w:szCs w:val="21"/>
        </w:rPr>
        <w:t>(11)本合同签订后及货物使用中，如涉及增加或改进安全性的软件升级问题，无论甲方是否知晓或是否向乙方提出，乙方均应当在其刚开始应用该等软件时的第一时间内，立即主动地、无条件地给予更新并调试完好。</w:t>
      </w:r>
    </w:p>
    <w:p w14:paraId="7A4C8A8C">
      <w:pPr>
        <w:pStyle w:val="4"/>
        <w:widowControl w:val="0"/>
        <w:spacing w:after="0" w:afterAutospacing="0" w:line="360" w:lineRule="auto"/>
        <w:ind w:firstLine="422" w:firstLineChars="200"/>
        <w:contextualSpacing/>
        <w:jc w:val="both"/>
        <w:outlineLvl w:val="1"/>
        <w:rPr>
          <w:rFonts w:cs="Arial"/>
          <w:b/>
          <w:bCs/>
          <w:kern w:val="2"/>
          <w:sz w:val="21"/>
          <w:szCs w:val="21"/>
        </w:rPr>
      </w:pPr>
      <w:bookmarkStart w:id="6" w:name="_Toc1612273507"/>
      <w:r>
        <w:rPr>
          <w:rFonts w:hint="eastAsia"/>
          <w:b/>
          <w:bCs/>
          <w:kern w:val="2"/>
          <w:sz w:val="21"/>
          <w:szCs w:val="21"/>
        </w:rPr>
        <w:t>七、检验和验收</w:t>
      </w:r>
      <w:bookmarkEnd w:id="6"/>
    </w:p>
    <w:p w14:paraId="1AF49B20">
      <w:pPr>
        <w:pStyle w:val="4"/>
        <w:widowControl w:val="0"/>
        <w:spacing w:after="0" w:afterAutospacing="0" w:line="360" w:lineRule="auto"/>
        <w:ind w:firstLine="420" w:firstLineChars="200"/>
        <w:contextualSpacing/>
        <w:jc w:val="both"/>
        <w:rPr>
          <w:rFonts w:cs="Arial"/>
          <w:kern w:val="2"/>
          <w:sz w:val="21"/>
          <w:szCs w:val="21"/>
        </w:rPr>
      </w:pPr>
      <w:r>
        <w:rPr>
          <w:rFonts w:hint="eastAsia" w:cs="Arial"/>
          <w:kern w:val="2"/>
          <w:sz w:val="21"/>
          <w:szCs w:val="21"/>
        </w:rPr>
        <w:t>1、</w:t>
      </w:r>
      <w:r>
        <w:rPr>
          <w:rFonts w:hint="eastAsia"/>
          <w:kern w:val="2"/>
          <w:sz w:val="21"/>
          <w:szCs w:val="21"/>
        </w:rPr>
        <w:t>在交货前,乙方应对货物的质量、规格、性能、数量和重量等进行详细而全面的检验，并出具证明货物符合合同规定的文件。</w:t>
      </w:r>
    </w:p>
    <w:p w14:paraId="585E8B4A">
      <w:pPr>
        <w:pStyle w:val="4"/>
        <w:widowControl w:val="0"/>
        <w:spacing w:after="0" w:afterAutospacing="0" w:line="360" w:lineRule="auto"/>
        <w:ind w:firstLine="420" w:firstLineChars="200"/>
        <w:contextualSpacing/>
        <w:jc w:val="both"/>
        <w:rPr>
          <w:rFonts w:cs="Arial"/>
          <w:kern w:val="2"/>
          <w:sz w:val="21"/>
          <w:szCs w:val="21"/>
        </w:rPr>
      </w:pPr>
      <w:r>
        <w:rPr>
          <w:rFonts w:hint="eastAsia" w:cs="Arial"/>
          <w:kern w:val="2"/>
          <w:sz w:val="21"/>
          <w:szCs w:val="21"/>
        </w:rPr>
        <w:t>2、</w:t>
      </w:r>
      <w:r>
        <w:rPr>
          <w:rFonts w:hint="eastAsia"/>
          <w:kern w:val="2"/>
          <w:sz w:val="21"/>
          <w:szCs w:val="21"/>
        </w:rPr>
        <w:t>甲方有在货物制造过程中派人员监造的权利，乙方有义务为甲方监造人员进行该权利提供方便。</w:t>
      </w:r>
    </w:p>
    <w:p w14:paraId="5DA6A5CB">
      <w:pPr>
        <w:pStyle w:val="4"/>
        <w:widowControl w:val="0"/>
        <w:spacing w:after="0" w:afterAutospacing="0" w:line="360" w:lineRule="auto"/>
        <w:ind w:firstLine="420" w:firstLineChars="200"/>
        <w:contextualSpacing/>
        <w:jc w:val="both"/>
        <w:rPr>
          <w:rFonts w:cs="Arial"/>
          <w:kern w:val="2"/>
          <w:sz w:val="21"/>
          <w:szCs w:val="21"/>
        </w:rPr>
      </w:pPr>
      <w:r>
        <w:rPr>
          <w:rFonts w:hint="eastAsia" w:cs="Arial"/>
          <w:kern w:val="2"/>
          <w:sz w:val="21"/>
          <w:szCs w:val="21"/>
        </w:rPr>
        <w:t>3、</w:t>
      </w:r>
      <w:r>
        <w:rPr>
          <w:rFonts w:hint="eastAsia"/>
          <w:kern w:val="2"/>
          <w:sz w:val="21"/>
          <w:szCs w:val="21"/>
        </w:rPr>
        <w:t>制造厂对所供货物进行机械运转试验和性能试验时，乙方必须提前通知甲方。</w:t>
      </w:r>
    </w:p>
    <w:p w14:paraId="7E3244FA">
      <w:pPr>
        <w:pStyle w:val="4"/>
        <w:widowControl w:val="0"/>
        <w:spacing w:after="0" w:afterAutospacing="0" w:line="360" w:lineRule="auto"/>
        <w:ind w:firstLine="420" w:firstLineChars="200"/>
        <w:contextualSpacing/>
        <w:jc w:val="both"/>
        <w:rPr>
          <w:rFonts w:cs="Arial"/>
          <w:kern w:val="2"/>
          <w:sz w:val="21"/>
          <w:szCs w:val="21"/>
        </w:rPr>
      </w:pPr>
      <w:r>
        <w:rPr>
          <w:rFonts w:hint="eastAsia" w:cs="Arial"/>
          <w:kern w:val="2"/>
          <w:sz w:val="21"/>
          <w:szCs w:val="21"/>
        </w:rPr>
        <w:t>4、</w:t>
      </w:r>
      <w:r>
        <w:rPr>
          <w:rFonts w:hint="eastAsia"/>
          <w:kern w:val="2"/>
          <w:sz w:val="21"/>
          <w:szCs w:val="21"/>
        </w:rPr>
        <w:t>验收</w:t>
      </w:r>
    </w:p>
    <w:p w14:paraId="58A6523E">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(1)乙方负责按规定的时，把货物送达指定地点。</w:t>
      </w:r>
    </w:p>
    <w:p w14:paraId="6705FDDB">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(2)发货后,当乙方所供货物运抵现场后3日内，须由甲方、乙方双方组成的到货验收小组，对乙方所供货物的外观和数量进行检验和核实。</w:t>
      </w:r>
    </w:p>
    <w:p w14:paraId="129D28CD">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(3)货物运抵现场后，甲方应在30日内组织最终验收，并制作验收备忘录，签署验收意见。</w:t>
      </w:r>
    </w:p>
    <w:p w14:paraId="5AA2ED09">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(4)最终验收时甲方可以经相关部门按有关规定标准验收检验。</w:t>
      </w:r>
    </w:p>
    <w:p w14:paraId="3FFDE525">
      <w:pPr>
        <w:pStyle w:val="4"/>
        <w:widowControl w:val="0"/>
        <w:spacing w:after="0" w:afterAutospacing="0" w:line="360" w:lineRule="auto"/>
        <w:ind w:firstLine="420" w:firstLineChars="200"/>
        <w:contextualSpacing/>
        <w:jc w:val="both"/>
        <w:rPr>
          <w:rFonts w:hint="eastAsia" w:cs="Arial"/>
          <w:kern w:val="2"/>
          <w:sz w:val="21"/>
          <w:szCs w:val="21"/>
        </w:rPr>
      </w:pPr>
      <w:r>
        <w:rPr>
          <w:rFonts w:hint="eastAsia"/>
          <w:kern w:val="2"/>
          <w:sz w:val="21"/>
          <w:szCs w:val="21"/>
        </w:rPr>
        <w:t>(5)当满足以下条件时，货物为最终验收合格：</w:t>
      </w:r>
    </w:p>
    <w:p w14:paraId="3ADDB36A">
      <w:pPr>
        <w:pStyle w:val="4"/>
        <w:widowControl w:val="0"/>
        <w:spacing w:after="0" w:afterAutospacing="0" w:line="360" w:lineRule="auto"/>
        <w:ind w:firstLine="420" w:firstLineChars="200"/>
        <w:contextualSpacing/>
        <w:jc w:val="both"/>
        <w:rPr>
          <w:rFonts w:hint="eastAsia" w:cs="Arial"/>
          <w:kern w:val="2"/>
          <w:sz w:val="21"/>
          <w:szCs w:val="21"/>
        </w:rPr>
      </w:pPr>
      <w:r>
        <w:rPr>
          <w:rFonts w:hint="eastAsia"/>
          <w:kern w:val="2"/>
          <w:sz w:val="21"/>
          <w:szCs w:val="21"/>
        </w:rPr>
        <w:t>乙方已提供了合同中签署的全部货物及完整的技术资料；</w:t>
      </w:r>
    </w:p>
    <w:p w14:paraId="63C72122">
      <w:pPr>
        <w:pStyle w:val="4"/>
        <w:widowControl w:val="0"/>
        <w:spacing w:after="0" w:afterAutospacing="0" w:line="360" w:lineRule="auto"/>
        <w:ind w:firstLine="420" w:firstLineChars="200"/>
        <w:contextualSpacing/>
        <w:jc w:val="both"/>
        <w:rPr>
          <w:rFonts w:hint="eastAsia"/>
          <w:kern w:val="2"/>
          <w:sz w:val="21"/>
          <w:szCs w:val="21"/>
        </w:rPr>
      </w:pPr>
      <w:r>
        <w:rPr>
          <w:rFonts w:hint="eastAsia"/>
          <w:kern w:val="2"/>
          <w:sz w:val="21"/>
          <w:szCs w:val="21"/>
        </w:rPr>
        <w:t>货物符合规格书中的规定，设备能够正常运转，性能满足要求；</w:t>
      </w:r>
    </w:p>
    <w:p w14:paraId="3BAA3060">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应执行的国家标准及行业标准、国家颁发的有关规范、规定和标准，以上规范如与现行最新国家标准规范有冲突的，以领取招标文件之国家和行业颁布的最新规范、标准为准，供货时以供货期间国家和行业颁布的最新规范、标准为准。</w:t>
      </w:r>
    </w:p>
    <w:p w14:paraId="6DA412BD">
      <w:pPr>
        <w:pStyle w:val="4"/>
        <w:widowControl w:val="0"/>
        <w:spacing w:after="0" w:afterAutospacing="0" w:line="360" w:lineRule="auto"/>
        <w:ind w:firstLine="422" w:firstLineChars="200"/>
        <w:contextualSpacing/>
        <w:jc w:val="both"/>
        <w:outlineLvl w:val="1"/>
        <w:rPr>
          <w:rFonts w:cs="Arial"/>
          <w:b/>
          <w:bCs/>
          <w:kern w:val="2"/>
          <w:sz w:val="21"/>
          <w:szCs w:val="21"/>
        </w:rPr>
      </w:pPr>
      <w:bookmarkStart w:id="7" w:name="_Toc894595993"/>
      <w:r>
        <w:rPr>
          <w:rFonts w:hint="eastAsia"/>
          <w:b/>
          <w:bCs/>
          <w:kern w:val="2"/>
          <w:sz w:val="21"/>
          <w:szCs w:val="21"/>
        </w:rPr>
        <w:t>八、质量保证和索赔</w:t>
      </w:r>
      <w:bookmarkEnd w:id="7"/>
    </w:p>
    <w:p w14:paraId="2BE2EA82">
      <w:pPr>
        <w:pStyle w:val="4"/>
        <w:widowControl w:val="0"/>
        <w:spacing w:after="0" w:afterAutospacing="0" w:line="360" w:lineRule="auto"/>
        <w:ind w:firstLine="422" w:firstLineChars="200"/>
        <w:contextualSpacing/>
        <w:jc w:val="both"/>
        <w:rPr>
          <w:rFonts w:cs="Arial"/>
          <w:b/>
          <w:bCs/>
          <w:kern w:val="2"/>
          <w:sz w:val="21"/>
          <w:szCs w:val="21"/>
        </w:rPr>
      </w:pPr>
      <w:r>
        <w:rPr>
          <w:rFonts w:hint="eastAsia"/>
          <w:b/>
          <w:bCs/>
          <w:kern w:val="2"/>
          <w:sz w:val="21"/>
          <w:szCs w:val="21"/>
        </w:rPr>
        <w:t>1、质量保证</w:t>
      </w:r>
    </w:p>
    <w:p w14:paraId="349C5CEE">
      <w:pPr>
        <w:pStyle w:val="4"/>
        <w:widowControl w:val="0"/>
        <w:spacing w:after="0" w:afterAutospacing="0" w:line="360" w:lineRule="auto"/>
        <w:ind w:firstLine="420" w:firstLineChars="200"/>
        <w:contextualSpacing/>
        <w:jc w:val="both"/>
        <w:rPr>
          <w:rFonts w:hint="eastAsia"/>
          <w:kern w:val="2"/>
          <w:sz w:val="21"/>
          <w:szCs w:val="21"/>
        </w:rPr>
      </w:pPr>
      <w:r>
        <w:rPr>
          <w:rFonts w:hint="eastAsia"/>
          <w:kern w:val="2"/>
          <w:sz w:val="21"/>
          <w:szCs w:val="21"/>
        </w:rPr>
        <w:t>(1)质保期：自设备安装调试完成并经甲方验收合格之日起</w:t>
      </w:r>
      <w:r>
        <w:rPr>
          <w:rFonts w:hint="eastAsia"/>
          <w:kern w:val="2"/>
          <w:sz w:val="21"/>
          <w:szCs w:val="21"/>
          <w:lang w:val="en-US" w:eastAsia="zh-CN"/>
        </w:rPr>
        <w:t>18个月</w:t>
      </w:r>
      <w:r>
        <w:rPr>
          <w:rFonts w:hint="eastAsia"/>
          <w:kern w:val="2"/>
          <w:sz w:val="21"/>
          <w:szCs w:val="21"/>
        </w:rPr>
        <w:t>。质保期内，如设备本身问题造成短期停产时，则质保期相应顺延。质保期内设备问题均由乙方免费维修。</w:t>
      </w:r>
    </w:p>
    <w:p w14:paraId="7BA234EE">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(2)乙方须保证货物是全新、未使用过的，并完全符合强制性的国家技术质量规范和合同规定的质量、规格、性能和技术规范等的要求。</w:t>
      </w:r>
    </w:p>
    <w:p w14:paraId="716B713A">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(3)乙方须保证所提供的货物经正确安装、正常运转和保养，在其使用寿命期内须具有符合质量要求和产品说明书的性能。在货物质量保证期之内，乙方须对由于设计、工艺或材料的缺陷而发生的任何不足或故障负责。</w:t>
      </w:r>
    </w:p>
    <w:p w14:paraId="74D42E23">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(4)据甲方按检验标准自己检验结果或委托有资质的相关质检机构的检验结果，发现货物的数量、质量、规格与合同不符；或者在质保期内，证实货物存在缺陷，包括潜在的缺陷或使用不符合要求的材料等，甲方应尽快以书面形式通知乙方。乙方在收到通知后3天内应维修或更换有缺陷的货物或部件。</w:t>
      </w:r>
    </w:p>
    <w:p w14:paraId="753D56B5">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(5)如果乙方在收到通知后3天内没有弥补缺陷，甲方可采取必要的补救措施，但由此引发的风险和费用将由乙方承担。</w:t>
      </w:r>
    </w:p>
    <w:p w14:paraId="202DEBAF">
      <w:pPr>
        <w:pStyle w:val="4"/>
        <w:widowControl w:val="0"/>
        <w:spacing w:after="0" w:afterAutospacing="0" w:line="360" w:lineRule="auto"/>
        <w:ind w:firstLine="422" w:firstLineChars="200"/>
        <w:contextualSpacing/>
        <w:jc w:val="both"/>
        <w:rPr>
          <w:rFonts w:cs="Arial"/>
          <w:b/>
          <w:bCs/>
          <w:kern w:val="2"/>
          <w:sz w:val="21"/>
          <w:szCs w:val="21"/>
        </w:rPr>
      </w:pPr>
      <w:r>
        <w:rPr>
          <w:rFonts w:hint="eastAsia"/>
          <w:b/>
          <w:bCs/>
          <w:kern w:val="2"/>
          <w:sz w:val="21"/>
          <w:szCs w:val="21"/>
        </w:rPr>
        <w:t>2、索赔</w:t>
      </w:r>
    </w:p>
    <w:p w14:paraId="6486D270">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(1)如果货物的质量、规格、数量、重量等与合同不符，或在规定的质量保证期内证实货物存有缺陷，包括潜在的缺陷或使用不符合要求的材料等，甲方有权根据有资质的权威质检机构的检验结果向乙方提出索赔（但责任应由保险公司或运输部门承担的除外）。</w:t>
      </w:r>
    </w:p>
    <w:p w14:paraId="2221DD93">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(2)在根据合同中规定的检验期和质保期内，如果乙方对甲方提出的索赔负有责任，乙方应按照甲方同意的下列一种或多种方式解决索赔事宜:</w:t>
      </w:r>
    </w:p>
    <w:p w14:paraId="5603191F">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在法定的退货期内，乙方应按合同规定将货款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6C4A34AE">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根据货物低劣程度、损坏程度以及甲方所遭受损失的数额，经买卖双方商定降低货物的价格，或由权威部门评估以降低后的价格或评估价格为准。</w:t>
      </w:r>
    </w:p>
    <w:p w14:paraId="1AB28C47">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用符合规格、质量和性能要求的新零件、部件或货物来更换有缺陷的部分或（和）修补缺陷部分，乙方应承担一切费用和风险并负担甲方所发生的一切直接费用。同时，乙方应按合同规定，相应延长修补或更换件的质量保证期。</w:t>
      </w:r>
    </w:p>
    <w:p w14:paraId="696F8F88">
      <w:pPr>
        <w:pStyle w:val="4"/>
        <w:widowControl w:val="0"/>
        <w:spacing w:after="0" w:afterAutospacing="0" w:line="360" w:lineRule="auto"/>
        <w:ind w:firstLine="422" w:firstLineChars="200"/>
        <w:contextualSpacing/>
        <w:jc w:val="both"/>
        <w:outlineLvl w:val="1"/>
        <w:rPr>
          <w:rFonts w:cs="Arial"/>
          <w:b/>
          <w:bCs/>
          <w:kern w:val="2"/>
          <w:sz w:val="21"/>
          <w:szCs w:val="21"/>
        </w:rPr>
      </w:pPr>
      <w:bookmarkStart w:id="8" w:name="_Toc1688341712"/>
      <w:r>
        <w:rPr>
          <w:rFonts w:hint="eastAsia"/>
          <w:b/>
          <w:bCs/>
          <w:kern w:val="2"/>
          <w:sz w:val="21"/>
          <w:szCs w:val="21"/>
        </w:rPr>
        <w:t>九、知识产权</w:t>
      </w:r>
      <w:bookmarkEnd w:id="8"/>
    </w:p>
    <w:p w14:paraId="785122DD">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乙方应保证甲方在使用该货物或其任何一部分时不侵犯第三方提出的专利权、著作权、商标权和工业设计权等。如果任何第三方提出侵权指控，乙方须与第三方交涉并承担由此发生的一切责任、费用和经济赔偿。</w:t>
      </w:r>
    </w:p>
    <w:p w14:paraId="315C1C9C">
      <w:pPr>
        <w:pStyle w:val="4"/>
        <w:widowControl w:val="0"/>
        <w:spacing w:after="0" w:afterAutospacing="0" w:line="360" w:lineRule="auto"/>
        <w:ind w:firstLine="422" w:firstLineChars="200"/>
        <w:contextualSpacing/>
        <w:jc w:val="both"/>
        <w:outlineLvl w:val="1"/>
        <w:rPr>
          <w:rFonts w:cs="Arial"/>
          <w:b/>
          <w:bCs/>
          <w:kern w:val="2"/>
          <w:sz w:val="21"/>
          <w:szCs w:val="21"/>
        </w:rPr>
      </w:pPr>
      <w:bookmarkStart w:id="9" w:name="_Toc1715721284"/>
      <w:r>
        <w:rPr>
          <w:rFonts w:hint="eastAsia"/>
          <w:b/>
          <w:bCs/>
          <w:kern w:val="2"/>
          <w:sz w:val="21"/>
          <w:szCs w:val="21"/>
        </w:rPr>
        <w:t>十、保密条款</w:t>
      </w:r>
      <w:bookmarkEnd w:id="9"/>
    </w:p>
    <w:p w14:paraId="0469829D">
      <w:pPr>
        <w:pStyle w:val="4"/>
        <w:widowControl w:val="0"/>
        <w:spacing w:after="0" w:afterAutospacing="0" w:line="360" w:lineRule="auto"/>
        <w:ind w:firstLine="422" w:firstLineChars="200"/>
        <w:contextualSpacing/>
        <w:jc w:val="both"/>
        <w:rPr>
          <w:rFonts w:cs="Arial"/>
          <w:b/>
          <w:bCs/>
          <w:kern w:val="2"/>
          <w:sz w:val="21"/>
          <w:szCs w:val="21"/>
        </w:rPr>
      </w:pPr>
      <w:r>
        <w:rPr>
          <w:rFonts w:hint="eastAsia"/>
          <w:b/>
          <w:bCs/>
          <w:kern w:val="2"/>
          <w:sz w:val="21"/>
          <w:szCs w:val="21"/>
        </w:rPr>
        <w:t>1、信息传递</w:t>
      </w:r>
    </w:p>
    <w:p w14:paraId="58467A24">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乙方须保证本项目由甲方提供的所有数据、内部资料、技术文档和信息予以保密；未经甲方书面许可，乙方不得将甲方提供的本项目数据、资料以及项目成果以任何形式向第三方透露或使用。本条款在项目完成或无论何种原因导致合同终止后依然有效。</w:t>
      </w:r>
    </w:p>
    <w:p w14:paraId="587293B2">
      <w:pPr>
        <w:pStyle w:val="4"/>
        <w:widowControl w:val="0"/>
        <w:spacing w:after="0" w:afterAutospacing="0" w:line="360" w:lineRule="auto"/>
        <w:ind w:firstLine="422" w:firstLineChars="200"/>
        <w:contextualSpacing/>
        <w:jc w:val="both"/>
        <w:rPr>
          <w:rFonts w:cs="Arial"/>
          <w:b/>
          <w:bCs/>
          <w:kern w:val="2"/>
          <w:sz w:val="21"/>
          <w:szCs w:val="21"/>
        </w:rPr>
      </w:pPr>
      <w:r>
        <w:rPr>
          <w:rFonts w:hint="eastAsia"/>
          <w:b/>
          <w:bCs/>
          <w:kern w:val="2"/>
          <w:sz w:val="21"/>
          <w:szCs w:val="21"/>
        </w:rPr>
        <w:t>2、保密措施</w:t>
      </w:r>
    </w:p>
    <w:p w14:paraId="21E6E342">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甲乙双方必须采取相应的安全措施，遵守和履行上述保密约定。经双方协商，甲方可以检查乙方所采取的安全措施是否符合上述约定。乙方违反上述保密约定，故意、过错或过失泄密的，除应立即采取措施停止泄密行为，减少泄密造成的损失外，还应向甲方支付合同总价</w:t>
      </w:r>
      <w:r>
        <w:rPr>
          <w:rFonts w:hint="eastAsia" w:cs="Arial"/>
          <w:kern w:val="2"/>
          <w:sz w:val="21"/>
          <w:szCs w:val="21"/>
        </w:rPr>
        <w:t>5%</w:t>
      </w:r>
      <w:r>
        <w:rPr>
          <w:rFonts w:hint="eastAsia"/>
          <w:kern w:val="2"/>
          <w:sz w:val="21"/>
          <w:szCs w:val="21"/>
        </w:rPr>
        <w:t>的违约金。同时，甲方还有权根据泄密造成损失的大小，单方解除本合同。</w:t>
      </w:r>
    </w:p>
    <w:p w14:paraId="3B78AF93">
      <w:pPr>
        <w:pStyle w:val="4"/>
        <w:widowControl w:val="0"/>
        <w:spacing w:after="0" w:afterAutospacing="0" w:line="360" w:lineRule="auto"/>
        <w:ind w:firstLine="422" w:firstLineChars="200"/>
        <w:contextualSpacing/>
        <w:jc w:val="both"/>
        <w:outlineLvl w:val="1"/>
        <w:rPr>
          <w:rFonts w:cs="Arial"/>
          <w:b/>
          <w:bCs/>
          <w:kern w:val="2"/>
          <w:sz w:val="21"/>
          <w:szCs w:val="21"/>
        </w:rPr>
      </w:pPr>
      <w:bookmarkStart w:id="10" w:name="_Toc1334069122"/>
      <w:r>
        <w:rPr>
          <w:rFonts w:hint="eastAsia"/>
          <w:b/>
          <w:bCs/>
          <w:kern w:val="2"/>
          <w:sz w:val="21"/>
          <w:szCs w:val="21"/>
        </w:rPr>
        <w:t>十一、不可抗力</w:t>
      </w:r>
      <w:bookmarkEnd w:id="10"/>
    </w:p>
    <w:p w14:paraId="72648E48">
      <w:pPr>
        <w:pStyle w:val="4"/>
        <w:widowControl w:val="0"/>
        <w:spacing w:after="0" w:afterAutospacing="0" w:line="360" w:lineRule="auto"/>
        <w:ind w:firstLine="420" w:firstLineChars="200"/>
        <w:contextualSpacing/>
        <w:jc w:val="both"/>
        <w:rPr>
          <w:rFonts w:cs="Arial"/>
          <w:kern w:val="2"/>
          <w:sz w:val="21"/>
          <w:szCs w:val="21"/>
        </w:rPr>
      </w:pPr>
      <w:r>
        <w:rPr>
          <w:rFonts w:hint="eastAsia" w:cs="Arial"/>
          <w:kern w:val="2"/>
          <w:sz w:val="21"/>
          <w:szCs w:val="21"/>
        </w:rPr>
        <w:t>1、</w:t>
      </w:r>
      <w:r>
        <w:rPr>
          <w:rFonts w:hint="eastAsia"/>
          <w:kern w:val="2"/>
          <w:sz w:val="21"/>
          <w:szCs w:val="21"/>
        </w:rPr>
        <w:t>本合同中不可抗力系指甲乙双方在缔结合同时所不能预见的，并且它的发生及其后果是无法避免和无法克服的客观情况，诸如战争、严重火灾、水灾、洪水、台风、地震等。</w:t>
      </w:r>
    </w:p>
    <w:p w14:paraId="60397259">
      <w:pPr>
        <w:pStyle w:val="4"/>
        <w:widowControl w:val="0"/>
        <w:spacing w:after="0" w:afterAutospacing="0" w:line="360" w:lineRule="auto"/>
        <w:ind w:firstLine="420" w:firstLineChars="200"/>
        <w:contextualSpacing/>
        <w:jc w:val="both"/>
        <w:rPr>
          <w:rFonts w:cs="Arial"/>
          <w:kern w:val="2"/>
          <w:sz w:val="21"/>
          <w:szCs w:val="21"/>
        </w:rPr>
      </w:pPr>
      <w:r>
        <w:rPr>
          <w:rFonts w:hint="eastAsia" w:cs="Arial"/>
          <w:kern w:val="2"/>
          <w:sz w:val="21"/>
          <w:szCs w:val="21"/>
        </w:rPr>
        <w:t>2、</w:t>
      </w:r>
      <w:r>
        <w:rPr>
          <w:rFonts w:hint="eastAsia"/>
          <w:kern w:val="2"/>
          <w:sz w:val="21"/>
          <w:szCs w:val="21"/>
        </w:rPr>
        <w:t>由于不可抗力致使合同无法履行的，受不可抗力影响的一方应立即将不能履行本合同的事实书面通知对方，并在不可抗力发生之日起15日内提供有关相关政府部门或公证机关出具的证明文件。</w:t>
      </w:r>
    </w:p>
    <w:p w14:paraId="23C88A48">
      <w:pPr>
        <w:pStyle w:val="4"/>
        <w:widowControl w:val="0"/>
        <w:spacing w:after="0" w:afterAutospacing="0" w:line="360" w:lineRule="auto"/>
        <w:ind w:firstLine="420" w:firstLineChars="200"/>
        <w:contextualSpacing/>
        <w:jc w:val="both"/>
        <w:rPr>
          <w:rFonts w:cs="Arial"/>
          <w:kern w:val="2"/>
          <w:sz w:val="21"/>
          <w:szCs w:val="21"/>
        </w:rPr>
      </w:pPr>
      <w:r>
        <w:rPr>
          <w:rFonts w:hint="eastAsia" w:cs="Arial"/>
          <w:kern w:val="2"/>
          <w:sz w:val="21"/>
          <w:szCs w:val="21"/>
        </w:rPr>
        <w:t>3、</w:t>
      </w:r>
      <w:r>
        <w:rPr>
          <w:rFonts w:hint="eastAsia"/>
          <w:kern w:val="2"/>
          <w:sz w:val="21"/>
          <w:szCs w:val="21"/>
        </w:rPr>
        <w:t>本合同在不可抗力影响范围及其持续期间内将中止履行，本合同执行时间可根据中止的时间相应顺延，双方无须承担违约责任。不可抗力事件消除后，双方应就合同的履行及后续问题进行协商。</w:t>
      </w:r>
    </w:p>
    <w:p w14:paraId="053ECB62">
      <w:pPr>
        <w:pStyle w:val="4"/>
        <w:widowControl w:val="0"/>
        <w:spacing w:after="0" w:afterAutospacing="0" w:line="360" w:lineRule="auto"/>
        <w:ind w:firstLine="420" w:firstLineChars="200"/>
        <w:contextualSpacing/>
        <w:jc w:val="both"/>
        <w:rPr>
          <w:rFonts w:cs="Arial"/>
          <w:kern w:val="2"/>
          <w:sz w:val="21"/>
          <w:szCs w:val="21"/>
        </w:rPr>
      </w:pPr>
      <w:r>
        <w:rPr>
          <w:rFonts w:hint="eastAsia" w:cs="Arial"/>
          <w:kern w:val="2"/>
          <w:sz w:val="21"/>
          <w:szCs w:val="21"/>
        </w:rPr>
        <w:t>4、</w:t>
      </w:r>
      <w:r>
        <w:rPr>
          <w:rFonts w:hint="eastAsia"/>
          <w:kern w:val="2"/>
          <w:sz w:val="21"/>
          <w:szCs w:val="21"/>
        </w:rPr>
        <w:t>一方迟延履行后发生不可抗力的，不能免除责任。</w:t>
      </w:r>
    </w:p>
    <w:p w14:paraId="14EB0FB9">
      <w:pPr>
        <w:pStyle w:val="4"/>
        <w:widowControl w:val="0"/>
        <w:spacing w:after="0" w:afterAutospacing="0" w:line="360" w:lineRule="auto"/>
        <w:ind w:firstLine="422" w:firstLineChars="200"/>
        <w:contextualSpacing/>
        <w:jc w:val="both"/>
        <w:outlineLvl w:val="1"/>
        <w:rPr>
          <w:rFonts w:cs="Arial"/>
          <w:b/>
          <w:bCs/>
          <w:kern w:val="2"/>
          <w:sz w:val="21"/>
          <w:szCs w:val="21"/>
        </w:rPr>
      </w:pPr>
      <w:bookmarkStart w:id="11" w:name="_Toc474794189"/>
      <w:r>
        <w:rPr>
          <w:rFonts w:hint="eastAsia"/>
          <w:b/>
          <w:bCs/>
          <w:kern w:val="2"/>
          <w:sz w:val="21"/>
          <w:szCs w:val="21"/>
        </w:rPr>
        <w:t>十二、</w:t>
      </w:r>
      <w:bookmarkEnd w:id="11"/>
      <w:r>
        <w:rPr>
          <w:rFonts w:hint="eastAsia"/>
          <w:b/>
          <w:bCs/>
          <w:kern w:val="2"/>
          <w:sz w:val="21"/>
          <w:szCs w:val="21"/>
        </w:rPr>
        <w:t>合同争议的解决</w:t>
      </w:r>
    </w:p>
    <w:p w14:paraId="08C1635F">
      <w:pPr>
        <w:pStyle w:val="4"/>
        <w:widowControl w:val="0"/>
        <w:spacing w:after="0" w:afterAutospacing="0" w:line="360" w:lineRule="auto"/>
        <w:ind w:firstLine="420" w:firstLineChars="200"/>
        <w:contextualSpacing/>
        <w:jc w:val="both"/>
        <w:rPr>
          <w:rFonts w:hint="eastAsia" w:cs="Arial"/>
          <w:kern w:val="2"/>
          <w:sz w:val="21"/>
          <w:szCs w:val="21"/>
        </w:rPr>
      </w:pPr>
      <w:bookmarkStart w:id="12" w:name="_Toc1412343429"/>
      <w:bookmarkStart w:id="13" w:name="_Toc170254695"/>
      <w:r>
        <w:rPr>
          <w:rFonts w:hint="eastAsia" w:cs="Arial"/>
          <w:kern w:val="2"/>
          <w:sz w:val="21"/>
          <w:szCs w:val="21"/>
        </w:rPr>
        <w:t>1、在执行本合同中所发生的争端，或与本合同有关的一切争端，甲、乙双方应通过协商解决。如通过协商方式仍不能解决争议，双方同意依法向甲方所在地的人民法院提起诉讼。败诉方应承担胜诉方为主张权利支付的诉讼费、律师费、保全费、诉讼保全担保费、公告费等一切合理费用。</w:t>
      </w:r>
    </w:p>
    <w:p w14:paraId="3FBBB9CE">
      <w:pPr>
        <w:pStyle w:val="4"/>
        <w:widowControl w:val="0"/>
        <w:spacing w:after="0" w:afterAutospacing="0" w:line="360" w:lineRule="auto"/>
        <w:ind w:firstLine="420" w:firstLineChars="200"/>
        <w:contextualSpacing/>
        <w:jc w:val="both"/>
        <w:rPr>
          <w:rFonts w:hint="eastAsia"/>
          <w:b/>
          <w:bCs/>
          <w:kern w:val="2"/>
          <w:sz w:val="21"/>
          <w:szCs w:val="21"/>
        </w:rPr>
      </w:pPr>
      <w:r>
        <w:rPr>
          <w:rFonts w:hint="eastAsia" w:cs="Arial"/>
          <w:kern w:val="2"/>
          <w:sz w:val="21"/>
          <w:szCs w:val="21"/>
        </w:rPr>
        <w:t>2、在诉讼期间，除正在进行诉讼的部分外，本合同其他部分应继续执行。</w:t>
      </w:r>
      <w:bookmarkEnd w:id="12"/>
    </w:p>
    <w:p w14:paraId="73CE93FA">
      <w:pPr>
        <w:pStyle w:val="4"/>
        <w:widowControl w:val="0"/>
        <w:spacing w:after="0" w:afterAutospacing="0" w:line="360" w:lineRule="auto"/>
        <w:ind w:firstLine="422" w:firstLineChars="200"/>
        <w:contextualSpacing/>
        <w:jc w:val="both"/>
        <w:rPr>
          <w:rFonts w:cs="Arial"/>
          <w:b/>
          <w:bCs/>
          <w:kern w:val="2"/>
          <w:sz w:val="21"/>
          <w:szCs w:val="21"/>
        </w:rPr>
      </w:pPr>
      <w:r>
        <w:rPr>
          <w:rFonts w:hint="eastAsia"/>
          <w:b/>
          <w:bCs/>
          <w:kern w:val="2"/>
          <w:sz w:val="21"/>
          <w:szCs w:val="21"/>
        </w:rPr>
        <w:t>十三、违约责任及损失赔偿</w:t>
      </w:r>
      <w:bookmarkEnd w:id="13"/>
    </w:p>
    <w:p w14:paraId="17B51BF2">
      <w:pPr>
        <w:pStyle w:val="4"/>
        <w:widowControl w:val="0"/>
        <w:spacing w:after="0" w:afterAutospacing="0" w:line="360" w:lineRule="auto"/>
        <w:ind w:firstLine="420" w:firstLineChars="200"/>
        <w:contextualSpacing/>
        <w:jc w:val="both"/>
        <w:rPr>
          <w:rFonts w:cs="Arial"/>
          <w:kern w:val="2"/>
          <w:sz w:val="21"/>
          <w:szCs w:val="21"/>
        </w:rPr>
      </w:pPr>
      <w:r>
        <w:rPr>
          <w:rFonts w:hint="eastAsia" w:cs="Arial"/>
          <w:kern w:val="2"/>
          <w:sz w:val="21"/>
          <w:szCs w:val="21"/>
        </w:rPr>
        <w:t>1、</w:t>
      </w:r>
      <w:r>
        <w:rPr>
          <w:rFonts w:hint="eastAsia"/>
          <w:kern w:val="2"/>
          <w:sz w:val="21"/>
          <w:szCs w:val="21"/>
        </w:rPr>
        <w:t>甲乙双方任何一方不履行合同义务或者履行合同义务不符合合同约定的，均视为违约。</w:t>
      </w:r>
    </w:p>
    <w:p w14:paraId="651866DB">
      <w:pPr>
        <w:pStyle w:val="4"/>
        <w:widowControl w:val="0"/>
        <w:spacing w:after="0" w:afterAutospacing="0" w:line="360" w:lineRule="auto"/>
        <w:ind w:firstLine="420" w:firstLineChars="200"/>
        <w:contextualSpacing/>
        <w:jc w:val="both"/>
        <w:rPr>
          <w:kern w:val="2"/>
          <w:sz w:val="21"/>
          <w:szCs w:val="21"/>
        </w:rPr>
      </w:pPr>
      <w:r>
        <w:rPr>
          <w:rFonts w:hint="eastAsia" w:cs="Arial"/>
          <w:kern w:val="2"/>
          <w:sz w:val="21"/>
          <w:szCs w:val="21"/>
        </w:rPr>
        <w:t>2、</w:t>
      </w:r>
      <w:r>
        <w:rPr>
          <w:rFonts w:hint="eastAsia"/>
          <w:kern w:val="2"/>
          <w:sz w:val="21"/>
          <w:szCs w:val="21"/>
        </w:rPr>
        <w:t>合同一方违反本合同规定，造成另一方经济损失的，守约方有权要求终止本合同，并由违约方承担赔偿责任。</w:t>
      </w:r>
    </w:p>
    <w:p w14:paraId="7314037F">
      <w:pPr>
        <w:pStyle w:val="4"/>
        <w:spacing w:line="360" w:lineRule="auto"/>
        <w:ind w:firstLine="420" w:firstLineChars="200"/>
        <w:contextualSpacing/>
        <w:rPr>
          <w:rFonts w:hint="eastAsia"/>
          <w:kern w:val="2"/>
          <w:sz w:val="21"/>
          <w:szCs w:val="21"/>
        </w:rPr>
      </w:pPr>
      <w:r>
        <w:rPr>
          <w:rFonts w:hint="eastAsia"/>
          <w:kern w:val="2"/>
          <w:sz w:val="21"/>
          <w:szCs w:val="21"/>
        </w:rPr>
        <w:t>3、除本合同另有约定外，乙方违反本合同任一约定的，甲方有权采取如下一种或多种救济措施：（1）有权要求乙方立即纠正违约行为并自行承担相应费用；（2）有权要求乙方支付合同总金额</w:t>
      </w:r>
      <w:r>
        <w:rPr>
          <w:rFonts w:hint="eastAsia"/>
          <w:kern w:val="2"/>
          <w:sz w:val="21"/>
          <w:szCs w:val="21"/>
          <w:lang w:val="en-US" w:eastAsia="zh-CN"/>
        </w:rPr>
        <w:t>1</w:t>
      </w:r>
      <w:r>
        <w:rPr>
          <w:rFonts w:hint="eastAsia"/>
          <w:kern w:val="2"/>
          <w:sz w:val="21"/>
          <w:szCs w:val="21"/>
        </w:rPr>
        <w:t>%违约金，如违约金不足以弥补甲方因此遭受经济损失的，还应另行赔偿；（3）有权解除本合同，并要求乙方按照本合同约定支付违约金、赔偿金，并返还甲方先行支付全部款项。</w:t>
      </w:r>
    </w:p>
    <w:p w14:paraId="4B704DC2">
      <w:pPr>
        <w:pStyle w:val="4"/>
        <w:widowControl w:val="0"/>
        <w:spacing w:after="0" w:afterAutospacing="0" w:line="360" w:lineRule="auto"/>
        <w:ind w:firstLine="420" w:firstLineChars="200"/>
        <w:contextualSpacing/>
        <w:jc w:val="both"/>
        <w:rPr>
          <w:rFonts w:hint="eastAsia"/>
          <w:kern w:val="2"/>
          <w:sz w:val="21"/>
          <w:szCs w:val="21"/>
        </w:rPr>
      </w:pPr>
      <w:r>
        <w:rPr>
          <w:rFonts w:hint="eastAsia"/>
          <w:kern w:val="2"/>
          <w:sz w:val="21"/>
          <w:szCs w:val="21"/>
        </w:rPr>
        <w:t>4、如果乙方无正当理由迟延交货，应当向甲方支付违约金，违约金每天按合同总金额的1‰计算，且甲方有权单方面终止本合同，另行确定供应商。在履行合同过程中，如果乙方遇到不能按时交货和提供服务的情况，应及时以书面形式将不能按时交货的理由、预期延误时间通知甲方。甲方收到乙方通知后，认为其理由正当的，可酌情延长交货时间，但甲方保留追究乙方延迟交货的违约责任的权利。</w:t>
      </w:r>
    </w:p>
    <w:p w14:paraId="07DF8D90">
      <w:pPr>
        <w:pStyle w:val="4"/>
        <w:spacing w:line="360" w:lineRule="auto"/>
        <w:ind w:firstLine="420" w:firstLineChars="200"/>
        <w:contextualSpacing/>
        <w:rPr>
          <w:rFonts w:hint="eastAsia"/>
          <w:kern w:val="2"/>
          <w:sz w:val="21"/>
          <w:szCs w:val="21"/>
        </w:rPr>
      </w:pPr>
      <w:r>
        <w:rPr>
          <w:rFonts w:hint="eastAsia"/>
          <w:kern w:val="2"/>
          <w:sz w:val="21"/>
          <w:szCs w:val="21"/>
        </w:rPr>
        <w:t>5、因为货物的包装、品种、型号、规格、包装、数量、质量问题致使未通过交货验收的，视为没有交货，因此造成逾期交货的，按照本合同关于逾期交货的有关约定执行。</w:t>
      </w:r>
    </w:p>
    <w:p w14:paraId="76C2DA8D">
      <w:pPr>
        <w:pStyle w:val="4"/>
        <w:spacing w:line="360" w:lineRule="auto"/>
        <w:ind w:firstLine="420" w:firstLineChars="200"/>
        <w:contextualSpacing/>
        <w:rPr>
          <w:kern w:val="2"/>
          <w:sz w:val="21"/>
          <w:szCs w:val="21"/>
        </w:rPr>
      </w:pPr>
      <w:r>
        <w:rPr>
          <w:rFonts w:hint="eastAsia"/>
          <w:kern w:val="2"/>
          <w:sz w:val="21"/>
          <w:szCs w:val="21"/>
        </w:rPr>
        <w:t>6、如由于甲方原因造成逾期支付合同价款，每逾期1日，应向乙方支付延期价款1‰的违约金。</w:t>
      </w:r>
    </w:p>
    <w:p w14:paraId="5DA8FD45">
      <w:pPr>
        <w:pStyle w:val="4"/>
        <w:spacing w:line="360" w:lineRule="auto"/>
        <w:ind w:firstLine="420" w:firstLineChars="200"/>
        <w:contextualSpacing/>
        <w:rPr>
          <w:kern w:val="2"/>
          <w:sz w:val="21"/>
          <w:szCs w:val="21"/>
        </w:rPr>
      </w:pPr>
      <w:r>
        <w:rPr>
          <w:rFonts w:hint="eastAsia"/>
          <w:kern w:val="2"/>
          <w:sz w:val="21"/>
          <w:szCs w:val="21"/>
        </w:rPr>
        <w:t>7、如乙方因甲方采取司法途径维护其合法权益的，乙方应赔偿甲方因此而支出的律师费、诉讼费、公告费等其他合理费用。</w:t>
      </w:r>
    </w:p>
    <w:p w14:paraId="4C2D4827">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8、如乙方在本合同项下存在对甲方的应付未付款项（包括但不限于违约金、赔偿金、补偿金等），甲方有权直接从应付乙方款项中扣除，且不视为甲方违约。如甲方所扣除款项仍低于乙方应付未付款项的，则乙方应按照甲方要求另行补足。</w:t>
      </w:r>
    </w:p>
    <w:p w14:paraId="683318BF">
      <w:pPr>
        <w:pStyle w:val="4"/>
        <w:widowControl w:val="0"/>
        <w:spacing w:after="0" w:afterAutospacing="0" w:line="360" w:lineRule="auto"/>
        <w:ind w:firstLine="422" w:firstLineChars="200"/>
        <w:contextualSpacing/>
        <w:jc w:val="both"/>
        <w:outlineLvl w:val="1"/>
        <w:rPr>
          <w:rFonts w:cs="Arial"/>
          <w:b/>
          <w:bCs/>
          <w:kern w:val="2"/>
          <w:sz w:val="21"/>
          <w:szCs w:val="21"/>
        </w:rPr>
      </w:pPr>
      <w:bookmarkStart w:id="14" w:name="_Toc223586175"/>
      <w:r>
        <w:rPr>
          <w:rFonts w:hint="eastAsia"/>
          <w:b/>
          <w:bCs/>
          <w:kern w:val="2"/>
          <w:sz w:val="21"/>
          <w:szCs w:val="21"/>
        </w:rPr>
        <w:t>十四、合同生效及其他</w:t>
      </w:r>
      <w:bookmarkEnd w:id="14"/>
    </w:p>
    <w:p w14:paraId="38F5BD9D">
      <w:pPr>
        <w:pStyle w:val="4"/>
        <w:widowControl w:val="0"/>
        <w:spacing w:after="0" w:afterAutospacing="0" w:line="360" w:lineRule="auto"/>
        <w:ind w:firstLine="420" w:firstLineChars="200"/>
        <w:contextualSpacing/>
        <w:jc w:val="both"/>
        <w:rPr>
          <w:rFonts w:cs="Arial"/>
          <w:kern w:val="2"/>
          <w:sz w:val="21"/>
          <w:szCs w:val="21"/>
        </w:rPr>
      </w:pPr>
      <w:r>
        <w:rPr>
          <w:rFonts w:hint="eastAsia" w:cs="Arial"/>
          <w:kern w:val="2"/>
          <w:sz w:val="21"/>
          <w:szCs w:val="21"/>
        </w:rPr>
        <w:t>1、</w:t>
      </w:r>
      <w:r>
        <w:rPr>
          <w:rFonts w:hint="eastAsia"/>
          <w:kern w:val="2"/>
          <w:sz w:val="21"/>
          <w:szCs w:val="21"/>
        </w:rPr>
        <w:t>本合同经双方盖章以及法定代表人或授权代表签字后生效。</w:t>
      </w:r>
    </w:p>
    <w:p w14:paraId="0902FDBC">
      <w:pPr>
        <w:pStyle w:val="4"/>
        <w:widowControl w:val="0"/>
        <w:spacing w:after="0" w:afterAutospacing="0" w:line="360" w:lineRule="auto"/>
        <w:ind w:firstLine="420" w:firstLineChars="200"/>
        <w:contextualSpacing/>
        <w:jc w:val="both"/>
        <w:rPr>
          <w:rFonts w:cs="Arial"/>
          <w:kern w:val="2"/>
          <w:sz w:val="21"/>
          <w:szCs w:val="21"/>
        </w:rPr>
      </w:pPr>
      <w:r>
        <w:rPr>
          <w:rFonts w:hint="eastAsia" w:cs="Arial"/>
          <w:kern w:val="2"/>
          <w:sz w:val="21"/>
          <w:szCs w:val="21"/>
        </w:rPr>
        <w:t>2、</w:t>
      </w:r>
      <w:r>
        <w:rPr>
          <w:rFonts w:hint="eastAsia"/>
          <w:kern w:val="2"/>
          <w:sz w:val="21"/>
          <w:szCs w:val="21"/>
        </w:rPr>
        <w:t>本合同一经签署，未经双方同意，任何一方不得随意更改。本合同所列的附件为本合同的组成部分。</w:t>
      </w:r>
    </w:p>
    <w:p w14:paraId="097CAA08">
      <w:pPr>
        <w:pStyle w:val="4"/>
        <w:widowControl w:val="0"/>
        <w:spacing w:after="0" w:afterAutospacing="0" w:line="360" w:lineRule="auto"/>
        <w:ind w:firstLine="420" w:firstLineChars="200"/>
        <w:contextualSpacing/>
        <w:jc w:val="both"/>
        <w:rPr>
          <w:rFonts w:cs="Arial"/>
          <w:kern w:val="2"/>
          <w:sz w:val="21"/>
          <w:szCs w:val="21"/>
        </w:rPr>
      </w:pPr>
      <w:r>
        <w:rPr>
          <w:rFonts w:hint="eastAsia" w:cs="Arial"/>
          <w:kern w:val="2"/>
          <w:sz w:val="21"/>
          <w:szCs w:val="21"/>
        </w:rPr>
        <w:t>3、</w:t>
      </w:r>
      <w:r>
        <w:rPr>
          <w:rFonts w:hint="eastAsia"/>
          <w:kern w:val="2"/>
          <w:sz w:val="21"/>
          <w:szCs w:val="21"/>
        </w:rPr>
        <w:t>本合同一式</w:t>
      </w:r>
      <w:r>
        <w:rPr>
          <w:rFonts w:hint="eastAsia" w:cs="Arial"/>
          <w:kern w:val="2"/>
          <w:sz w:val="21"/>
          <w:szCs w:val="21"/>
          <w:u w:val="single"/>
        </w:rPr>
        <w:t xml:space="preserve">    </w:t>
      </w:r>
      <w:r>
        <w:rPr>
          <w:rFonts w:hint="eastAsia"/>
          <w:kern w:val="2"/>
          <w:sz w:val="21"/>
          <w:szCs w:val="21"/>
        </w:rPr>
        <w:t>份，甲方执</w:t>
      </w:r>
      <w:r>
        <w:rPr>
          <w:rFonts w:hint="eastAsia"/>
          <w:kern w:val="2"/>
          <w:sz w:val="21"/>
          <w:szCs w:val="21"/>
          <w:u w:val="single"/>
        </w:rPr>
        <w:t xml:space="preserve">    </w:t>
      </w:r>
      <w:r>
        <w:rPr>
          <w:rFonts w:hint="eastAsia"/>
          <w:kern w:val="2"/>
          <w:sz w:val="21"/>
          <w:szCs w:val="21"/>
        </w:rPr>
        <w:t>份，乙方执</w:t>
      </w:r>
      <w:r>
        <w:rPr>
          <w:rFonts w:hint="eastAsia" w:cs="Arial"/>
          <w:kern w:val="2"/>
          <w:sz w:val="21"/>
          <w:szCs w:val="21"/>
          <w:u w:val="single"/>
        </w:rPr>
        <w:t xml:space="preserve">    </w:t>
      </w:r>
      <w:r>
        <w:rPr>
          <w:rFonts w:hint="eastAsia"/>
          <w:kern w:val="2"/>
          <w:sz w:val="21"/>
          <w:szCs w:val="21"/>
        </w:rPr>
        <w:t>份，具有同等法律效力。</w:t>
      </w:r>
    </w:p>
    <w:p w14:paraId="19F8374D">
      <w:pPr>
        <w:pStyle w:val="4"/>
        <w:widowControl w:val="0"/>
        <w:spacing w:after="0" w:afterAutospacing="0" w:line="360" w:lineRule="auto"/>
        <w:ind w:firstLine="420" w:firstLineChars="200"/>
        <w:contextualSpacing/>
        <w:jc w:val="both"/>
        <w:rPr>
          <w:kern w:val="2"/>
          <w:sz w:val="21"/>
          <w:szCs w:val="21"/>
        </w:rPr>
      </w:pPr>
      <w:r>
        <w:rPr>
          <w:rFonts w:hint="eastAsia" w:cs="Arial"/>
          <w:kern w:val="2"/>
          <w:sz w:val="21"/>
          <w:szCs w:val="21"/>
        </w:rPr>
        <w:t>4、</w:t>
      </w:r>
      <w:r>
        <w:rPr>
          <w:rFonts w:hint="eastAsia"/>
          <w:kern w:val="2"/>
          <w:sz w:val="21"/>
          <w:szCs w:val="21"/>
        </w:rPr>
        <w:t>合同中涉及的所有附件作为合同的一部分，与合同主体同等重要，具有相同的法律效力。</w:t>
      </w:r>
    </w:p>
    <w:p w14:paraId="49F1C30B">
      <w:pPr>
        <w:pStyle w:val="4"/>
        <w:widowControl w:val="0"/>
        <w:spacing w:after="0" w:afterAutospacing="0" w:line="360" w:lineRule="auto"/>
        <w:ind w:firstLine="420" w:firstLineChars="200"/>
        <w:contextualSpacing/>
        <w:jc w:val="both"/>
        <w:rPr>
          <w:rFonts w:cs="Arial"/>
          <w:kern w:val="2"/>
          <w:sz w:val="21"/>
          <w:szCs w:val="21"/>
        </w:rPr>
      </w:pPr>
      <w:r>
        <w:rPr>
          <w:rFonts w:hint="eastAsia" w:cs="Arial"/>
          <w:kern w:val="2"/>
          <w:sz w:val="21"/>
          <w:szCs w:val="21"/>
        </w:rPr>
        <w:t>5、双方协商一致，可以对本合同进行补充、修改或变更。对本合同的补充、修改或变更必须以书面形式进行，补充、修改或变更的协议的签署及生效方式与本合同的签署及生效方式相同。</w:t>
      </w:r>
    </w:p>
    <w:p w14:paraId="37E03A5C">
      <w:pPr>
        <w:pStyle w:val="4"/>
        <w:widowControl w:val="0"/>
        <w:spacing w:after="0" w:afterAutospacing="0" w:line="360" w:lineRule="auto"/>
        <w:ind w:firstLine="422" w:firstLineChars="200"/>
        <w:contextualSpacing/>
        <w:jc w:val="both"/>
        <w:outlineLvl w:val="1"/>
        <w:rPr>
          <w:rFonts w:cs="Arial"/>
          <w:b/>
          <w:bCs/>
          <w:kern w:val="2"/>
          <w:sz w:val="21"/>
          <w:szCs w:val="21"/>
        </w:rPr>
      </w:pPr>
      <w:bookmarkStart w:id="15" w:name="_Toc942826230"/>
      <w:r>
        <w:rPr>
          <w:rFonts w:hint="eastAsia"/>
          <w:b/>
          <w:bCs/>
          <w:kern w:val="2"/>
          <w:sz w:val="21"/>
          <w:szCs w:val="21"/>
        </w:rPr>
        <w:t>十五、其他</w:t>
      </w:r>
      <w:bookmarkEnd w:id="15"/>
    </w:p>
    <w:p w14:paraId="09C4B436">
      <w:pPr>
        <w:pStyle w:val="4"/>
        <w:widowControl w:val="0"/>
        <w:spacing w:after="0" w:afterAutospacing="0" w:line="360" w:lineRule="auto"/>
        <w:ind w:firstLine="420" w:firstLineChars="200"/>
        <w:contextualSpacing/>
        <w:jc w:val="both"/>
        <w:rPr>
          <w:rFonts w:cs="Arial"/>
          <w:kern w:val="2"/>
          <w:sz w:val="21"/>
          <w:szCs w:val="21"/>
        </w:rPr>
      </w:pPr>
      <w:r>
        <w:rPr>
          <w:rFonts w:hint="eastAsia" w:cs="Arial"/>
          <w:kern w:val="2"/>
          <w:sz w:val="21"/>
          <w:szCs w:val="21"/>
        </w:rPr>
        <w:t>1、</w:t>
      </w:r>
      <w:r>
        <w:rPr>
          <w:rFonts w:hint="eastAsia"/>
          <w:kern w:val="2"/>
          <w:sz w:val="21"/>
          <w:szCs w:val="21"/>
        </w:rPr>
        <w:t xml:space="preserve"> 如一方改变通讯地址以及其他信息，应当变更后2日内以书面方式通知另一方，否则，由此而造成的损失，由信息发生变更的一方承担。</w:t>
      </w:r>
    </w:p>
    <w:p w14:paraId="164DF3E2">
      <w:pPr>
        <w:pStyle w:val="4"/>
        <w:widowControl w:val="0"/>
        <w:spacing w:after="0" w:afterAutospacing="0" w:line="360" w:lineRule="auto"/>
        <w:ind w:firstLine="420" w:firstLineChars="200"/>
        <w:contextualSpacing/>
        <w:jc w:val="both"/>
        <w:rPr>
          <w:rFonts w:cs="Arial"/>
          <w:kern w:val="2"/>
          <w:sz w:val="21"/>
          <w:szCs w:val="21"/>
        </w:rPr>
      </w:pPr>
      <w:r>
        <w:rPr>
          <w:rFonts w:hint="eastAsia" w:cs="Arial"/>
          <w:kern w:val="2"/>
          <w:sz w:val="21"/>
          <w:szCs w:val="21"/>
        </w:rPr>
        <w:t>2、</w:t>
      </w:r>
      <w:r>
        <w:rPr>
          <w:rFonts w:hint="eastAsia"/>
          <w:kern w:val="2"/>
          <w:sz w:val="21"/>
          <w:szCs w:val="21"/>
        </w:rPr>
        <w:t>其他特别约定：</w:t>
      </w:r>
      <w:r>
        <w:rPr>
          <w:rFonts w:hint="eastAsia" w:cs="Arial"/>
          <w:kern w:val="2"/>
          <w:sz w:val="21"/>
          <w:szCs w:val="21"/>
          <w:u w:val="single"/>
        </w:rPr>
        <w:t xml:space="preserve"> 无 </w:t>
      </w:r>
      <w:r>
        <w:rPr>
          <w:rFonts w:hint="eastAsia" w:cs="Arial"/>
          <w:kern w:val="2"/>
          <w:sz w:val="21"/>
          <w:szCs w:val="21"/>
        </w:rPr>
        <w:t xml:space="preserve">                   </w:t>
      </w:r>
    </w:p>
    <w:p w14:paraId="5A60457E">
      <w:pPr>
        <w:pStyle w:val="4"/>
        <w:widowControl w:val="0"/>
        <w:spacing w:after="0" w:afterAutospacing="0" w:line="360" w:lineRule="auto"/>
        <w:ind w:firstLine="420" w:firstLineChars="200"/>
        <w:contextualSpacing/>
        <w:jc w:val="both"/>
        <w:rPr>
          <w:rFonts w:cs="Arial"/>
          <w:kern w:val="2"/>
          <w:sz w:val="21"/>
          <w:szCs w:val="21"/>
        </w:rPr>
      </w:pPr>
      <w:r>
        <w:rPr>
          <w:rFonts w:hint="eastAsia"/>
          <w:kern w:val="2"/>
          <w:sz w:val="21"/>
          <w:szCs w:val="21"/>
        </w:rPr>
        <w:t>本条款如与合同其他条款冲突，以本条款为准。</w:t>
      </w:r>
    </w:p>
    <w:p w14:paraId="19CA103A">
      <w:pPr>
        <w:pStyle w:val="4"/>
        <w:widowControl w:val="0"/>
        <w:spacing w:after="0" w:afterAutospacing="0" w:line="360" w:lineRule="auto"/>
        <w:ind w:firstLine="420" w:firstLineChars="200"/>
        <w:contextualSpacing/>
        <w:jc w:val="both"/>
        <w:rPr>
          <w:rFonts w:cs="Arial"/>
          <w:kern w:val="2"/>
          <w:sz w:val="21"/>
          <w:szCs w:val="21"/>
        </w:rPr>
      </w:pPr>
      <w:r>
        <w:rPr>
          <w:rFonts w:hint="eastAsia" w:cs="Arial"/>
          <w:kern w:val="2"/>
          <w:sz w:val="21"/>
          <w:szCs w:val="21"/>
        </w:rPr>
        <w:t>3、</w:t>
      </w:r>
      <w:r>
        <w:rPr>
          <w:rFonts w:hint="eastAsia"/>
          <w:kern w:val="2"/>
          <w:sz w:val="21"/>
          <w:szCs w:val="21"/>
        </w:rPr>
        <w:t>本合同未尽事宜，双方可以另行协商签订补充协议，补充协议经双方盖章以及法定代表人或授权代表签字后生效。</w:t>
      </w:r>
    </w:p>
    <w:p w14:paraId="15052D88">
      <w:pPr>
        <w:pStyle w:val="4"/>
        <w:widowControl w:val="0"/>
        <w:spacing w:after="0" w:afterAutospacing="0" w:line="360" w:lineRule="auto"/>
        <w:contextualSpacing/>
        <w:jc w:val="both"/>
        <w:rPr>
          <w:rFonts w:cs="Arial"/>
          <w:kern w:val="2"/>
          <w:sz w:val="21"/>
          <w:szCs w:val="21"/>
        </w:rPr>
      </w:pPr>
    </w:p>
    <w:p w14:paraId="7982B3CF">
      <w:pPr>
        <w:pStyle w:val="4"/>
        <w:widowControl w:val="0"/>
        <w:spacing w:after="0" w:afterAutospacing="0" w:line="360" w:lineRule="auto"/>
        <w:contextualSpacing/>
        <w:jc w:val="both"/>
        <w:rPr>
          <w:rFonts w:hint="eastAsia"/>
          <w:kern w:val="2"/>
          <w:sz w:val="21"/>
          <w:szCs w:val="21"/>
        </w:rPr>
      </w:pPr>
    </w:p>
    <w:p w14:paraId="77BF634B">
      <w:pPr>
        <w:pStyle w:val="3"/>
        <w:spacing w:line="480" w:lineRule="auto"/>
        <w:rPr>
          <w:rFonts w:hint="eastAsia" w:hAnsi="宋体" w:cs="宋体"/>
          <w:sz w:val="22"/>
        </w:rPr>
      </w:pPr>
      <w:r>
        <w:rPr>
          <w:rFonts w:hint="eastAsia" w:hAnsi="宋体" w:cs="宋体"/>
          <w:sz w:val="22"/>
        </w:rPr>
        <w:t>甲方（盖章）：　　　　　　　          乙方（盖章）：</w:t>
      </w:r>
    </w:p>
    <w:p w14:paraId="6721CDAF">
      <w:pPr>
        <w:pStyle w:val="3"/>
        <w:spacing w:line="480" w:lineRule="auto"/>
        <w:rPr>
          <w:rFonts w:hint="eastAsia" w:hAnsi="宋体" w:cs="宋体"/>
          <w:sz w:val="22"/>
        </w:rPr>
      </w:pPr>
      <w:r>
        <w:rPr>
          <w:rFonts w:hint="eastAsia" w:hAnsi="宋体" w:cs="宋体"/>
          <w:sz w:val="22"/>
        </w:rPr>
        <w:t>法定代表人                            法定代表人</w:t>
      </w:r>
    </w:p>
    <w:p w14:paraId="785D9326">
      <w:pPr>
        <w:pStyle w:val="3"/>
        <w:spacing w:line="480" w:lineRule="auto"/>
        <w:rPr>
          <w:rFonts w:hint="eastAsia" w:hAnsi="宋体" w:cs="宋体"/>
          <w:sz w:val="22"/>
        </w:rPr>
      </w:pPr>
      <w:r>
        <w:rPr>
          <w:rFonts w:hint="eastAsia" w:hAnsi="宋体" w:cs="宋体"/>
          <w:sz w:val="22"/>
        </w:rPr>
        <w:t xml:space="preserve">或其授权代表签字(签章):               或其授权代表签字(签章):  </w:t>
      </w:r>
    </w:p>
    <w:p w14:paraId="16480CDC">
      <w:pPr>
        <w:pStyle w:val="3"/>
        <w:spacing w:line="336" w:lineRule="auto"/>
        <w:rPr>
          <w:rFonts w:hAnsi="宋体" w:cs="宋体"/>
          <w:sz w:val="22"/>
        </w:rPr>
      </w:pPr>
      <w:r>
        <w:rPr>
          <w:rFonts w:hint="eastAsia" w:hAnsi="宋体" w:cs="宋体"/>
          <w:sz w:val="22"/>
        </w:rPr>
        <w:t xml:space="preserve">                  </w:t>
      </w:r>
    </w:p>
    <w:p w14:paraId="52C99E14">
      <w:pPr>
        <w:pStyle w:val="3"/>
        <w:spacing w:line="336" w:lineRule="auto"/>
        <w:rPr>
          <w:rFonts w:hint="eastAsia" w:hAnsi="宋体" w:cs="宋体"/>
          <w:sz w:val="22"/>
        </w:rPr>
      </w:pPr>
      <w:r>
        <w:rPr>
          <w:rFonts w:hint="eastAsia" w:ascii="Times New Roman"/>
          <w:sz w:val="22"/>
        </w:rPr>
        <w:t>日期：</w:t>
      </w:r>
      <w:r>
        <w:rPr>
          <w:rFonts w:ascii="Times New Roman"/>
          <w:sz w:val="22"/>
        </w:rPr>
        <w:t>______</w:t>
      </w:r>
      <w:r>
        <w:rPr>
          <w:rFonts w:hint="eastAsia" w:ascii="Times New Roman"/>
          <w:sz w:val="22"/>
        </w:rPr>
        <w:t>年</w:t>
      </w:r>
      <w:r>
        <w:rPr>
          <w:rFonts w:ascii="Times New Roman"/>
          <w:sz w:val="22"/>
        </w:rPr>
        <w:t>____</w:t>
      </w:r>
      <w:r>
        <w:rPr>
          <w:rFonts w:hint="eastAsia" w:ascii="Times New Roman"/>
          <w:sz w:val="22"/>
        </w:rPr>
        <w:t>月</w:t>
      </w:r>
      <w:r>
        <w:rPr>
          <w:rFonts w:ascii="Times New Roman"/>
          <w:sz w:val="22"/>
        </w:rPr>
        <w:t>____</w:t>
      </w:r>
      <w:r>
        <w:rPr>
          <w:rFonts w:hint="eastAsia" w:ascii="Times New Roman"/>
          <w:sz w:val="22"/>
        </w:rPr>
        <w:t>日</w:t>
      </w:r>
      <w:r>
        <w:rPr>
          <w:rFonts w:ascii="Times New Roman"/>
          <w:sz w:val="22"/>
        </w:rPr>
        <w:tab/>
      </w:r>
      <w:r>
        <w:rPr>
          <w:rFonts w:ascii="Times New Roman"/>
          <w:sz w:val="22"/>
        </w:rPr>
        <w:t xml:space="preserve">        </w:t>
      </w:r>
      <w:r>
        <w:rPr>
          <w:rFonts w:hint="eastAsia" w:ascii="Times New Roman"/>
          <w:sz w:val="22"/>
        </w:rPr>
        <w:t xml:space="preserve">  </w:t>
      </w:r>
      <w:r>
        <w:rPr>
          <w:rFonts w:ascii="Times New Roman"/>
          <w:sz w:val="22"/>
        </w:rPr>
        <w:t xml:space="preserve"> </w:t>
      </w:r>
      <w:r>
        <w:rPr>
          <w:rFonts w:hint="eastAsia" w:ascii="Times New Roman"/>
          <w:sz w:val="22"/>
        </w:rPr>
        <w:t>日期：</w:t>
      </w:r>
      <w:r>
        <w:rPr>
          <w:rFonts w:ascii="Times New Roman"/>
          <w:sz w:val="22"/>
        </w:rPr>
        <w:t>______</w:t>
      </w:r>
      <w:r>
        <w:rPr>
          <w:rFonts w:hint="eastAsia" w:ascii="Times New Roman"/>
          <w:sz w:val="22"/>
        </w:rPr>
        <w:t>年</w:t>
      </w:r>
      <w:r>
        <w:rPr>
          <w:rFonts w:ascii="Times New Roman"/>
          <w:sz w:val="22"/>
        </w:rPr>
        <w:t>____</w:t>
      </w:r>
      <w:r>
        <w:rPr>
          <w:rFonts w:hint="eastAsia" w:ascii="Times New Roman"/>
          <w:sz w:val="22"/>
        </w:rPr>
        <w:t>月</w:t>
      </w:r>
      <w:r>
        <w:rPr>
          <w:rFonts w:ascii="Times New Roman"/>
          <w:sz w:val="22"/>
        </w:rPr>
        <w:t>____</w:t>
      </w:r>
      <w:r>
        <w:rPr>
          <w:rFonts w:hint="eastAsia" w:ascii="Times New Roman"/>
          <w:sz w:val="22"/>
        </w:rPr>
        <w:t>日</w:t>
      </w:r>
    </w:p>
    <w:p w14:paraId="5668256D">
      <w:bookmarkStart w:id="16" w:name="_GoBack"/>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pStyle w:val="2"/>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1">
    <w:nsid w:val="7F539717"/>
    <w:multiLevelType w:val="singleLevel"/>
    <w:tmpl w:val="7F539717"/>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4510CE"/>
    <w:rsid w:val="1D4510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numPr>
        <w:ilvl w:val="1"/>
        <w:numId w:val="1"/>
      </w:numPr>
      <w:spacing w:before="120" w:after="60"/>
      <w:outlineLvl w:val="1"/>
    </w:pPr>
    <w:rPr>
      <w:rFonts w:ascii="Calibri" w:hAnsi="Calibri" w:eastAsia="黑体" w:cstheme="majorBidi"/>
      <w:bCs/>
      <w:iCs/>
      <w:kern w:val="32"/>
      <w:sz w:val="28"/>
      <w:szCs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next w:val="1"/>
    <w:qFormat/>
    <w:uiPriority w:val="0"/>
    <w:rPr>
      <w:rFonts w:ascii="宋体" w:hAnsi="Courier New"/>
    </w:rPr>
  </w:style>
  <w:style w:type="paragraph" w:styleId="4">
    <w:name w:val="Normal (Web)"/>
    <w:basedOn w:val="1"/>
    <w:qFormat/>
    <w:uiPriority w:val="99"/>
    <w:pPr>
      <w:widowControl/>
      <w:spacing w:before="100" w:beforeAutospacing="1" w:after="100" w:afterAutospacing="1"/>
      <w:jc w:val="left"/>
    </w:pPr>
    <w:rPr>
      <w:rFonts w:ascii="宋体" w:cs="宋体"/>
      <w:kern w:val="0"/>
      <w:sz w:val="24"/>
      <w:szCs w:val="24"/>
      <w:lang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2025-09-04T10:48:00Z</dcterms:created>
  <dc:creator>YN</dc:creator>
  <cp:lastModifiedBy>YN</cp:lastModifiedBy>
  <dcterms:modified xsi:type="dcterms:W3CDTF">2025-09-04T10:48:39Z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44512235B8B74B9087738C3C02F7AC8E_11</vt:lpwstr>
  </property>
  <property fmtid="{D5CDD505-2E9C-101B-9397-08002B2CF9AE}" pid="4" name="KSOTemplateDocerSaveRecord">
    <vt:lpwstr>eyJoZGlkIjoiY2Q3OWYxYWRkMGY5OTc0YTdkMjQxODZmMmNlMTVkY2EiLCJ1c2VySWQiOiIxMjAzMDYyMzczIn0=</vt:lpwstr>
  </property>
</Properties>
</file>