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版本号：ZKZC-251904520250905001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2025年中央林恢资金（其他自然保护地和野生动物保护）大熊猫等野生动物保护项目饲料采购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ZKZC-2519045</w:t>
      </w:r>
      <w:r>
        <w:br/>
      </w:r>
      <w:r>
        <w:br/>
      </w:r>
      <w:r>
        <w:br/>
      </w:r>
    </w:p>
    <w:p>
      <w:pPr>
        <w:pStyle w:val="null3"/>
        <w:jc w:val="center"/>
        <w:outlineLvl w:val="2"/>
      </w:pPr>
      <w:r>
        <w:rPr>
          <w:rFonts w:ascii="仿宋_GB2312" w:hAnsi="仿宋_GB2312" w:cs="仿宋_GB2312" w:eastAsia="仿宋_GB2312"/>
          <w:sz w:val="28"/>
          <w:b/>
        </w:rPr>
        <w:t>秦岭大熊猫研究中心（陕西省珍稀野生动物救护基地）</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委托，拟对</w:t>
      </w:r>
      <w:r>
        <w:rPr>
          <w:rFonts w:ascii="仿宋_GB2312" w:hAnsi="仿宋_GB2312" w:cs="仿宋_GB2312" w:eastAsia="仿宋_GB2312"/>
        </w:rPr>
        <w:t>2025年中央林恢资金（其他自然保护地和野生动物保护）大熊猫等野生动物保护项目饲料采购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ZKZC-2519045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2025年中央林恢资金（其他自然保护地和野生动物保护）大熊猫等野生动物保护项目饲料采购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采购食用竹子、竹笋等动物饲料</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采购包1（2025年中央林恢资金（其他自然保护地和野生动物保护）大熊猫等野生动物保护项目饲料采购）：属于专门面向中小企业采购。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 ：法定代表人直接参加投标的提供法定代表人证明及其身份证；授权代表参与投标的提供法定代表人授权书（附法定代表人及授权代表身份证）；非法人单位参照执行。</w:t>
      </w:r>
    </w:p>
    <w:p>
      <w:pPr>
        <w:pStyle w:val="null3"/>
      </w:pPr>
      <w:r>
        <w:rPr>
          <w:rFonts w:ascii="仿宋_GB2312" w:hAnsi="仿宋_GB2312" w:cs="仿宋_GB2312" w:eastAsia="仿宋_GB2312"/>
        </w:rPr>
        <w:t>2、信用记录 ：供应商不得为“信用中国”网站（www.creditchina.gov.cn）中被列入失信被执行人和重大税收违法案件当事人名单、不得在“中国政府采购网”（www.ccgp.gov.cn）中被列入严重违法失信行为记录名单。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秦岭大熊猫研究中心（陕西省珍稀野生动物救护基地）</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13892866003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西安市浐灞生态区欧亚一路世园大观3栋5层502室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张倩 陈世勤 郭咪咪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029-85261162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代理服务费收费标准：1.以中标价作为基数，参照发改价格[2011]534号文件及《国家发展改革委关于进一步放开建设项目专业服务价格的通知》（发改价格〔2015〕299号）文的规定标准计取。2.收款账户信息： 户名：中科经纬工程技术有限公司陕西分公司 开户银行：陕西秦农农村商业银行股份有限公司朱雀门支行 银行账号：2701014401201000015319 3.代理服务费可以采取银行转账或现金等方式支付。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负责解释。除上述招标文件内容，其他内容由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满足采购需求中的技术参数与性能指标要求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联系人：张倩 陈世勤</w:t>
      </w:r>
    </w:p>
    <w:p>
      <w:pPr>
        <w:pStyle w:val="null3"/>
      </w:pPr>
      <w:r>
        <w:rPr>
          <w:rFonts w:ascii="仿宋_GB2312" w:hAnsi="仿宋_GB2312" w:cs="仿宋_GB2312" w:eastAsia="仿宋_GB2312"/>
        </w:rPr>
        <w:t>联系电话：029-85261162</w:t>
      </w:r>
    </w:p>
    <w:p>
      <w:pPr>
        <w:pStyle w:val="null3"/>
      </w:pPr>
      <w:r>
        <w:rPr>
          <w:rFonts w:ascii="仿宋_GB2312" w:hAnsi="仿宋_GB2312" w:cs="仿宋_GB2312" w:eastAsia="仿宋_GB2312"/>
        </w:rPr>
        <w:t>地址：陕西省西安市浐灞生态区欧亚一路世园大观3栋5层502室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采购食用竹子、竹笋等动物饲料。</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竹子</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竹笋</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pPr>
            <w:r>
              <w:rPr>
                <w:rFonts w:ascii="仿宋_GB2312" w:hAnsi="仿宋_GB2312" w:cs="仿宋_GB2312" w:eastAsia="仿宋_GB2312"/>
              </w:rPr>
              <w:t>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标的名称：竹子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1.非进口新鲜大熊猫食用竹，新鲜竹梢，带竹叶。竹梢长≤1.5米（竹稍以下），当日采割的无污染（包括动物疫病、污水、泥土砂石、植物藤条、锈病等）新鲜竹子。不得出现光杆、干枯竹叶和中间拦截的现象。</w:t>
            </w:r>
          </w:p>
          <w:p>
            <w:pPr>
              <w:pStyle w:val="null3"/>
            </w:pPr>
            <w:r>
              <w:rPr>
                <w:rFonts w:ascii="仿宋_GB2312" w:hAnsi="仿宋_GB2312" w:cs="仿宋_GB2312" w:eastAsia="仿宋_GB2312"/>
                <w:b/>
              </w:rPr>
              <w:t>★</w:t>
            </w:r>
            <w:r>
              <w:rPr>
                <w:rFonts w:ascii="仿宋_GB2312" w:hAnsi="仿宋_GB2312" w:cs="仿宋_GB2312" w:eastAsia="仿宋_GB2312"/>
              </w:rPr>
              <w:t>2.供应当地须有周转冷藏库，专业的冷藏运输车辆。</w:t>
            </w:r>
          </w:p>
          <w:p>
            <w:pPr>
              <w:pStyle w:val="null3"/>
            </w:pPr>
            <w:r>
              <w:rPr>
                <w:rFonts w:ascii="仿宋_GB2312" w:hAnsi="仿宋_GB2312" w:cs="仿宋_GB2312" w:eastAsia="仿宋_GB2312"/>
                <w:b/>
              </w:rPr>
              <w:t>★</w:t>
            </w:r>
            <w:r>
              <w:rPr>
                <w:rFonts w:ascii="仿宋_GB2312" w:hAnsi="仿宋_GB2312" w:cs="仿宋_GB2312" w:eastAsia="仿宋_GB2312"/>
              </w:rPr>
              <w:t>3.为保证竹子正常供应，须有一年以上供应从业经验。</w:t>
            </w:r>
          </w:p>
          <w:p>
            <w:pPr>
              <w:pStyle w:val="null3"/>
            </w:pPr>
            <w:r>
              <w:rPr>
                <w:rFonts w:ascii="仿宋_GB2312" w:hAnsi="仿宋_GB2312" w:cs="仿宋_GB2312" w:eastAsia="仿宋_GB2312"/>
              </w:rPr>
              <w:t>最高限价：1.32元/斤、采购数量：530000斤</w:t>
            </w:r>
          </w:p>
        </w:tc>
      </w:tr>
    </w:tbl>
    <w:p>
      <w:pPr>
        <w:pStyle w:val="null3"/>
      </w:pPr>
      <w:r>
        <w:rPr>
          <w:rFonts w:ascii="仿宋_GB2312" w:hAnsi="仿宋_GB2312" w:cs="仿宋_GB2312" w:eastAsia="仿宋_GB2312"/>
        </w:rPr>
        <w:t>标的名称：竹笋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非进口新鲜大熊猫食用竹笋，要求新鲜，满足GB/T30762-2014标准。</w:t>
            </w:r>
            <w:r>
              <w:br/>
            </w:r>
            <w:r>
              <w:rPr>
                <w:rFonts w:ascii="仿宋_GB2312" w:hAnsi="仿宋_GB2312" w:cs="仿宋_GB2312" w:eastAsia="仿宋_GB2312"/>
                <w:b/>
              </w:rPr>
              <w:t>★</w:t>
            </w:r>
            <w:r>
              <w:rPr>
                <w:rFonts w:ascii="仿宋_GB2312" w:hAnsi="仿宋_GB2312" w:cs="仿宋_GB2312" w:eastAsia="仿宋_GB2312"/>
              </w:rPr>
              <w:t>1.竹笋应新鲜饱满，无腐烂、无霉变和无病虫害斑点，根部切口平整；品种为：雷竹笋 、牛尾笋 、斑竹笋、 木竹笋。</w:t>
            </w:r>
            <w:r>
              <w:br/>
            </w:r>
            <w:r>
              <w:rPr>
                <w:rFonts w:ascii="仿宋_GB2312" w:hAnsi="仿宋_GB2312" w:cs="仿宋_GB2312" w:eastAsia="仿宋_GB2312"/>
              </w:rPr>
              <w:t xml:space="preserve"> 2.笋壳紧包，无异常斑点，无损伤，无裂口，根部未长根。</w:t>
            </w:r>
            <w:r>
              <w:br/>
            </w:r>
            <w:r>
              <w:rPr>
                <w:rFonts w:ascii="仿宋_GB2312" w:hAnsi="仿宋_GB2312" w:cs="仿宋_GB2312" w:eastAsia="仿宋_GB2312"/>
              </w:rPr>
              <w:t xml:space="preserve"> 3.竹笋不允许有外来杂质，固有杂质≤3%，缺陷笋无或≤2.0%。</w:t>
            </w:r>
            <w:r>
              <w:br/>
            </w:r>
            <w:r>
              <w:rPr>
                <w:rFonts w:ascii="仿宋_GB2312" w:hAnsi="仿宋_GB2312" w:cs="仿宋_GB2312" w:eastAsia="仿宋_GB2312"/>
              </w:rPr>
              <w:t xml:space="preserve"> ▲4.卫生要求，真菌毒素应符合GB2761的规定，污染物应符合GB2762的规定，农药残留应符合GB2763的规定，食品添加剂的质量应符合相应的国家安全标准和相关公告的规定，食品添加剂的品种、使用范围、最大使用量或残留量应符合GB2760和相关公告的规定。</w:t>
            </w:r>
            <w:r>
              <w:br/>
            </w:r>
            <w:r>
              <w:rPr>
                <w:rFonts w:ascii="仿宋_GB2312" w:hAnsi="仿宋_GB2312" w:cs="仿宋_GB2312" w:eastAsia="仿宋_GB2312"/>
              </w:rPr>
              <w:t xml:space="preserve"> ▲5.包装容器应坚固耐用、清洁卫生、干燥、无异味，内外均无刺伤方竹笋的尖突物，并有合适的通气孔，对产品具有良好的保护作用；包装材料无毒、无污染、无异味，应符合国家相应国家安全标准。</w:t>
            </w:r>
            <w:r>
              <w:br/>
            </w:r>
            <w:r>
              <w:rPr>
                <w:rFonts w:ascii="仿宋_GB2312" w:hAnsi="仿宋_GB2312" w:cs="仿宋_GB2312" w:eastAsia="仿宋_GB2312"/>
                <w:b/>
              </w:rPr>
              <w:t>★</w:t>
            </w:r>
            <w:r>
              <w:rPr>
                <w:rFonts w:ascii="仿宋_GB2312" w:hAnsi="仿宋_GB2312" w:cs="仿宋_GB2312" w:eastAsia="仿宋_GB2312"/>
              </w:rPr>
              <w:t>6.供应当地须有周转冷藏库，专业的冷藏运输车辆。</w:t>
            </w:r>
            <w:r>
              <w:br/>
            </w:r>
            <w:r>
              <w:rPr>
                <w:rFonts w:ascii="仿宋_GB2312" w:hAnsi="仿宋_GB2312" w:cs="仿宋_GB2312" w:eastAsia="仿宋_GB2312"/>
                <w:b/>
              </w:rPr>
              <w:t>★</w:t>
            </w:r>
            <w:r>
              <w:rPr>
                <w:rFonts w:ascii="仿宋_GB2312" w:hAnsi="仿宋_GB2312" w:cs="仿宋_GB2312" w:eastAsia="仿宋_GB2312"/>
              </w:rPr>
              <w:t>7.需提供有效期内的竹笋外检报告。</w:t>
            </w:r>
            <w:r>
              <w:br/>
            </w:r>
            <w:r>
              <w:rPr>
                <w:rFonts w:ascii="仿宋_GB2312" w:hAnsi="仿宋_GB2312" w:cs="仿宋_GB2312" w:eastAsia="仿宋_GB2312"/>
                <w:b/>
              </w:rPr>
              <w:t>★</w:t>
            </w:r>
            <w:r>
              <w:rPr>
                <w:rFonts w:ascii="仿宋_GB2312" w:hAnsi="仿宋_GB2312" w:cs="仿宋_GB2312" w:eastAsia="仿宋_GB2312"/>
              </w:rPr>
              <w:t>8.为保证竹笋正常供应，须有一年以上供应从业经验。</w:t>
            </w:r>
          </w:p>
          <w:p>
            <w:pPr>
              <w:pStyle w:val="null3"/>
            </w:pPr>
            <w:r>
              <w:rPr>
                <w:rFonts w:ascii="仿宋_GB2312" w:hAnsi="仿宋_GB2312" w:cs="仿宋_GB2312" w:eastAsia="仿宋_GB2312"/>
              </w:rPr>
              <w:t>最高限价：3.20元/斤、采购数量：400000斤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合同签订后，根据采购人的配送数量及周期进行配送，采购人根据配送数量结合成交单价计算后按月结算，服务周期至2025年12月31日。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秦岭大熊猫研究中心（陕西省珍稀野生动物救护基地）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按成交单价*每月实际验收货物量结算，每月供货完成后，采购人收到发票后次月结算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完成后，成交人提交验收申请。2.采购人收到验收申请后组织验收，验收时成交人应无条件予以配合并提供验收所需的全部资料，若成交人不配合或者未按合同要求提供服务的，采购人将拒绝验收。3.验收合格之前，货物损坏、灭失的风险、运输造成的质量问题由成交人负责，损失由成交人承担。4.验收依据：招标文件、投标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无腐烂、变质。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中标人未按合同要求提供货物与服务或货物与服务质量不能满足技术要求，且在规定时间内未使采购人满意的，采购人有权终止合同，同时报请监管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成交人负责办理将服务或伴随的货物运抵采购单位指定服务地点的一切事项。凡涉及的货物包装、配送、售后服务、税金、验收等，所有费用一次性计入投标总价，合同履约过程中采购人不再支付其他额外费用。2.运输工具应无毒、清洁、干燥、无污染、无异味、无腐蚀性，不应与有毒、有害和有异味的物品混运。运输时应防潮、防雨、防晒、防污染。3.售后响应时间:接到采购人售后要求后，2小时内远程响应，12 小时内给出解决方案，若远程无法解决问题 24 小时内安排专人到达现场处理。4.供应商应保证投标服务及货物不会出现因第三方提出侵犯其专利权商标权或其它知识产权而引发法律或经济纠纷，否则由成交人承担全部责任。任何被成交人用于未经授权的商业目的行为所造成的违约或侵权责任由成交人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相应证明文件证明，非法人单位参照执行，自然人提供身份证明）；2）具有履行合同所必需的设备和专业技术能力（提供承诺函）；3）有依法缴纳税收和社会保障资金的良好记录税收缴纳证明：提供响应文件提交截止时间前十二个月内任意一月已缴纳的纳税证明或完税证明（包含增值税、企业所得税至少一种) , 依法免税或不需要缴纳税收的供应商应提供相关证明文件；4）社保缴纳证明：提供响应文件提交截止时间前十二个月内任意一月已缴存的社会保障资金缴费证明或参保证明，依法不需要缴纳社会保障资金的供应商应提供相关证明文件；5）参加政府采购活动前三年内，在经营活动中没有重大违法记录（提供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或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法定代表人直接参加投标的提供法定代表人证明及其身份证；授权代表参与投标的提供法定代表人授权书（附法定代表人及授权代表身份证）；非法人单位参照执行。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供应商不得为“信用中国”网站（www.creditchina.gov.cn）中被列入失信被执行人和重大税收违法案件当事人名单、不得在“中国政府采购网”（www.ccgp.gov.cn）中被列入严重违法失信行为记录名单。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（1）《政府采购促进中小企业发展管理办法》（财库〔2020〕46号）； （2）《财政部 司法部关于政府采购支持监狱企业发展有关问题的通知》（财库〔2014〕68号）； （3）《国务院办公厅关于建立政府强制采购节能产品制度的通知》（国发办〔2007〕51号）； （4）《关于印发节能产品政府采购品目清单的通知》（财库〔2019〕19号）； （5）《关于印发环境标志产品政府采购品目清单的通知》（财库〔2019〕18号）； （6）《三部门联合发布关于促进残疾人就业政府采购政策的通知》（财库〔2017〕141号）； （7）《财政部 发展改革委 生态环境部 市场监管总局关于调整优化节能产品、环境标志产品政府采购执行机制的通知》（财库〔2019〕9号）； （8）陕西省财政厅关于印发《陕西省中小企业政府采购信用融资办法》（陕财办采〔2018〕23号）； （9）《财政部 农业农村部 国家乡村振兴局关于运用政府采购政策支持乡村产业振兴的通知》（财库〔2021〕19 号）； （10）《财政部 农业农村部 国家乡村振兴局 中华全国供销合作总社关于印发&lt;关于深入开展政府采购脱贫地区农副产品工作推进乡村产业振兴的实施意见&gt;的通知》（财库〔2021〕20号）；（11）《陕西省财政厅关于加快推进我省中小企业政府采购信用融资工作的通知》（陕财办采〔2020〕15号）； （12）《关于进一步加强政府绿色采购有关问题的通知》（陕财办采〔2021〕29号）； （13）《陕西省财政厅、中国人民银行西安分行关于深入推进政府采购信用融资业务的通知》（陕财办采〔2023〕5号）； （14）其他需要落实的政府采购政策。</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报价一览表及分项报价表.docx ..技术和商务偏离表.docx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签字盖章、格式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报价一览表及分项报价表.docx 开标一览表 业绩.docx 供应商应提交的相关资格证明材料.docx ..技术和商务偏离表.docx 投标函 投标响应方案说明.docx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..技术和商务偏离表.docx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报价是固定价且未超过预算金额（采购文件有最高限价的报价未超过最高限价）</w:t>
            </w:r>
          </w:p>
        </w:tc>
        <w:tc>
          <w:tcPr>
            <w:tcW w:type="dxa" w:w="1661"/>
          </w:tcPr>
          <w:p>
            <w:pPr>
              <w:pStyle w:val="null3"/>
            </w:pPr>
            <w:r>
              <w:rPr>
                <w:rFonts w:ascii="仿宋_GB2312" w:hAnsi="仿宋_GB2312" w:cs="仿宋_GB2312" w:eastAsia="仿宋_GB2312"/>
              </w:rPr>
              <w:t>报价一览表及分项报价表.docx 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投标产品技术规格响应招标文件要求的得20分。基本参数每有1条参数负偏离扣1分，扣完为止。 技术参数“▲”项，每负偏离1项扣2分；非“▲”项，每负偏离一项扣1分，扣完为止。 标记“★”参数为实质性参数，供应商必须响应并满足。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报价一览表及分项报价表.docx</w:t>
            </w:r>
          </w:p>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投标响应方案说明.docx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针对本项目提供实施方案说明，方案包括但不限于：（1）项目进度安排（2）组织协调措施。 ①方案完整全面、可实施性强，完全满足采购需求得10-15分； ②方案基本全面、可实施性较强，基本满足采购需求得5-10分； ③方案部分全面、可实施性一般，部分满足采购需求得1-5分。 注：未提供不得分。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投标响应方案说明.docx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投标产品：产品选型合理，货源正规，避免出现侵权等行为，所供产品安全可靠，符合采购需求，提供证明材料。 ① 产品选型合理，来源渠道明确，证明材料齐全，满足采购需求得5-7 分；②投标产品有明确选型但来源渠道不明确或证明材料不齐全得2-5分； ③投标产品无明确的选型或无来源证明或证明材料与投标产品不符得1-2分。注：未提供不得分。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投标响应方案说明.docx</w:t>
            </w:r>
          </w:p>
        </w:tc>
      </w:tr>
      <w:tr>
        <w:tc>
          <w:tcPr>
            <w:tcW w:type="dxa" w:w="831"/>
            <w:vMerge/>
          </w:tcPr>
          <w:p/>
        </w:tc>
        <w:tc>
          <w:tcPr>
            <w:tcW w:type="dxa" w:w="1661"/>
          </w:tcPr>
          <w:p>
            <w:pPr>
              <w:pStyle w:val="null3"/>
            </w:pPr>
            <w:r>
              <w:rPr>
                <w:rFonts w:ascii="仿宋_GB2312" w:hAnsi="仿宋_GB2312" w:cs="仿宋_GB2312" w:eastAsia="仿宋_GB2312"/>
              </w:rPr>
              <w:t>运输车辆</w:t>
            </w:r>
          </w:p>
        </w:tc>
        <w:tc>
          <w:tcPr>
            <w:tcW w:type="dxa" w:w="2492"/>
          </w:tcPr>
          <w:p>
            <w:pPr>
              <w:pStyle w:val="null3"/>
            </w:pPr>
            <w:r>
              <w:rPr>
                <w:rFonts w:ascii="仿宋_GB2312" w:hAnsi="仿宋_GB2312" w:cs="仿宋_GB2312" w:eastAsia="仿宋_GB2312"/>
              </w:rPr>
              <w:t>针对本项目提供运输车辆，提供拟投入车辆相关资料。 1.车辆证明材料完整、手续完善，完全满足采购需求得 5-7分； 2.车辆证明材料基本完整、手续基本完善，基本满足采购需求得 2-5分； 3.车辆证明材料、手续欠缺，无法保障项目顺利实施得 1-2分。注：未提供不得分。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投标响应方案说明.docx</w:t>
            </w:r>
          </w:p>
        </w:tc>
      </w:tr>
      <w:tr>
        <w:tc>
          <w:tcPr>
            <w:tcW w:type="dxa" w:w="831"/>
            <w:vMerge/>
          </w:tcPr>
          <w:p/>
        </w:tc>
        <w:tc>
          <w:tcPr>
            <w:tcW w:type="dxa" w:w="1661"/>
          </w:tcPr>
          <w:p>
            <w:pPr>
              <w:pStyle w:val="null3"/>
            </w:pPr>
            <w:r>
              <w:rPr>
                <w:rFonts w:ascii="仿宋_GB2312" w:hAnsi="仿宋_GB2312" w:cs="仿宋_GB2312" w:eastAsia="仿宋_GB2312"/>
              </w:rPr>
              <w:t>团队建设</w:t>
            </w:r>
          </w:p>
        </w:tc>
        <w:tc>
          <w:tcPr>
            <w:tcW w:type="dxa" w:w="2492"/>
          </w:tcPr>
          <w:p>
            <w:pPr>
              <w:pStyle w:val="null3"/>
            </w:pPr>
            <w:r>
              <w:rPr>
                <w:rFonts w:ascii="仿宋_GB2312" w:hAnsi="仿宋_GB2312" w:cs="仿宋_GB2312" w:eastAsia="仿宋_GB2312"/>
              </w:rPr>
              <w:t>团队成员能力经验能够确保项目顺利实施，针对本项目有专业服务团队及组织构架（管理架构、管理职责、管理制度、岗位设置、人员培训等）。 ①人员安排充足、详细，职责划分明确，岗位设置合理得4-6分； ②人员安排充足，但职责划分不明确、岗位设置不合理得2-4分； ③人员安排不充足、职责划分不明确、岗位设置不合理得1-2分。 注：未提供不得分。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投标响应方案说明.docx</w:t>
            </w:r>
          </w:p>
        </w:tc>
      </w:tr>
      <w:tr>
        <w:tc>
          <w:tcPr>
            <w:tcW w:type="dxa" w:w="831"/>
            <w:vMerge/>
          </w:tcPr>
          <w:p/>
        </w:tc>
        <w:tc>
          <w:tcPr>
            <w:tcW w:type="dxa" w:w="1661"/>
          </w:tcPr>
          <w:p>
            <w:pPr>
              <w:pStyle w:val="null3"/>
            </w:pPr>
            <w:r>
              <w:rPr>
                <w:rFonts w:ascii="仿宋_GB2312" w:hAnsi="仿宋_GB2312" w:cs="仿宋_GB2312" w:eastAsia="仿宋_GB2312"/>
              </w:rPr>
              <w:t>应急及质量控制措施</w:t>
            </w:r>
          </w:p>
        </w:tc>
        <w:tc>
          <w:tcPr>
            <w:tcW w:type="dxa" w:w="2492"/>
          </w:tcPr>
          <w:p>
            <w:pPr>
              <w:pStyle w:val="null3"/>
            </w:pPr>
            <w:r>
              <w:rPr>
                <w:rFonts w:ascii="仿宋_GB2312" w:hAnsi="仿宋_GB2312" w:cs="仿宋_GB2312" w:eastAsia="仿宋_GB2312"/>
              </w:rPr>
              <w:t>针对本项目提供详细的措施，包括但不限于：（1）应急方案及措施（2）质量问题补救措施（3）验收措施。 ①措施合理，可操作性强得4-6分； ②措施较合理，可操作性较强得2-4分； ③措施较差，可操行性一般得1-2分. 注：不提供不得分。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针对本项目制定详细的售后服务方案，包括但不限于：（1）售后服务机构情况（2）售后服务人员安排（3）售后服务响应时间与处理时间（4）售后服务内容及方式。 ①售后服务方案内容完整详细，具有很强的针对性，且完全满足项目需求得3-5分； ②售后服务方案内容较为完整详细，具有较强的针对性，基本满足项目需求得2-3分； ③售后服务方案内容简单，针对性弱，不能满足项目需求得1-2分。注：未提供不得分。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 2021年1月至今类似项目业绩，以加盖投标人公章的合同复印件为准，时间以合同签订时间为准，否则不得分，每提供一项得2分，最多得4分。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投标响应方案说明.docx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30×（评标基准价/投标报价）价格分计算四舍五入，保留两位小数。满足落实政府采购相关政策的,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报价一览表及分项报价表.docx</w:t>
            </w:r>
          </w:p>
          <w:p>
            <w:pPr>
              <w:pStyle w:val="null3"/>
            </w:pPr>
            <w:r>
              <w:rPr>
                <w:rFonts w:ascii="仿宋_GB2312" w:hAnsi="仿宋_GB2312" w:cs="仿宋_GB2312" w:eastAsia="仿宋_GB2312"/>
              </w:rPr>
              <w:t>..技术和商务偏离表.docx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详见附件：竹子、竹笋采购合同.docx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