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版本号：GCZB2025-09-178-Y20250904001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组织血氧分析仪采购项目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GCZB2025-09-178-Y</w:t>
      </w:r>
      <w:r>
        <w:br/>
      </w:r>
      <w:r>
        <w:br/>
      </w:r>
      <w:r>
        <w:br/>
      </w:r>
    </w:p>
    <w:p>
      <w:pPr>
        <w:pStyle w:val="null3"/>
        <w:jc w:val="center"/>
        <w:outlineLvl w:val="2"/>
      </w:pPr>
      <w:r>
        <w:rPr>
          <w:rFonts w:ascii="仿宋_GB2312" w:hAnsi="仿宋_GB2312" w:cs="仿宋_GB2312" w:eastAsia="仿宋_GB2312"/>
          <w:sz w:val="28"/>
          <w:b/>
        </w:rPr>
        <w:t>西北大学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西北大学</w:t>
      </w:r>
      <w:r>
        <w:rPr>
          <w:rFonts w:ascii="仿宋_GB2312" w:hAnsi="仿宋_GB2312" w:cs="仿宋_GB2312" w:eastAsia="仿宋_GB2312"/>
        </w:rPr>
        <w:t>委托，拟对</w:t>
      </w:r>
      <w:r>
        <w:rPr>
          <w:rFonts w:ascii="仿宋_GB2312" w:hAnsi="仿宋_GB2312" w:cs="仿宋_GB2312" w:eastAsia="仿宋_GB2312"/>
        </w:rPr>
        <w:t>组织血氧分析仪采购项目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GCZB2025-09-178-Y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组织血氧分析仪采购项目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西北大学组织血氧分析仪采购项目，具体详见第三章技术要求。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采购包1（西北大学组织血氧分析仪采购项目）：属于专门面向中小企业采购。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3、税收缴纳证明：提供递交投标文件截止之日前一年内任意一个月的依法缴纳税收的相关凭据，凭据应有税务机关或代收机关的公章或业务专用章。依法免税或无须缴纳税收的供应商应提供相应证明文件；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4、社会保障资金缴纳证明：提供递交投标文件截止之日前一年内任意一个月的社会保障资金缴存单据或社保机构开具的社会保险参保缴费情况证明。依法不需要缴纳社会保障资金的供应商应提供相关证明文件；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中小企业声明函：本项目为专门面向中小企业采购，投标产品的制造商应为中小微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p>
      <w:pPr>
        <w:pStyle w:val="null3"/>
      </w:pPr>
      <w:r>
        <w:rPr>
          <w:rFonts w:ascii="仿宋_GB2312" w:hAnsi="仿宋_GB2312" w:cs="仿宋_GB2312" w:eastAsia="仿宋_GB2312"/>
        </w:rPr>
        <w:t>9、直接控股、管理关系：单位负责人为同一人或存在直接控股、管理关系的不同单位，不得同时参加本项目投标活动。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西北大学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西安市长安区郭杜教育科技产业区学府大道1号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029-88302565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采购包1保证金金额：9,000.00元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说明：合同签订前缴纳，缴纳金额为合同金额的5% ；退还方式：待验收合格后凭收据和验收单复印件无息退还。 转账银行：交通银行太白路支行 转账账号：西北大学 611301015018001145006 说明：转账金额到账后，可持银行回执到西北大学采购与招标办公室换取收据。 待合同执行完毕、项目验收合格后凭验收单和缴款收据，合同履约保证金予以退还。如遇下列情况之一者，合同履约保证金不予退还，作为对采购人的赔偿：（1）合同签订后不能按合同时限要求供货或安装调试；（2）所供货物不合格、与合同不符；（3）不能按合同履约；（4）货物验收不合格。</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20%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西北大学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西北大学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西北大学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西北大学组织血氧分析仪采购项目，拟采购组织血氧分析仪，1套。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组织血氧分析仪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标的名称：组织血氧分析仪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72"/>
              <w:gridCol w:w="436"/>
              <w:gridCol w:w="1387"/>
              <w:gridCol w:w="245"/>
              <w:gridCol w:w="245"/>
            </w:tblGrid>
            <w:tr>
              <w:tc>
                <w:tcPr>
                  <w:tcW w:type="dxa" w:w="1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序号</w:t>
                  </w:r>
                </w:p>
              </w:tc>
              <w:tc>
                <w:tcPr>
                  <w:tcW w:type="dxa" w:w="4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货物名称</w:t>
                  </w:r>
                </w:p>
              </w:tc>
              <w:tc>
                <w:tcPr>
                  <w:tcW w:type="dxa" w:w="1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技术参数</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数量</w:t>
                  </w:r>
                </w:p>
              </w:tc>
              <w:tc>
                <w:tcPr>
                  <w:tcW w:type="dxa" w:w="2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单位</w:t>
                  </w:r>
                </w:p>
              </w:tc>
            </w:tr>
            <w:tr>
              <w:tc>
                <w:tcPr>
                  <w:tcW w:type="dxa" w:w="17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4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组织血氧分析仪</w:t>
                  </w:r>
                </w:p>
              </w:tc>
              <w:tc>
                <w:tcPr>
                  <w:tcW w:type="dxa" w:w="1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b/>
                    </w:rPr>
                    <w:t>一、技术参数</w:t>
                  </w:r>
                </w:p>
                <w:p>
                  <w:pPr>
                    <w:pStyle w:val="null3"/>
                    <w:jc w:val="both"/>
                  </w:pPr>
                  <w:r>
                    <w:rPr>
                      <w:rFonts w:ascii="仿宋_GB2312" w:hAnsi="仿宋_GB2312" w:cs="仿宋_GB2312" w:eastAsia="仿宋_GB2312"/>
                      <w:sz w:val="21"/>
                    </w:rPr>
                    <w:t>1.主要功能：用于对组织血流速度、血氧饱和度绝对值的无创检测以及实时成像，测量及成像结果可对于组织（心脏冠脉、皮肤、下肢等）血运功能的评价。</w:t>
                  </w:r>
                </w:p>
                <w:p>
                  <w:pPr>
                    <w:pStyle w:val="null3"/>
                    <w:jc w:val="both"/>
                  </w:pPr>
                  <w:r>
                    <w:rPr>
                      <w:rFonts w:ascii="仿宋_GB2312" w:hAnsi="仿宋_GB2312" w:cs="仿宋_GB2312" w:eastAsia="仿宋_GB2312"/>
                      <w:sz w:val="21"/>
                    </w:rPr>
                    <w:t>2.检测方式：仪器照射组织进行成像。</w:t>
                  </w:r>
                </w:p>
                <w:p>
                  <w:pPr>
                    <w:pStyle w:val="null3"/>
                    <w:jc w:val="both"/>
                  </w:pPr>
                  <w:r>
                    <w:rPr>
                      <w:rFonts w:ascii="仿宋_GB2312" w:hAnsi="仿宋_GB2312" w:cs="仿宋_GB2312" w:eastAsia="仿宋_GB2312"/>
                      <w:sz w:val="21"/>
                    </w:rPr>
                    <w:t>3.检测成分：血流流速与灌注量测量、氧合血红蛋白浓度绝对值、脱氧血红蛋白浓度绝对值、组织血氧饱和度绝对值。</w:t>
                  </w:r>
                </w:p>
                <w:p>
                  <w:pPr>
                    <w:pStyle w:val="null3"/>
                    <w:jc w:val="both"/>
                  </w:pPr>
                  <w:r>
                    <w:rPr>
                      <w:rFonts w:ascii="仿宋_GB2312" w:hAnsi="仿宋_GB2312" w:cs="仿宋_GB2312" w:eastAsia="仿宋_GB2312"/>
                      <w:sz w:val="21"/>
                    </w:rPr>
                    <w:t>4.★检测激光光源采用三种波长：670nm+785nm+850nm。</w:t>
                  </w:r>
                </w:p>
                <w:p>
                  <w:pPr>
                    <w:pStyle w:val="null3"/>
                    <w:jc w:val="both"/>
                  </w:pPr>
                  <w:r>
                    <w:rPr>
                      <w:rFonts w:ascii="仿宋_GB2312" w:hAnsi="仿宋_GB2312" w:cs="仿宋_GB2312" w:eastAsia="仿宋_GB2312"/>
                      <w:sz w:val="21"/>
                    </w:rPr>
                    <w:t>5.★采用空间频域成像原理，可投射结构光，采集血流、血氧信息。</w:t>
                  </w:r>
                </w:p>
                <w:p>
                  <w:pPr>
                    <w:pStyle w:val="null3"/>
                    <w:jc w:val="both"/>
                  </w:pPr>
                  <w:r>
                    <w:rPr>
                      <w:rFonts w:ascii="仿宋_GB2312" w:hAnsi="仿宋_GB2312" w:cs="仿宋_GB2312" w:eastAsia="仿宋_GB2312"/>
                      <w:sz w:val="21"/>
                    </w:rPr>
                    <w:t>6.★ 输出指标：血流灌注量曲线、氧合血红蛋白浓度绝对值、脱氧血红蛋白浓度绝对值、组织血氧饱和度绝对值。</w:t>
                  </w:r>
                </w:p>
                <w:p>
                  <w:pPr>
                    <w:pStyle w:val="null3"/>
                    <w:jc w:val="both"/>
                  </w:pPr>
                  <w:r>
                    <w:rPr>
                      <w:rFonts w:ascii="仿宋_GB2312" w:hAnsi="仿宋_GB2312" w:cs="仿宋_GB2312" w:eastAsia="仿宋_GB2312"/>
                      <w:sz w:val="21"/>
                    </w:rPr>
                    <w:t>7.★系统集成手术微操光学系统与血流血氧成像光学系统（光学显微镜与血氧成像系统共用一套光路）；能同时满足观察血流血氧图像和进行微操手术的要求。</w:t>
                  </w:r>
                </w:p>
                <w:p>
                  <w:pPr>
                    <w:pStyle w:val="null3"/>
                    <w:jc w:val="both"/>
                  </w:pPr>
                  <w:r>
                    <w:rPr>
                      <w:rFonts w:ascii="仿宋_GB2312" w:hAnsi="仿宋_GB2312" w:cs="仿宋_GB2312" w:eastAsia="仿宋_GB2312"/>
                      <w:sz w:val="21"/>
                    </w:rPr>
                    <w:t>8.▲探测面积≥20cm×15cm。</w:t>
                  </w:r>
                </w:p>
                <w:p>
                  <w:pPr>
                    <w:pStyle w:val="null3"/>
                    <w:jc w:val="both"/>
                  </w:pPr>
                  <w:r>
                    <w:rPr>
                      <w:rFonts w:ascii="仿宋_GB2312" w:hAnsi="仿宋_GB2312" w:cs="仿宋_GB2312" w:eastAsia="仿宋_GB2312"/>
                      <w:sz w:val="21"/>
                    </w:rPr>
                    <w:t>9.▲空间分辨率：≤ 0.1mm² /pixel。</w:t>
                  </w:r>
                </w:p>
                <w:p>
                  <w:pPr>
                    <w:pStyle w:val="null3"/>
                    <w:jc w:val="both"/>
                  </w:pPr>
                  <w:r>
                    <w:rPr>
                      <w:rFonts w:ascii="仿宋_GB2312" w:hAnsi="仿宋_GB2312" w:cs="仿宋_GB2312" w:eastAsia="仿宋_GB2312"/>
                      <w:sz w:val="21"/>
                    </w:rPr>
                    <w:t>10.▲成像深度≥3mm。</w:t>
                  </w:r>
                </w:p>
                <w:p>
                  <w:pPr>
                    <w:pStyle w:val="null3"/>
                    <w:jc w:val="both"/>
                  </w:pPr>
                  <w:r>
                    <w:rPr>
                      <w:rFonts w:ascii="仿宋_GB2312" w:hAnsi="仿宋_GB2312" w:cs="仿宋_GB2312" w:eastAsia="仿宋_GB2312"/>
                      <w:sz w:val="21"/>
                    </w:rPr>
                    <w:t>11.▲成像速度≥2000fps。</w:t>
                  </w:r>
                </w:p>
                <w:p>
                  <w:pPr>
                    <w:pStyle w:val="null3"/>
                    <w:jc w:val="both"/>
                  </w:pPr>
                  <w:r>
                    <w:rPr>
                      <w:rFonts w:ascii="仿宋_GB2312" w:hAnsi="仿宋_GB2312" w:cs="仿宋_GB2312" w:eastAsia="仿宋_GB2312"/>
                      <w:sz w:val="21"/>
                    </w:rPr>
                    <w:t>12.▲测量重复性（相对标准偏差）：≤ ±3％。</w:t>
                  </w:r>
                </w:p>
                <w:p>
                  <w:pPr>
                    <w:pStyle w:val="null3"/>
                    <w:jc w:val="both"/>
                  </w:pPr>
                  <w:r>
                    <w:rPr>
                      <w:rFonts w:ascii="仿宋_GB2312" w:hAnsi="仿宋_GB2312" w:cs="仿宋_GB2312" w:eastAsia="仿宋_GB2312"/>
                      <w:sz w:val="21"/>
                    </w:rPr>
                    <w:t>13.数据查询功能：检测数据自动保存，具备历史数据查询功能。</w:t>
                  </w:r>
                </w:p>
                <w:p>
                  <w:pPr>
                    <w:pStyle w:val="null3"/>
                    <w:jc w:val="both"/>
                  </w:pPr>
                  <w:r>
                    <w:rPr>
                      <w:rFonts w:ascii="仿宋_GB2312" w:hAnsi="仿宋_GB2312" w:cs="仿宋_GB2312" w:eastAsia="仿宋_GB2312"/>
                      <w:sz w:val="21"/>
                    </w:rPr>
                    <w:t>14.连续工作时间：&gt; 8小时。</w:t>
                  </w:r>
                </w:p>
                <w:p>
                  <w:pPr>
                    <w:pStyle w:val="null3"/>
                    <w:jc w:val="both"/>
                  </w:pPr>
                  <w:r>
                    <w:rPr>
                      <w:rFonts w:ascii="仿宋_GB2312" w:hAnsi="仿宋_GB2312" w:cs="仿宋_GB2312" w:eastAsia="仿宋_GB2312"/>
                      <w:sz w:val="21"/>
                    </w:rPr>
                    <w:t>15.数据输出：外置接口，方便数据存储、软件升级；配置网络接口，支持数据采集及联网管理。</w:t>
                  </w:r>
                </w:p>
                <w:p>
                  <w:pPr>
                    <w:pStyle w:val="null3"/>
                    <w:jc w:val="both"/>
                  </w:pPr>
                  <w:r>
                    <w:rPr>
                      <w:rFonts w:ascii="仿宋_GB2312" w:hAnsi="仿宋_GB2312" w:cs="仿宋_GB2312" w:eastAsia="仿宋_GB2312"/>
                      <w:sz w:val="21"/>
                    </w:rPr>
                    <w:t>16.人机界面：全中文操作平台、支持中英文输入。</w:t>
                  </w:r>
                </w:p>
                <w:p>
                  <w:pPr>
                    <w:pStyle w:val="null3"/>
                    <w:jc w:val="both"/>
                  </w:pPr>
                  <w:r>
                    <w:rPr>
                      <w:rFonts w:ascii="仿宋_GB2312" w:hAnsi="仿宋_GB2312" w:cs="仿宋_GB2312" w:eastAsia="仿宋_GB2312"/>
                      <w:sz w:val="21"/>
                      <w:b/>
                    </w:rPr>
                    <w:t>二、配置要求</w:t>
                  </w:r>
                </w:p>
                <w:p>
                  <w:pPr>
                    <w:pStyle w:val="null3"/>
                  </w:pPr>
                  <w:r>
                    <w:rPr>
                      <w:rFonts w:ascii="仿宋_GB2312" w:hAnsi="仿宋_GB2312" w:cs="仿宋_GB2312" w:eastAsia="仿宋_GB2312"/>
                      <w:sz w:val="21"/>
                    </w:rPr>
                    <w:t>1.组织血氧分析仪主机1套；</w:t>
                  </w:r>
                </w:p>
                <w:p>
                  <w:pPr>
                    <w:pStyle w:val="null3"/>
                  </w:pPr>
                  <w:r>
                    <w:rPr>
                      <w:rFonts w:ascii="仿宋_GB2312" w:hAnsi="仿宋_GB2312" w:cs="仿宋_GB2312" w:eastAsia="仿宋_GB2312"/>
                      <w:sz w:val="21"/>
                    </w:rPr>
                    <w:t>2.组织血氧分析仪软件1套；</w:t>
                  </w:r>
                </w:p>
                <w:p>
                  <w:pPr>
                    <w:pStyle w:val="null3"/>
                  </w:pPr>
                  <w:r>
                    <w:rPr>
                      <w:rFonts w:ascii="仿宋_GB2312" w:hAnsi="仿宋_GB2312" w:cs="仿宋_GB2312" w:eastAsia="仿宋_GB2312"/>
                      <w:sz w:val="21"/>
                    </w:rPr>
                    <w:t>3.专用数据处理工作站1台；</w:t>
                  </w:r>
                </w:p>
                <w:p>
                  <w:pPr>
                    <w:pStyle w:val="null3"/>
                  </w:pPr>
                  <w:r>
                    <w:rPr>
                      <w:rFonts w:ascii="仿宋_GB2312" w:hAnsi="仿宋_GB2312" w:cs="仿宋_GB2312" w:eastAsia="仿宋_GB2312"/>
                      <w:sz w:val="21"/>
                    </w:rPr>
                    <w:t>4.心脏成像增强模块;</w:t>
                  </w:r>
                </w:p>
                <w:p>
                  <w:pPr>
                    <w:pStyle w:val="null3"/>
                  </w:pPr>
                  <w:r>
                    <w:rPr>
                      <w:rFonts w:ascii="仿宋_GB2312" w:hAnsi="仿宋_GB2312" w:cs="仿宋_GB2312" w:eastAsia="仿宋_GB2312"/>
                      <w:sz w:val="21"/>
                    </w:rPr>
                    <w:t>5.可调节万向支臂1套；</w:t>
                  </w:r>
                </w:p>
                <w:p>
                  <w:pPr>
                    <w:pStyle w:val="null3"/>
                  </w:pPr>
                  <w:r>
                    <w:rPr>
                      <w:rFonts w:ascii="仿宋_GB2312" w:hAnsi="仿宋_GB2312" w:cs="仿宋_GB2312" w:eastAsia="仿宋_GB2312"/>
                      <w:sz w:val="21"/>
                    </w:rPr>
                    <w:t>6.电源适配器1个。</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交货期：自合同签订之日起14天内到货，7天内安装调试并交付使用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西北大学化工学院1208</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合同生效后，待货物到达指定地点、安装调试验收合格后，一次性付清合同货款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如属于检验检疫法检目录内货物，由甲乙双方会同海关共同开箱验收。在检查货物原产地、型号、规格、配置符合合同要求后，由乙方负责安装调试、甲方负责技术验收（乙方协助），验收以国内行业标准或合同文本货物供货配置清单中描述的有关技术要求为准； （3）在货物安装调试运行正常后，甲方（采购单位）按学校相关业务部门规定提交验收申请，学校根据采购单位技术验收结果，组织有关专家进行货物的最终验收。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质保期：自学校验收合格之日起5年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售后服务标准要求：（1）质保期内供应商负责提供设备的维修及部件更换，质保期自采购人终验合格之日起计算。质保期满之前，供应商需派遣专业工程师对设备进行全面维护及校准。质保期满后，供应商对其提供的设备提供终身的技术支援。以上要求所产生的费用由供应商承担。 （2）设备到货后，供应商负责安装和调试。设备安装调试期间，由供应商工程师在现场为采购人操作人员进行培训，受培训人数不限，培训内容包括但不限于：仪器原理、结构、操作、日常维护及保养等。设备使用一段时间后，供应商按采购人要求组织工程师，提供不少于3天的高阶应用培训。以上要求所产生的费用由供应商承担。 2、售后服务效率要求：即时响应（包括电话响应）；电话响应无法解决时，24 小时内到达现场。修复时间8 小时内；如18 小时内无法修复，应提供相应解决方案。 3、为顺利推进政府采购电子化交易平台应用工作，投标人需要在线提交所有通过电子化交易平台实施的政府采购项目的投标文件，同时，线下提交投标文件正本壹份、副本壹份、电子版壹份（U盘一份，标明投标人名称，随正本密封）。若电子投标文件与纸质投标文件不一致的，以电子投标文件为准；若正本和副本不符，以正本为准。线下递交文件时间：详见本项目招标公告文件截止时间；线下递交文件地点：西安市高新区高新一路5号正信大厦A座24楼。 4、保证金退还: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提供递交投标文件截止之日前一年内任意一个月的依法缴纳税收的相关凭据，凭据应有税务机关或代收机关的公章或业务专用章。依法免税或无须缴纳税收的供应商应提供相应证明文件；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提供递交投标文件截止之日前一年内任意一个月的社会保障资金缴存单据或社保机构开具的社会保险参保缴费情况证明。依法不需要缴纳社会保障资金的供应商应提供相关证明文件；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为专门面向中小企业采购，投标产品的制造商应为中小微企业或监狱企业或残疾人福利性单位。投标产品的制造商为中型、小型、微型企业的，投标人提供《中小企业声明函》；投标产品的制造商为监狱企业的，投标人应提供投标产品制造商为监狱企业的证明文件；投标产品的制造商为残疾人福利性单位的，投标人应提供投标产品制造商为残疾人福利性单位的《残疾人福利性单位声明函》；</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法定代表人证明书与法定代表人授权书.docx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商务及合同主要条款响应说明.docx 分项报价表.docx 投标函 中小企业声明函 残疾人福利性单位声明函 标的清单 投标文件封面 产品技术参数表.docx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完全理解并接受对合格投标人、合格的货物、工程或服务要求，根据投标人投标文件《技术指标偏差表》，结合招标文件第三章“★”标识的实质性要求没有负偏离。</w:t>
            </w:r>
          </w:p>
        </w:tc>
        <w:tc>
          <w:tcPr>
            <w:tcW w:type="dxa" w:w="1661"/>
          </w:tcPr>
          <w:p>
            <w:pPr>
              <w:pStyle w:val="null3"/>
            </w:pPr>
            <w:r>
              <w:rPr>
                <w:rFonts w:ascii="仿宋_GB2312" w:hAnsi="仿宋_GB2312" w:cs="仿宋_GB2312" w:eastAsia="仿宋_GB2312"/>
              </w:rPr>
              <w:t>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商务及合同主要条款响应说明.docx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基本分：所投产品的技术参数完全符合、响应招标文件要求，没有负偏离计34.5分。标注为▲（共5项）的参数为重要参数，满分15分，每有一个负偏离扣3分；其余非▲参数（共13项，标★项除外），满分19.5分，每负偏离1项扣1.5分。 加分项：标注为▲、★项技术参数性能优于招标文件要求，具有实际使用价值的提升，经评标委员会一致认定每项可加分，满分6.5分。 1、标“★”项（共4项）参数技术指标和性能优于招标文件要求，每项加1分，满分4分； 2、标“▲”项（共5项）参数技术指标和性能优于招标文件要求，每项加0.5分，满分2.5分。 备注：1.此项评分因素，仅针对技术参数与性能指标中“技术参数”进行评 审。 2.所有优于参数须提供佐证材料（佐证材料不限于产品彩页或检测报告或技术说明书或官网功能截图等），否则不予加分。</w:t>
            </w:r>
          </w:p>
        </w:tc>
        <w:tc>
          <w:tcPr>
            <w:tcW w:type="dxa" w:w="831"/>
          </w:tcPr>
          <w:p>
            <w:pPr>
              <w:pStyle w:val="null3"/>
              <w:jc w:val="right"/>
            </w:pPr>
            <w:r>
              <w:rPr>
                <w:rFonts w:ascii="仿宋_GB2312" w:hAnsi="仿宋_GB2312" w:cs="仿宋_GB2312" w:eastAsia="仿宋_GB2312"/>
              </w:rPr>
              <w:t>41.0000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产品技术参数表.docx</w:t>
            </w:r>
          </w:p>
        </w:tc>
      </w:tr>
      <w:tr>
        <w:tc>
          <w:tcPr>
            <w:tcW w:type="dxa" w:w="831"/>
            <w:vMerge/>
          </w:tcP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投标人针对本项目需求提供整体实施方案。内容包含： ①供货组织安排、进度安排及实施重点难点分析②安装调试验收方案。 二、评审标准 1、完整性：方案须全面，对评审内容中的各项要求 描述详细； 2、可实施性：切合本项目实际情况，实施步骤清晰、合理； 3、针对性：方案能够紧扣项目实际情况，内容科学合理。 三、赋分依据（满分3分） ①供货组织安排、进度安排及实施重点难点分析：每完全满足一个评审标准得0.5分，满分1.5分；未提供不得分； ②安装调试验收方案：每完全满足一个评审标准得0.5分，满分1.5分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根据项目实际需求提 供售后服务方案。内容包含：①具有本地化履约服务能力（提供相关证明材料）、售后服务流程、服务方式、响应时间②应急处理方案、常规仪器保养和维护的日程安排及措施。 二、评审标准 1、完整性：方案须全面，对评审内容中的各项要求有详细描述； 2、可实施性：切合本项目实际情况，提出步骤清晰、合理的方案； 3、针对性：方案能够紧扣项目实际情况，内容科学合理。 三、赋分依据（满分3分 ） ①售后服务流程、服务方式、响应时间：每完全满足一个评审标准得0.5分，满分1.5分；未提供不得 分； ②应急处理方案、常规仪器保养和维护的日程安排及措施：每完全满足一个评审标准得0.5分，满 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 根据项目实际需求，提供质量保证方案。内容包含：①产品性能、设备选型、产品使用寿命及效果②质量保证措施。 二、评审标准 1、完整性：方案须全面， 对评审内容中的各项要求有详细描述； 2、可实施性：切合本项目实际情况，实施步骤清晰、合理； 3、针对性：方案能够紧扣项目实际情况，内容科学合理。 三、赋分依据（满分3分） ①产品性能、设备选型、产品使用寿命及效果：每完全满足一个评审标准得0.5分，满分1.5分；未提供不得分； ②质量保证措施：每完全满足一个评审标准得0.5分，满分1.5分；未提供不得分。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针对本项目具有可行的技术培训方案。包括①培训计划（含培训计划表、地点、时间及培训对象人数等）、培训内容（含所提供产品的原理和技术性能、操作维护方法、安装调试、排除故障等）②培训效果（确保培训后至少1—3人熟练操作设备）。 二、评审标准 1、完整性：方案须全面，对评审内容中的各项要求描述详细； 2、可实施性：切合本项目实际情况，实施步骤清晰、合理； 3、针对性：方案能够紧扣项目实际情况，内容科学合理。 三、赋分依据（满分3分） ①培训计划、培训内容 ：每完全满足一个评审标准得0.5分，满分1.5分；未提供不得分； ②培训效果：每完全满足一个评审标准得0.5分，满分1.5分；未提供 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质保期</w:t>
            </w:r>
          </w:p>
        </w:tc>
        <w:tc>
          <w:tcPr>
            <w:tcW w:type="dxa" w:w="2492"/>
          </w:tcPr>
          <w:p>
            <w:pPr>
              <w:pStyle w:val="null3"/>
            </w:pPr>
            <w:r>
              <w:rPr>
                <w:rFonts w:ascii="仿宋_GB2312" w:hAnsi="仿宋_GB2312" w:cs="仿宋_GB2312" w:eastAsia="仿宋_GB2312"/>
              </w:rPr>
              <w:t>在满足招标文件要求质保期的基础上，投标人可根据自身情况延长质保限，评标委员会根据各投标人 响应的延长质保年限进行综合评定，以延长质保年限最长者为基准，计2分，其他投标人的延长质保年 限分统一按照下列公式计算：（延长质保期／基准)×2=响应得分。 仅满足招标文件要求的质保期不计分。 计算分数时四舍五入取小数点后两位。</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商务及合同主要条款响应说明.docx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提供投标人2022年9月1日至今类似项目合同（以合同签订日期为准），每提供1个得1分，满分5分。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详见附件：商务及合同主要条款响应说明.docx</w:t>
      </w:r>
    </w:p>
    <w:p>
      <w:pPr>
        <w:pStyle w:val="null3"/>
        <w:ind w:firstLine="960"/>
      </w:pPr>
      <w:r>
        <w:rPr>
          <w:rFonts w:ascii="仿宋_GB2312" w:hAnsi="仿宋_GB2312" w:cs="仿宋_GB2312" w:eastAsia="仿宋_GB2312"/>
        </w:rPr>
        <w:t>详见附件：法定代表人证明书与法定代表人授权书.docx</w:t>
      </w:r>
    </w:p>
    <w:p>
      <w:pPr>
        <w:pStyle w:val="null3"/>
        <w:ind w:firstLine="960"/>
      </w:pPr>
      <w:r>
        <w:rPr>
          <w:rFonts w:ascii="仿宋_GB2312" w:hAnsi="仿宋_GB2312" w:cs="仿宋_GB2312" w:eastAsia="仿宋_GB2312"/>
        </w:rPr>
        <w:t>详见附件：供应商企业关系关联承诺书.docx</w:t>
      </w:r>
    </w:p>
    <w:p>
      <w:pPr>
        <w:pStyle w:val="null3"/>
        <w:ind w:firstLine="960"/>
      </w:pPr>
      <w:r>
        <w:rPr>
          <w:rFonts w:ascii="仿宋_GB2312" w:hAnsi="仿宋_GB2312" w:cs="仿宋_GB2312" w:eastAsia="仿宋_GB2312"/>
        </w:rPr>
        <w:t>详见附件：具有履行合同所必须的设备和专业技术能力的说明及承诺.docx</w:t>
      </w:r>
    </w:p>
    <w:p>
      <w:pPr>
        <w:pStyle w:val="null3"/>
        <w:ind w:firstLine="960"/>
      </w:pPr>
      <w:r>
        <w:rPr>
          <w:rFonts w:ascii="仿宋_GB2312" w:hAnsi="仿宋_GB2312" w:cs="仿宋_GB2312" w:eastAsia="仿宋_GB2312"/>
        </w:rPr>
        <w:t>详见附件：书面声明.docx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