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版本号：0617-2521HZ213120250905001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多功能正电子湮没谱仪采购项目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0617-2521HZ2131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多功能正电子湮没谱仪采购项目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0617-2521HZ2131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多功能正电子湮没谱仪采购项目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多功能正电子湮没谱仪，1套。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22.5%向中标（成交）供应商收取代理服务费；2.论证费：人民币贰仟壹佰贰拾伍元整（¥2125.00元）；3.缴费时间：确定中标（成交）供应商后3日内，由中标（成交）供应商向采购代理机构一次付清代理服务费及论证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合同、采购文件、投标文件。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多功能正电子湮没谱仪，1套。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多功能正电子湮没谱仪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标的名称：多功能正电子湮没谱仪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配置要求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 系统构成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（1）主机1套，LaBr3闪烁体探测器 2个，同轴高纯锗探测器2个，Na-22放射源一套（活度：20μCi），样品预处理套件1套，标准样品1套，BNC连接线（不少于2条），SHV高压连接线（不少于2条）；操作软件1套（谱仪控制软件、电子湮没寿命分立解谱软件、正电子湮没寿命连续解谱软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（2）智能UPS电源（3000VA）1台，空气净化加湿一体机1台，空调（3P）1台，工作站1套，放射源桶1个，放射源储存箱1个，辐射剂量仪1台（具备核素识别功能）.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2. 功能要求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（1）具备正电子湮没寿命谱、多普勒展宽能谱、符合多普勒展宽能谱测量功能【提供佐证材料，至少包括但不限于功能截图】.</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（2）可测量金属和半导体材料缺陷态捕获率，高聚物材料自由体积半径、自由体积分数【提供佐证材料，至少包括但不限于功能截图】.</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（3）可计算S/W参数及符合多普勒展宽和谱、差谱、商谱【提供佐证材料，至少包括但不限于功能截图】.</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（4）系统自动匹配最佳测量参数、自动校准.</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（5）实时显示正电子湮没寿命谱、多普勒能谱、符合多普勒展宽谱功能【提供佐证材料，至少包括但不限于功能截图】.</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（6）具备正电子湮没寿命谱分立解谱和连续解谱功能.</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（7）具备稳谱功能，修正长时间测量中的能谱漂移现象，修正后能峰漂移：≤0.01%/h（Co-60放射源1.332MeV峰）.</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（8）具备定时测量、定数测量和连续测量功能.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（9）具备探测器（如：高纯锗）高温保护功能.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（10）不启用放射源条件下可开展闪烁体探测器的特性研究实验、Na-22放射源的能谱与能量分辨率测量实验、单晶Si的正电子湮没寿命测量与解谱实验.</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（11）具备单片样品、液体样品正电子湮没寿命谱测量功能【提供佐证材料，至少包括但不限于功能截图】.</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3. 硬件技术指标</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（1）寿命测量时间分辨率（Co-60）≤160ps；（Co-60 瞬发峰，Na-22 窗条件 FWHM）【提供佐证材料，至少包括但不限于功能截图】.</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（2）寿命测量探测器能量分辨率（Na-22）：≤15%（1.275MeV峰）【提供佐证材料，至少包括但不限于功能截图】.</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（3）寿命测量计数率≥200cps.</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（4）寿命测量探测器集成分压电路、磁屏蔽功能.</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（5）BaF2或LaBr3闪烁探测器典型阳极信号上升时间≤1.8ns；典型渡越时间分散≤0.4ns；</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（6）寿命谱测量符合模式：快-慢符合模式或内符合模式.</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（7）采用Na-22放射源，活度≥20µCi.</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（8）高纯锗探测器效率≥20%.</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（9）高纯锗探测器能量（伽马射线能量）响应范围：40keV-10MeV.</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（10）高纯锗探测器能量分辨率（Co-60放射源）： ≤1.90keV（1.332MeV峰）.</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（11）高纯锗探测器峰康比（Co-60放射源）≥55:1（1.332MeV峰）.</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（12）高纯锗探测器峰形参数FW0.1M/FWHM≤1.9，FW.02M/FWHM≤2.6（典型值）.</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（13）符合多普勒展宽差谱峰谷比（单晶Si样品）≥1E5【提供佐证材料，至少包括但不限于功能截图】.</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（14）符合多普勒展宽谱测试符合效率大于20%.</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（15）具备双探头协同，且能量差异（Co-60放射源）：≤0.1%（1.332MeV峰）.</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（16）闪烁体探测器高压噪声和波纹峰峰值&lt;15 mV（20 Hz至20 MHz），具备过载和短路保护.</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（16）符合多普勒高压输出线性≤±3％（10％-100％量程）.</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（17）符合多普勒高压输出电压温度灵敏度≤±0.08%/℃（10~50℃）.</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（18）符合多普勒高压输出电压不稳定性≤±0.1%/h.</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（19）符合多普勒高压输出上升时间≤500ms.</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（20）符合多普勒错误事例筛选率≥90%.</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（21）在信号处理方式选择上，可采用模拟信号处理或者数字信号处理，分别需满足以下指标：</w:t>
            </w:r>
          </w:p>
          <w:p>
            <w:pPr>
              <w:pStyle w:val="null3"/>
            </w:pPr>
            <w:r>
              <w:rPr>
                <w:rFonts w:ascii="仿宋_GB2312" w:hAnsi="仿宋_GB2312" w:cs="仿宋_GB2312" w:eastAsia="仿宋_GB2312"/>
              </w:rPr>
              <w:t>模拟信号：恒比定时甄别器，通道数≥8路，且每路均有三个快速NIM逻辑输出端，脉冲对分辨率：&lt;50 ns；时幅转换器启动到停止转换时间：最小≤5ns；时间谱分析范围：10ns-2ms；同时具备SCA功能；多道分析器，16k通道MCA；ADC死时间：&lt;2µs（包括内存转换时间）ADC门：可选的TTL输入；选择符合模式、反符合模式或关闭。</w:t>
            </w:r>
          </w:p>
          <w:p>
            <w:pPr>
              <w:pStyle w:val="null3"/>
            </w:pPr>
            <w:r>
              <w:rPr>
                <w:rFonts w:ascii="仿宋_GB2312" w:hAnsi="仿宋_GB2312" w:cs="仿宋_GB2312" w:eastAsia="仿宋_GB2312"/>
              </w:rPr>
              <w:t>数字信号：恒比定时比例在 8% - 24% 范围内连续可调；数字采集卡采样率≥5G/SPS，采样精度≥12bit。</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4. 软件技术指标</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（1）数据管理：具备读取、保存数据功能，支持 CSV及纯文本等多种格式.</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（2）设备控制：支持菜单栏、工具栏以及快捷键等多种操作方式.</w:t>
            </w:r>
          </w:p>
        </w:tc>
      </w:tr>
      <w:tr>
        <w:tc>
          <w:tcPr>
            <w:tcW w:type="dxa" w:w="2769"/>
          </w:tcPr>
          <w:p>
            <w:pPr>
              <w:pStyle w:val="null3"/>
            </w:pPr>
            <w:r>
              <w:rPr>
                <w:rFonts w:ascii="仿宋_GB2312" w:hAnsi="仿宋_GB2312" w:cs="仿宋_GB2312" w:eastAsia="仿宋_GB2312"/>
              </w:rPr>
              <w:t>43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（3）坐标与窗口设置：支持线性/对数坐标系切换；支持双探测器能谱独立显示，以及能谱、寿命谱的多窗口显示【提供佐证材料，至少包括但不限于功能截图】.</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（4）谱信息记录与分析：可记录谱图信息，设置感兴趣区域（ROI）边界；寻峰后自动计算峰位、半高全宽、ROI 面积等，以高斯拟合方法求解峰位；记录开始时间、测量时间、死时间、总计数等信息；以曲线实时展示能谱数据【提供佐证材料，至少包括但不限于功能截图】.</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测量模式：支持常规测量（连续测量至手动停止）、定时测量（达设定时间自动停止，支持多次追加测量）、定数测量（达固定计数停止，支持多次追加测量）、无限定时测量（以设定时间循环测量保存信息，为修正数据提供数据支持）【提供佐证材料，至少包括但不限于功能截图】.</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（6）实时显示：实时显示计数率、能谱、当前道址（随光标动态更新）【提供佐证材料，至少包括但不限于功能截图】.</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（7）正电子湮没实验中的粒子运动轨迹、数据采集过程可视化；</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5.辅助设备</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（1）智能UPS电源：3000VA，支持移动端操作，设备电源远程通断；断电后提供不少于15 分钟的持续供电，且输出功率满足设备全负荷运转需求，运行中电压波动范围控制在±5% 以内.</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（2）空调：不小于3P（主流品牌，含安装及辅材）.</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（3）工作站：≥Intel i7中央处理器，≥16G内存，≥256G固态硬盘，≥2T机械硬盘，16X刻录机，≥4G独立显卡，≥27英寸LED显示器，Windows10 64位操作系统.</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（4）空气净化加湿一体机（主流品牌）：气态CADR不小于1000m</w:t>
            </w:r>
            <w:r>
              <w:rPr>
                <w:rFonts w:ascii="仿宋_GB2312" w:hAnsi="仿宋_GB2312" w:cs="仿宋_GB2312" w:eastAsia="仿宋_GB2312"/>
                <w:vertAlign w:val="superscript"/>
              </w:rPr>
              <w:t>2</w:t>
            </w:r>
            <w:r>
              <w:rPr>
                <w:rFonts w:ascii="仿宋_GB2312" w:hAnsi="仿宋_GB2312" w:cs="仿宋_GB2312" w:eastAsia="仿宋_GB2312"/>
              </w:rPr>
              <w:t>/h，固态污染物CADR不小于800m</w:t>
            </w:r>
            <w:r>
              <w:rPr>
                <w:rFonts w:ascii="仿宋_GB2312" w:hAnsi="仿宋_GB2312" w:cs="仿宋_GB2312" w:eastAsia="仿宋_GB2312"/>
                <w:vertAlign w:val="superscript"/>
              </w:rPr>
              <w:t>2</w:t>
            </w:r>
            <w:r>
              <w:rPr>
                <w:rFonts w:ascii="仿宋_GB2312" w:hAnsi="仿宋_GB2312" w:cs="仿宋_GB2312" w:eastAsia="仿宋_GB2312"/>
              </w:rPr>
              <w:t>/h，适用面积不小于60平方米，PM2.5传感器（数显），TVOC传感器（数显）.</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二、商务要求</w:t>
            </w:r>
          </w:p>
        </w:tc>
      </w:tr>
      <w:tr>
        <w:tc>
          <w:tcPr>
            <w:tcW w:type="dxa" w:w="2769"/>
          </w:tcPr>
          <w:p>
            <w:pPr>
              <w:pStyle w:val="null3"/>
            </w:pPr>
            <w:r>
              <w:rPr>
                <w:rFonts w:ascii="仿宋_GB2312" w:hAnsi="仿宋_GB2312" w:cs="仿宋_GB2312" w:eastAsia="仿宋_GB2312"/>
              </w:rPr>
              <w:t>54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1、交货期：合同签订后5个月</w:t>
            </w:r>
          </w:p>
        </w:tc>
      </w:tr>
      <w:tr>
        <w:tc>
          <w:tcPr>
            <w:tcW w:type="dxa" w:w="2769"/>
          </w:tcPr>
          <w:p>
            <w:pPr>
              <w:pStyle w:val="null3"/>
            </w:pPr>
            <w:r>
              <w:rPr>
                <w:rFonts w:ascii="仿宋_GB2312" w:hAnsi="仿宋_GB2312" w:cs="仿宋_GB2312" w:eastAsia="仿宋_GB2312"/>
              </w:rPr>
              <w:t>55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2、保质期：终验合格后2年</w:t>
            </w:r>
          </w:p>
        </w:tc>
      </w:tr>
      <w:tr>
        <w:tc>
          <w:tcPr>
            <w:tcW w:type="dxa" w:w="2769"/>
          </w:tcPr>
          <w:p>
            <w:pPr>
              <w:pStyle w:val="null3"/>
            </w:pPr>
            <w:r>
              <w:rPr>
                <w:rFonts w:ascii="仿宋_GB2312" w:hAnsi="仿宋_GB2312" w:cs="仿宋_GB2312" w:eastAsia="仿宋_GB2312"/>
              </w:rPr>
              <w:t>56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3交货地点：西安科技大学指定地点</w:t>
            </w:r>
          </w:p>
        </w:tc>
      </w:tr>
      <w:tr>
        <w:tc>
          <w:tcPr>
            <w:tcW w:type="dxa" w:w="2769"/>
          </w:tcPr>
          <w:p>
            <w:pPr>
              <w:pStyle w:val="null3"/>
            </w:pPr>
            <w:r>
              <w:rPr>
                <w:rFonts w:ascii="仿宋_GB2312" w:hAnsi="仿宋_GB2312" w:cs="仿宋_GB2312" w:eastAsia="仿宋_GB2312"/>
              </w:rPr>
              <w:t>57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款项结算：（1）非中小企业中标付款方式：签订合同前向学校缴纳5%的履约保证金，国内产品安装调试经学校验收合格后一次性支付全款，同时缴纳的5%履约保证金无质量问题一次性无息退还；逾期退还履约保证金，产生的资金占用费双方协商。（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逾期退还履约保证金，产生的资金占用费双方协商。</w:t>
            </w:r>
          </w:p>
        </w:tc>
      </w:tr>
      <w:tr>
        <w:tc>
          <w:tcPr>
            <w:tcW w:type="dxa" w:w="2769"/>
          </w:tcPr>
          <w:p>
            <w:pPr>
              <w:pStyle w:val="null3"/>
            </w:pPr>
            <w:r>
              <w:rPr>
                <w:rFonts w:ascii="仿宋_GB2312" w:hAnsi="仿宋_GB2312" w:cs="仿宋_GB2312" w:eastAsia="仿宋_GB2312"/>
              </w:rPr>
              <w:t>58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验收：（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tc>
      </w:tr>
      <w:tr>
        <w:tc>
          <w:tcPr>
            <w:tcW w:type="dxa" w:w="2769"/>
          </w:tcPr>
          <w:p>
            <w:pPr>
              <w:pStyle w:val="null3"/>
            </w:pPr>
            <w:r>
              <w:rPr>
                <w:rFonts w:ascii="仿宋_GB2312" w:hAnsi="仿宋_GB2312" w:cs="仿宋_GB2312" w:eastAsia="仿宋_GB2312"/>
              </w:rPr>
              <w:t>59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服务要求：（1）技术服务承诺：乙方免费提供必要的技术支持，包括现场指导、集中授课、专项操作等。（2）售后服务承诺：甲方发现有质量或可能影响质量问题时，乙方接到通知后2小时内到达现场解决问题。</w:t>
            </w:r>
          </w:p>
        </w:tc>
      </w:tr>
      <w:tr>
        <w:tc>
          <w:tcPr>
            <w:tcW w:type="dxa" w:w="2769"/>
          </w:tcPr>
          <w:p>
            <w:pPr>
              <w:pStyle w:val="null3"/>
            </w:pPr>
            <w:r>
              <w:rPr>
                <w:rFonts w:ascii="仿宋_GB2312" w:hAnsi="仿宋_GB2312" w:cs="仿宋_GB2312" w:eastAsia="仿宋_GB2312"/>
              </w:rPr>
              <w:t>60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违约责任：（1）除本合同约定的违约责任之外，双方按《中华人民共和国民法典》中的相关条款执行。（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6）若交货后三十日历日内乙方未完成安装调试的，每逾期一日应按合同总价的千分之一向甲方支付违约金。违约金不足以弥补损失的，应继续赔偿甲方损失。</w:t>
            </w: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 提供投标产品合法来源渠道证明，包括但不限于销售协议、代理协议、原厂授权或承诺书等。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签订合同前向学校缴纳5%的履约保证金，国内产品安装调试经学校验收合格后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1.付款方式：因系统设置原因，本章3.4.4支付约定描述不全之处，以本章3.3技术要求中二、商务要求，4.款项结算为准。 2.残疾人福利性单位及监狱企业视同为小型、微型企业。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 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定代表人授权委托书或法定代表人证明书。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投标产品技术参数清楚、明确，有相应齐全的技术资料，完全满足招标技术参数要求得39分；标注“▲”负偏离一条扣3分；其余未标注符号的负偏离一条扣1分；扣完为止。 评审依据：提供生产厂家确认的具有相应的功能证明材料（投标产品彩页（如有）、（产品）说明书、认证证书、检测/检验报告等，官网截图等），技术偏离表中的投标响应，在技术资料中未出现，视为负偏离。</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提供服务、实施方案，项目团队人员配备（提供专职人员名单及联系方式、有效身份证复印件），技术能力出众（提供相关资格证书）。 评审标准 1.完整性：方案须全面，对评审内容中的各项要求有详细描述； 2.可实施性：切合本项目实际情况，切实可行； 3.针对性：方案能够紧扣项目实际情况，科学合理。 赋分标准（满分6分）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提供售后服务方案，方案内容至少包括①服务内容及售后服务承诺②售后服务体系及人员配置③响应时间、④退换货。 评审标准： 1.完整性：方案须全面，对评审内容中的各项要求有详细描述； 2.可实施性：切合本项目实际情况，实施步骤清晰、合理； 3.针对性：方案能够紧扣项目实际情况，内容科学合理。 赋分标准（满分12分） 每项内容：每完全满足一个评审标准得1分，满分3分；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投标产品来源渠道</w:t>
            </w:r>
          </w:p>
        </w:tc>
        <w:tc>
          <w:tcPr>
            <w:tcW w:type="dxa" w:w="2492"/>
          </w:tcPr>
          <w:p>
            <w:pPr>
              <w:pStyle w:val="null3"/>
            </w:pPr>
            <w:r>
              <w:rPr>
                <w:rFonts w:ascii="仿宋_GB2312" w:hAnsi="仿宋_GB2312" w:cs="仿宋_GB2312" w:eastAsia="仿宋_GB2312"/>
              </w:rPr>
              <w:t>投标人提供投标产品来源渠道证明：包括但不限于销售协议、代理协议、原厂授权或承诺书等，提供得2分，未提供的不得分。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同类产品业绩</w:t>
            </w:r>
          </w:p>
        </w:tc>
        <w:tc>
          <w:tcPr>
            <w:tcW w:type="dxa" w:w="2492"/>
          </w:tcPr>
          <w:p>
            <w:pPr>
              <w:pStyle w:val="null3"/>
            </w:pPr>
            <w:r>
              <w:rPr>
                <w:rFonts w:ascii="仿宋_GB2312" w:hAnsi="仿宋_GB2312" w:cs="仿宋_GB2312" w:eastAsia="仿宋_GB2312"/>
              </w:rPr>
              <w:t>提供2020年1月1日至今（以合同签订日期为准），同类产品业绩合同，一份有效业绩合同计2分，最高6分。 评审依据：完整合同复印件加盖公章。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同类产品业绩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投标人的价格分统一按照下列公式计算：投标报价得分=（评标基准价/投标报价）×35。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详见附件：同类产品业绩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