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4B3EEB">
      <w:pPr>
        <w:pStyle w:val="3"/>
        <w:shd w:val="clear" w:color="auto" w:fill="auto"/>
        <w:spacing w:before="0" w:after="0" w:line="360" w:lineRule="auto"/>
        <w:jc w:val="center"/>
        <w:rPr>
          <w:rFonts w:hint="eastAsia" w:ascii="宋体" w:hAnsi="宋体" w:cs="宋体"/>
          <w:color w:val="auto"/>
          <w:kern w:val="0"/>
          <w:highlight w:val="none"/>
        </w:rPr>
      </w:pPr>
      <w:r>
        <w:rPr>
          <w:rFonts w:hint="eastAsia" w:ascii="宋体" w:hAnsi="宋体" w:cs="宋体"/>
          <w:color w:val="auto"/>
          <w:kern w:val="0"/>
          <w:highlight w:val="none"/>
        </w:rPr>
        <w:t>合同条款</w:t>
      </w:r>
    </w:p>
    <w:p w14:paraId="256F845D">
      <w:pPr>
        <w:shd w:val="clear" w:color="auto" w:fill="auto"/>
        <w:spacing w:line="360" w:lineRule="auto"/>
        <w:jc w:val="center"/>
        <w:rPr>
          <w:rFonts w:hint="eastAsia" w:ascii="宋体" w:hAnsi="宋体" w:cs="宋体"/>
          <w:color w:val="auto"/>
          <w:sz w:val="28"/>
          <w:szCs w:val="28"/>
          <w:highlight w:val="none"/>
        </w:rPr>
      </w:pPr>
      <w:r>
        <w:rPr>
          <w:rFonts w:hint="eastAsia" w:ascii="宋体" w:hAnsi="宋体" w:cs="宋体"/>
          <w:b/>
          <w:color w:val="auto"/>
          <w:sz w:val="28"/>
          <w:szCs w:val="28"/>
          <w:highlight w:val="none"/>
        </w:rPr>
        <w:t>（本合同仅为制式模板）</w:t>
      </w:r>
    </w:p>
    <w:p w14:paraId="65EE1AE1">
      <w:pPr>
        <w:pageBreakBefore w:val="0"/>
        <w:widowControl w:val="0"/>
        <w:shd w:val="clear" w:color="auto" w:fill="auto"/>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甲方（采购人）：_____________________________________</w:t>
      </w:r>
    </w:p>
    <w:p w14:paraId="6D2274F9">
      <w:pPr>
        <w:pageBreakBefore w:val="0"/>
        <w:widowControl w:val="0"/>
        <w:shd w:val="clear" w:color="auto" w:fill="auto"/>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甲方住所：___________________________________________</w:t>
      </w:r>
    </w:p>
    <w:p w14:paraId="6813AA9E">
      <w:pPr>
        <w:pageBreakBefore w:val="0"/>
        <w:widowControl w:val="0"/>
        <w:shd w:val="clear" w:color="auto" w:fill="auto"/>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乙方（中标供应商）：_________________________________</w:t>
      </w:r>
    </w:p>
    <w:p w14:paraId="6C7B730D">
      <w:pPr>
        <w:pageBreakBefore w:val="0"/>
        <w:widowControl w:val="0"/>
        <w:shd w:val="clear" w:color="auto" w:fill="auto"/>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乙方住所：___________________________________________</w:t>
      </w:r>
    </w:p>
    <w:p w14:paraId="156C3F8E">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中华人民共和国政府采购法》及实施条例、《中华人民共和国民法典》和〈项目名称〉（项目编号：〈项目编号〉）的招标文件、投标文件等有关规定，为确保甲方采购项目的顺利实施，甲、乙双方在平等自愿原则下签订本合同，并共同遵守如下条款：</w:t>
      </w:r>
    </w:p>
    <w:p w14:paraId="42A0844E">
      <w:pPr>
        <w:pStyle w:val="4"/>
        <w:pageBreakBefore w:val="0"/>
        <w:widowControl w:val="0"/>
        <w:shd w:val="clear" w:color="auto" w:fill="auto"/>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第一条  项目基本情况</w:t>
      </w:r>
    </w:p>
    <w:p w14:paraId="7050C9F4">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1．采购标的：</w:t>
      </w:r>
    </w:p>
    <w:p w14:paraId="5226A50B">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2．数量：</w:t>
      </w:r>
    </w:p>
    <w:p w14:paraId="428B1F5D">
      <w:pPr>
        <w:pStyle w:val="4"/>
        <w:pageBreakBefore w:val="0"/>
        <w:widowControl w:val="0"/>
        <w:shd w:val="clear" w:color="auto" w:fill="auto"/>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第二条  履约期限、地点及方式</w:t>
      </w:r>
    </w:p>
    <w:p w14:paraId="36B77237">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1．履约期限：</w:t>
      </w:r>
    </w:p>
    <w:p w14:paraId="27766986">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2．履约地点：</w:t>
      </w:r>
    </w:p>
    <w:p w14:paraId="0664C656">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3．履约方式：</w:t>
      </w:r>
    </w:p>
    <w:p w14:paraId="5FF96926">
      <w:pPr>
        <w:pStyle w:val="4"/>
        <w:pageBreakBefore w:val="0"/>
        <w:widowControl w:val="0"/>
        <w:shd w:val="clear" w:color="auto" w:fill="auto"/>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第三条  质量标准</w:t>
      </w:r>
    </w:p>
    <w:p w14:paraId="32D71A91">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整个项目应符合国家有关行业规范和标准，包括但不限于：</w:t>
      </w:r>
    </w:p>
    <w:p w14:paraId="7E6D4B41">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1．GB/T</w:t>
      </w:r>
    </w:p>
    <w:p w14:paraId="2FD61857">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p w14:paraId="454CCE74">
      <w:pPr>
        <w:pStyle w:val="4"/>
        <w:pageBreakBefore w:val="0"/>
        <w:widowControl w:val="0"/>
        <w:shd w:val="clear" w:color="auto" w:fill="auto"/>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第四条  合同价款及支付方式</w:t>
      </w:r>
    </w:p>
    <w:p w14:paraId="6B9E9B31">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1．合同价款包括：</w:t>
      </w:r>
    </w:p>
    <w:p w14:paraId="090FCC08">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2．支付方式：</w:t>
      </w:r>
    </w:p>
    <w:p w14:paraId="624D47E5">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3．结算方式：银行转账。</w:t>
      </w:r>
    </w:p>
    <w:p w14:paraId="34E109CF">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4．结算单位：由甲方负责结算，乙方须向甲方出具合法有效的完税发票，甲方进行支付结算。</w:t>
      </w:r>
    </w:p>
    <w:p w14:paraId="1BDB0587">
      <w:pPr>
        <w:pStyle w:val="4"/>
        <w:pageBreakBefore w:val="0"/>
        <w:widowControl w:val="0"/>
        <w:shd w:val="clear" w:color="auto" w:fill="auto"/>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第五条  验收标准及条件</w:t>
      </w:r>
    </w:p>
    <w:p w14:paraId="2180B0C7">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1．初步验收：</w:t>
      </w:r>
    </w:p>
    <w:p w14:paraId="18F215A9">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2．最终验收：</w:t>
      </w:r>
    </w:p>
    <w:p w14:paraId="4AA85259">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3．验收依据：</w:t>
      </w:r>
    </w:p>
    <w:p w14:paraId="1343A9D7">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（1）招标文件、投标文件、澄清表（函）；</w:t>
      </w:r>
    </w:p>
    <w:p w14:paraId="12289DFA">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（2）本合同及附件文本；</w:t>
      </w:r>
    </w:p>
    <w:p w14:paraId="3877C402">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（3）合同签订时国家及行业现行的标准和技术规范。</w:t>
      </w:r>
    </w:p>
    <w:p w14:paraId="752E0761">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4．中标供应商应向采购人提交项目实施过程中的所有资料，以便采购人日后管理和维护。</w:t>
      </w:r>
    </w:p>
    <w:p w14:paraId="26D8946C">
      <w:pPr>
        <w:pStyle w:val="4"/>
        <w:pageBreakBefore w:val="0"/>
        <w:widowControl w:val="0"/>
        <w:shd w:val="clear" w:color="auto" w:fill="auto"/>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第六条  知识产权（若有）</w:t>
      </w:r>
    </w:p>
    <w:p w14:paraId="73FC4A61">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乙方应保证所提供的服务或其任何一部分均不会侵犯任何第三方的专利权、商标权或著作权。</w:t>
      </w:r>
    </w:p>
    <w:p w14:paraId="7762BB09">
      <w:pPr>
        <w:pStyle w:val="4"/>
        <w:pageBreakBefore w:val="0"/>
        <w:widowControl w:val="0"/>
        <w:shd w:val="clear" w:color="auto" w:fill="auto"/>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第七条  无产权瑕疵条款（若有）</w:t>
      </w:r>
    </w:p>
    <w:p w14:paraId="093DC6BC">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乙方保证所提供的服务的所有权完全属于乙方且无任何抵押、查封等产权瑕疵。如有产权瑕疵的，视为乙方违约。乙方应负担由此而产生的一切损失。</w:t>
      </w:r>
    </w:p>
    <w:p w14:paraId="00D7D299">
      <w:pPr>
        <w:pStyle w:val="4"/>
        <w:pageBreakBefore w:val="0"/>
        <w:widowControl w:val="0"/>
        <w:shd w:val="clear" w:color="auto" w:fill="auto"/>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第八条  履约保证金（若有）</w:t>
      </w:r>
    </w:p>
    <w:p w14:paraId="43AED045">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1．乙方在签订本合同之前，向甲方构提交履约保证金人民币______元，￥______。</w:t>
      </w:r>
    </w:p>
    <w:p w14:paraId="41375A92">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2．履约保证金的有效期为乙方承诺的服务期限。</w:t>
      </w:r>
    </w:p>
    <w:p w14:paraId="643C2890">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3．履约保证金作为违约金的一部分及用于补偿甲方因乙方不能履行合同义务而蒙受的损失。</w:t>
      </w:r>
    </w:p>
    <w:p w14:paraId="60DFBA90">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4．服务期限结束后，甲方财务部门接到甲方确认本合同服务等约定事项已经履行完毕的正式书面文件后的___日历日内，向乙方退还履约保证金。</w:t>
      </w:r>
    </w:p>
    <w:p w14:paraId="6D3D814E">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5．乙方可以履约担保函的形式交纳履约保证金。</w:t>
      </w:r>
    </w:p>
    <w:p w14:paraId="658107C8">
      <w:pPr>
        <w:pStyle w:val="4"/>
        <w:pageBreakBefore w:val="0"/>
        <w:widowControl w:val="0"/>
        <w:shd w:val="clear" w:color="auto" w:fill="auto"/>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第九条  双方的权利和义务</w:t>
      </w:r>
    </w:p>
    <w:p w14:paraId="159B12B6">
      <w:pPr>
        <w:pStyle w:val="8"/>
        <w:pageBreakBefore w:val="0"/>
        <w:widowControl w:val="0"/>
        <w:shd w:val="clear" w:color="auto" w:fill="auto"/>
        <w:kinsoku/>
        <w:wordWrap/>
        <w:overflowPunct/>
        <w:topLinePunct w:val="0"/>
        <w:autoSpaceDE/>
        <w:autoSpaceDN/>
        <w:bidi w:val="0"/>
        <w:adjustRightInd/>
        <w:snapToGrid/>
        <w:spacing w:before="210" w:after="210" w:line="240" w:lineRule="auto"/>
        <w:ind w:firstLine="64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（一）甲方的权利和义务</w:t>
      </w:r>
    </w:p>
    <w:p w14:paraId="1B3ACBB7">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30554AE4">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2．甲方有权依据双方签订的考评办法对乙方提供的服务进行定期考评。</w:t>
      </w:r>
    </w:p>
    <w:p w14:paraId="2CCB8584">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3．负责检查监督乙方管理工作的实施及制度的执行情况。</w:t>
      </w:r>
    </w:p>
    <w:p w14:paraId="48BA2338">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4．根据本合同规定，按时向乙方支付应付服务费用。</w:t>
      </w:r>
    </w:p>
    <w:p w14:paraId="0C2FD3AD">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5．验收应在甲方和乙方双方共同参加下进行。甲方组成验收小组按国家有关规定、规范进行验收，验收时将会邀请相关的专业人员或机构参与验收。</w:t>
      </w:r>
    </w:p>
    <w:p w14:paraId="4A564E67">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6．国家法律、法规所规定由甲方承担的其它责任。</w:t>
      </w:r>
    </w:p>
    <w:p w14:paraId="4F0A5947">
      <w:pPr>
        <w:pStyle w:val="8"/>
        <w:pageBreakBefore w:val="0"/>
        <w:widowControl w:val="0"/>
        <w:shd w:val="clear" w:color="auto" w:fill="auto"/>
        <w:kinsoku/>
        <w:wordWrap/>
        <w:overflowPunct/>
        <w:topLinePunct w:val="0"/>
        <w:autoSpaceDE/>
        <w:autoSpaceDN/>
        <w:bidi w:val="0"/>
        <w:adjustRightInd/>
        <w:snapToGrid/>
        <w:spacing w:before="210" w:after="210" w:line="240" w:lineRule="auto"/>
        <w:ind w:firstLine="64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（二）乙方的权利和义务</w:t>
      </w:r>
    </w:p>
    <w:p w14:paraId="0278EBFE">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1．对本合同规定的委托服务范围内的项目享有管理权及服务义务。</w:t>
      </w:r>
    </w:p>
    <w:p w14:paraId="5F0EDE09">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2．根据本合同的规定向甲方收取相关服务费用，并有权在本项目管理范围内管理及合理使用。</w:t>
      </w:r>
    </w:p>
    <w:p w14:paraId="5129242C">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3．及时向甲方通告本项目服务范围内有关服务的重大事项，及时配合处理投诉。</w:t>
      </w:r>
    </w:p>
    <w:p w14:paraId="175AC67C">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4．接受项目行业管理部门及政府有关部门的指导，接受甲方的监督。</w:t>
      </w:r>
    </w:p>
    <w:p w14:paraId="685E3258">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5．国家法律、法规所规定由乙方承担的其它责任。</w:t>
      </w:r>
    </w:p>
    <w:p w14:paraId="22EA830F">
      <w:pPr>
        <w:pStyle w:val="4"/>
        <w:pageBreakBefore w:val="0"/>
        <w:widowControl w:val="0"/>
        <w:shd w:val="clear" w:color="auto" w:fill="auto"/>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第十条  违约责任</w:t>
      </w:r>
    </w:p>
    <w:p w14:paraId="68784A2B">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1．甲乙双方必须遵守本合同并执行合同中的各项规定，保证本合同的正常履行。</w:t>
      </w:r>
    </w:p>
    <w:p w14:paraId="77BC8365">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5DFC5B09">
      <w:pPr>
        <w:pStyle w:val="4"/>
        <w:pageBreakBefore w:val="0"/>
        <w:widowControl w:val="0"/>
        <w:shd w:val="clear" w:color="auto" w:fill="auto"/>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第十一条  不可抗力事件处理</w:t>
      </w:r>
    </w:p>
    <w:p w14:paraId="15EFD1CE">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1．在合同有效期内，任何一方因不可抗力事件导致不能履行合同，则合同履行期可延长，其延长期与不可抗力影响期相同。</w:t>
      </w:r>
    </w:p>
    <w:p w14:paraId="3CBA354C">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2．不可抗力事件发生后，应立即通知对方，并寄送有关权威机构出具的证明。</w:t>
      </w:r>
    </w:p>
    <w:p w14:paraId="246200EB">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3．不可抗力事件延续15个日历日以上，双方应通过友好协商，确定是否继续履行合同。</w:t>
      </w:r>
    </w:p>
    <w:p w14:paraId="2C2B108F">
      <w:pPr>
        <w:pStyle w:val="4"/>
        <w:pageBreakBefore w:val="0"/>
        <w:widowControl w:val="0"/>
        <w:shd w:val="clear" w:color="auto" w:fill="auto"/>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第十二条  合同的变更和终止</w:t>
      </w:r>
    </w:p>
    <w:p w14:paraId="639CDE93">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除《中华人民共和国政府采购法》第49条、第50条第二款规定的情形外，本合同一经签订，甲乙双方不得擅自变更、中止或终止合同。</w:t>
      </w:r>
    </w:p>
    <w:p w14:paraId="3EC2C847">
      <w:pPr>
        <w:pStyle w:val="4"/>
        <w:pageBreakBefore w:val="0"/>
        <w:widowControl w:val="0"/>
        <w:shd w:val="clear" w:color="auto" w:fill="auto"/>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第十三条  解决合同纠纷的方式</w:t>
      </w:r>
    </w:p>
    <w:p w14:paraId="14EFDBDE">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1．在执行本合同中发生的或与本合同有关的争端，双方应通过友好协商解决，经协商在___天内不能达成协议时，则采取以下第___种方式解决争议：</w:t>
      </w:r>
    </w:p>
    <w:p w14:paraId="056D558C">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（1）向甲方所在地有管辖权的人民法院提起诉讼；</w:t>
      </w:r>
    </w:p>
    <w:p w14:paraId="1C5D6498">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（2）向西安仲裁委员会按其仲裁规则申请仲裁。</w:t>
      </w:r>
    </w:p>
    <w:p w14:paraId="609AC70A">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2．在仲裁期间，本合同应继续履行。</w:t>
      </w:r>
    </w:p>
    <w:p w14:paraId="40EB4E8C">
      <w:pPr>
        <w:pStyle w:val="4"/>
        <w:pageBreakBefore w:val="0"/>
        <w:widowControl w:val="0"/>
        <w:shd w:val="clear" w:color="auto" w:fill="auto"/>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第十四条  合同生效及其他</w:t>
      </w:r>
    </w:p>
    <w:p w14:paraId="59F6BFB1">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1．合同经双方法定代表人（单位负责人）或授权委托代理人签名并加盖单位公章并由采购代理机构盖章后生效。</w:t>
      </w:r>
    </w:p>
    <w:p w14:paraId="5874AFC7">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2．合同执行中涉及采购资金和采购内容修改或补充的，须经政府采购监管部门审批，并签书面补充协议报政府采购监督管理部门备案，方可作为主合同不可分割的一部分。</w:t>
      </w:r>
    </w:p>
    <w:p w14:paraId="3D4DA5CB">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3．本合同一式</w:t>
      </w:r>
      <w:r>
        <w:rPr>
          <w:rFonts w:hint="eastAsia" w:ascii="宋体" w:hAnsi="宋体" w:eastAsia="宋体" w:cs="宋体"/>
          <w:color w:val="auto"/>
          <w:sz w:val="24"/>
          <w:szCs w:val="24"/>
          <w:highlight w:val="none"/>
          <w:lang w:eastAsia="zh-CN"/>
        </w:rPr>
        <w:t>肆</w:t>
      </w:r>
      <w:r>
        <w:rPr>
          <w:rFonts w:hint="eastAsia" w:ascii="宋体" w:hAnsi="宋体" w:eastAsia="宋体" w:cs="宋体"/>
          <w:color w:val="auto"/>
          <w:sz w:val="24"/>
          <w:szCs w:val="24"/>
          <w:highlight w:val="none"/>
        </w:rPr>
        <w:t>份，自双方签章之日起起效。甲方贰份，乙方贰份</w:t>
      </w:r>
      <w:r>
        <w:rPr>
          <w:rFonts w:hint="eastAsia" w:ascii="宋体" w:hAnsi="宋体" w:eastAsia="宋体" w:cs="宋体"/>
          <w:color w:val="auto"/>
          <w:sz w:val="24"/>
          <w:szCs w:val="24"/>
          <w:highlight w:val="none"/>
          <w:lang w:eastAsia="zh-CN"/>
        </w:rPr>
        <w:t>。</w:t>
      </w:r>
    </w:p>
    <w:p w14:paraId="2B7E4DCA">
      <w:pPr>
        <w:pStyle w:val="4"/>
        <w:pageBreakBefore w:val="0"/>
        <w:widowControl w:val="0"/>
        <w:shd w:val="clear" w:color="auto" w:fill="auto"/>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第十五条  附件</w:t>
      </w:r>
    </w:p>
    <w:p w14:paraId="5F287587">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1．项目招标文件</w:t>
      </w:r>
    </w:p>
    <w:p w14:paraId="5ECB2E2E">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2．项目修改澄清文件</w:t>
      </w:r>
    </w:p>
    <w:p w14:paraId="78936649">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3．项目投标文件</w:t>
      </w:r>
    </w:p>
    <w:p w14:paraId="486D4B23">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4．成交通知书</w:t>
      </w:r>
    </w:p>
    <w:p w14:paraId="139A3556">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5．其他</w:t>
      </w:r>
    </w:p>
    <w:p w14:paraId="769546BC">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p>
    <w:p w14:paraId="226FC0DD">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（以下无正文）</w:t>
      </w:r>
    </w:p>
    <w:p w14:paraId="103A7E4B">
      <w:pPr>
        <w:shd w:val="clear" w:color="auto" w:fill="auto"/>
        <w:spacing w:line="560" w:lineRule="exact"/>
        <w:ind w:firstLine="480" w:firstLineChars="200"/>
        <w:jc w:val="both"/>
        <w:rPr>
          <w:rFonts w:hint="eastAsia" w:ascii="宋体" w:hAnsi="宋体" w:eastAsia="宋体" w:cs="宋体"/>
          <w:color w:val="auto"/>
          <w:sz w:val="24"/>
          <w:szCs w:val="24"/>
          <w:highlight w:val="none"/>
        </w:rPr>
      </w:pPr>
    </w:p>
    <w:tbl>
      <w:tblPr>
        <w:tblStyle w:val="6"/>
        <w:tblW w:w="8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2"/>
        <w:gridCol w:w="2672"/>
        <w:gridCol w:w="1762"/>
        <w:gridCol w:w="2672"/>
      </w:tblGrid>
      <w:tr w14:paraId="60462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noWrap w:val="0"/>
            <w:vAlign w:val="center"/>
          </w:tcPr>
          <w:p w14:paraId="474FF13C">
            <w:pPr>
              <w:shd w:val="clear" w:color="auto" w:fill="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w:t>
            </w:r>
          </w:p>
          <w:p w14:paraId="29E3EA40">
            <w:pPr>
              <w:shd w:val="clear" w:color="auto" w:fill="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（盖章）：</w:t>
            </w:r>
          </w:p>
        </w:tc>
        <w:tc>
          <w:tcPr>
            <w:tcW w:w="2494" w:type="dxa"/>
            <w:noWrap w:val="0"/>
            <w:vAlign w:val="center"/>
          </w:tcPr>
          <w:p w14:paraId="3263D3A1">
            <w:pPr>
              <w:shd w:val="clear" w:color="auto" w:fill="auto"/>
              <w:jc w:val="center"/>
              <w:rPr>
                <w:rFonts w:hint="eastAsia" w:ascii="宋体" w:hAnsi="宋体" w:eastAsia="宋体" w:cs="宋体"/>
                <w:color w:val="auto"/>
                <w:sz w:val="24"/>
                <w:szCs w:val="24"/>
                <w:highlight w:val="none"/>
              </w:rPr>
            </w:pPr>
          </w:p>
        </w:tc>
        <w:tc>
          <w:tcPr>
            <w:tcW w:w="1644" w:type="dxa"/>
            <w:noWrap w:val="0"/>
            <w:vAlign w:val="center"/>
          </w:tcPr>
          <w:p w14:paraId="401B860D">
            <w:pPr>
              <w:shd w:val="clear" w:color="auto" w:fill="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w:t>
            </w:r>
          </w:p>
          <w:p w14:paraId="5FE8205B">
            <w:pPr>
              <w:shd w:val="clear" w:color="auto" w:fill="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（盖章）：</w:t>
            </w:r>
          </w:p>
        </w:tc>
        <w:tc>
          <w:tcPr>
            <w:tcW w:w="2494" w:type="dxa"/>
            <w:noWrap w:val="0"/>
            <w:vAlign w:val="center"/>
          </w:tcPr>
          <w:p w14:paraId="7CA603B5">
            <w:pPr>
              <w:shd w:val="clear" w:color="auto" w:fill="auto"/>
              <w:jc w:val="center"/>
              <w:rPr>
                <w:rFonts w:hint="eastAsia" w:ascii="宋体" w:hAnsi="宋体" w:eastAsia="宋体" w:cs="宋体"/>
                <w:color w:val="auto"/>
                <w:sz w:val="24"/>
                <w:szCs w:val="24"/>
                <w:highlight w:val="none"/>
              </w:rPr>
            </w:pPr>
          </w:p>
        </w:tc>
      </w:tr>
      <w:tr w14:paraId="6C435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noWrap w:val="0"/>
            <w:vAlign w:val="center"/>
          </w:tcPr>
          <w:p w14:paraId="65730A43">
            <w:pPr>
              <w:shd w:val="clear" w:color="auto" w:fill="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p w14:paraId="1152B618">
            <w:pPr>
              <w:shd w:val="clear" w:color="auto" w:fill="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p>
        </w:tc>
        <w:tc>
          <w:tcPr>
            <w:tcW w:w="2494" w:type="dxa"/>
            <w:noWrap w:val="0"/>
            <w:vAlign w:val="center"/>
          </w:tcPr>
          <w:p w14:paraId="6654D27C">
            <w:pPr>
              <w:shd w:val="clear" w:color="auto" w:fill="auto"/>
              <w:jc w:val="center"/>
              <w:rPr>
                <w:rFonts w:hint="eastAsia" w:ascii="宋体" w:hAnsi="宋体" w:eastAsia="宋体" w:cs="宋体"/>
                <w:color w:val="auto"/>
                <w:sz w:val="24"/>
                <w:szCs w:val="24"/>
                <w:highlight w:val="none"/>
              </w:rPr>
            </w:pPr>
          </w:p>
        </w:tc>
        <w:tc>
          <w:tcPr>
            <w:tcW w:w="1644" w:type="dxa"/>
            <w:noWrap w:val="0"/>
            <w:vAlign w:val="center"/>
          </w:tcPr>
          <w:p w14:paraId="76DA0EFB">
            <w:pPr>
              <w:shd w:val="clear" w:color="auto" w:fill="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p w14:paraId="566A597D">
            <w:pPr>
              <w:shd w:val="clear" w:color="auto" w:fill="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p>
        </w:tc>
        <w:tc>
          <w:tcPr>
            <w:tcW w:w="2494" w:type="dxa"/>
            <w:noWrap w:val="0"/>
            <w:vAlign w:val="center"/>
          </w:tcPr>
          <w:p w14:paraId="707735BE">
            <w:pPr>
              <w:shd w:val="clear" w:color="auto" w:fill="auto"/>
              <w:jc w:val="center"/>
              <w:rPr>
                <w:rFonts w:hint="eastAsia" w:ascii="宋体" w:hAnsi="宋体" w:eastAsia="宋体" w:cs="宋体"/>
                <w:color w:val="auto"/>
                <w:sz w:val="24"/>
                <w:szCs w:val="24"/>
                <w:highlight w:val="none"/>
              </w:rPr>
            </w:pPr>
          </w:p>
        </w:tc>
      </w:tr>
      <w:tr w14:paraId="0B4CF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noWrap w:val="0"/>
            <w:vAlign w:val="center"/>
          </w:tcPr>
          <w:p w14:paraId="35CD258E">
            <w:pPr>
              <w:shd w:val="clear" w:color="auto" w:fill="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p>
        </w:tc>
        <w:tc>
          <w:tcPr>
            <w:tcW w:w="2494" w:type="dxa"/>
            <w:noWrap w:val="0"/>
            <w:vAlign w:val="center"/>
          </w:tcPr>
          <w:p w14:paraId="40AD11F7">
            <w:pPr>
              <w:shd w:val="clear" w:color="auto" w:fill="auto"/>
              <w:jc w:val="center"/>
              <w:rPr>
                <w:rFonts w:hint="eastAsia" w:ascii="宋体" w:hAnsi="宋体" w:eastAsia="宋体" w:cs="宋体"/>
                <w:color w:val="auto"/>
                <w:sz w:val="24"/>
                <w:szCs w:val="24"/>
                <w:highlight w:val="none"/>
              </w:rPr>
            </w:pPr>
          </w:p>
        </w:tc>
        <w:tc>
          <w:tcPr>
            <w:tcW w:w="1644" w:type="dxa"/>
            <w:noWrap w:val="0"/>
            <w:vAlign w:val="center"/>
          </w:tcPr>
          <w:p w14:paraId="24CEB105">
            <w:pPr>
              <w:shd w:val="clear" w:color="auto" w:fill="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p>
        </w:tc>
        <w:tc>
          <w:tcPr>
            <w:tcW w:w="2494" w:type="dxa"/>
            <w:noWrap w:val="0"/>
            <w:vAlign w:val="center"/>
          </w:tcPr>
          <w:p w14:paraId="0D3999D1">
            <w:pPr>
              <w:shd w:val="clear" w:color="auto" w:fill="auto"/>
              <w:jc w:val="center"/>
              <w:rPr>
                <w:rFonts w:hint="eastAsia" w:ascii="宋体" w:hAnsi="宋体" w:eastAsia="宋体" w:cs="宋体"/>
                <w:color w:val="auto"/>
                <w:sz w:val="24"/>
                <w:szCs w:val="24"/>
                <w:highlight w:val="none"/>
              </w:rPr>
            </w:pPr>
          </w:p>
        </w:tc>
      </w:tr>
      <w:tr w14:paraId="0E755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noWrap w:val="0"/>
            <w:vAlign w:val="center"/>
          </w:tcPr>
          <w:p w14:paraId="75DDDE9B">
            <w:pPr>
              <w:shd w:val="clear" w:color="auto" w:fill="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c>
          <w:tcPr>
            <w:tcW w:w="2494" w:type="dxa"/>
            <w:noWrap w:val="0"/>
            <w:vAlign w:val="center"/>
          </w:tcPr>
          <w:p w14:paraId="6F5B801A">
            <w:pPr>
              <w:shd w:val="clear" w:color="auto" w:fill="auto"/>
              <w:jc w:val="center"/>
              <w:rPr>
                <w:rFonts w:hint="eastAsia" w:ascii="宋体" w:hAnsi="宋体" w:eastAsia="宋体" w:cs="宋体"/>
                <w:color w:val="auto"/>
                <w:sz w:val="24"/>
                <w:szCs w:val="24"/>
                <w:highlight w:val="none"/>
              </w:rPr>
            </w:pPr>
          </w:p>
        </w:tc>
        <w:tc>
          <w:tcPr>
            <w:tcW w:w="1644" w:type="dxa"/>
            <w:noWrap w:val="0"/>
            <w:vAlign w:val="center"/>
          </w:tcPr>
          <w:p w14:paraId="21CDAA52">
            <w:pPr>
              <w:shd w:val="clear" w:color="auto" w:fill="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c>
          <w:tcPr>
            <w:tcW w:w="2494" w:type="dxa"/>
            <w:noWrap w:val="0"/>
            <w:vAlign w:val="center"/>
          </w:tcPr>
          <w:p w14:paraId="314A23CE">
            <w:pPr>
              <w:shd w:val="clear" w:color="auto" w:fill="auto"/>
              <w:jc w:val="center"/>
              <w:rPr>
                <w:rFonts w:hint="eastAsia" w:ascii="宋体" w:hAnsi="宋体" w:eastAsia="宋体" w:cs="宋体"/>
                <w:color w:val="auto"/>
                <w:sz w:val="24"/>
                <w:szCs w:val="24"/>
                <w:highlight w:val="none"/>
              </w:rPr>
            </w:pPr>
          </w:p>
        </w:tc>
      </w:tr>
      <w:tr w14:paraId="309F7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noWrap w:val="0"/>
            <w:vAlign w:val="center"/>
          </w:tcPr>
          <w:p w14:paraId="70983F06">
            <w:pPr>
              <w:shd w:val="clear" w:color="auto" w:fill="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银行帐号：</w:t>
            </w:r>
          </w:p>
        </w:tc>
        <w:tc>
          <w:tcPr>
            <w:tcW w:w="2494" w:type="dxa"/>
            <w:noWrap w:val="0"/>
            <w:vAlign w:val="center"/>
          </w:tcPr>
          <w:p w14:paraId="0035ED69">
            <w:pPr>
              <w:shd w:val="clear" w:color="auto" w:fill="auto"/>
              <w:jc w:val="center"/>
              <w:rPr>
                <w:rFonts w:hint="eastAsia" w:ascii="宋体" w:hAnsi="宋体" w:eastAsia="宋体" w:cs="宋体"/>
                <w:color w:val="auto"/>
                <w:sz w:val="24"/>
                <w:szCs w:val="24"/>
                <w:highlight w:val="none"/>
              </w:rPr>
            </w:pPr>
          </w:p>
        </w:tc>
        <w:tc>
          <w:tcPr>
            <w:tcW w:w="1644" w:type="dxa"/>
            <w:noWrap w:val="0"/>
            <w:vAlign w:val="center"/>
          </w:tcPr>
          <w:p w14:paraId="19C33A54">
            <w:pPr>
              <w:shd w:val="clear" w:color="auto" w:fill="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银行帐号：</w:t>
            </w:r>
          </w:p>
        </w:tc>
        <w:tc>
          <w:tcPr>
            <w:tcW w:w="2494" w:type="dxa"/>
            <w:noWrap w:val="0"/>
            <w:vAlign w:val="center"/>
          </w:tcPr>
          <w:p w14:paraId="39CF7B0E">
            <w:pPr>
              <w:shd w:val="clear" w:color="auto" w:fill="auto"/>
              <w:jc w:val="center"/>
              <w:rPr>
                <w:rFonts w:hint="eastAsia" w:ascii="宋体" w:hAnsi="宋体" w:eastAsia="宋体" w:cs="宋体"/>
                <w:color w:val="auto"/>
                <w:sz w:val="24"/>
                <w:szCs w:val="24"/>
                <w:highlight w:val="none"/>
              </w:rPr>
            </w:pPr>
          </w:p>
        </w:tc>
      </w:tr>
      <w:tr w14:paraId="60379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noWrap w:val="0"/>
            <w:vAlign w:val="center"/>
          </w:tcPr>
          <w:p w14:paraId="3B04ADA7">
            <w:pPr>
              <w:shd w:val="clear" w:color="auto" w:fill="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p>
        </w:tc>
        <w:tc>
          <w:tcPr>
            <w:tcW w:w="2494" w:type="dxa"/>
            <w:noWrap w:val="0"/>
            <w:vAlign w:val="center"/>
          </w:tcPr>
          <w:p w14:paraId="0727C968">
            <w:pPr>
              <w:shd w:val="clear" w:color="auto" w:fill="auto"/>
              <w:jc w:val="center"/>
              <w:rPr>
                <w:rFonts w:hint="eastAsia" w:ascii="宋体" w:hAnsi="宋体" w:eastAsia="宋体" w:cs="宋体"/>
                <w:color w:val="auto"/>
                <w:sz w:val="24"/>
                <w:szCs w:val="24"/>
                <w:highlight w:val="none"/>
              </w:rPr>
            </w:pPr>
          </w:p>
        </w:tc>
        <w:tc>
          <w:tcPr>
            <w:tcW w:w="1644" w:type="dxa"/>
            <w:noWrap w:val="0"/>
            <w:vAlign w:val="center"/>
          </w:tcPr>
          <w:p w14:paraId="18887DAA">
            <w:pPr>
              <w:shd w:val="clear" w:color="auto" w:fill="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p>
        </w:tc>
        <w:tc>
          <w:tcPr>
            <w:tcW w:w="2494" w:type="dxa"/>
            <w:noWrap w:val="0"/>
            <w:vAlign w:val="center"/>
          </w:tcPr>
          <w:p w14:paraId="052640C1">
            <w:pPr>
              <w:shd w:val="clear" w:color="auto" w:fill="auto"/>
              <w:jc w:val="center"/>
              <w:rPr>
                <w:rFonts w:hint="eastAsia" w:ascii="宋体" w:hAnsi="宋体" w:eastAsia="宋体" w:cs="宋体"/>
                <w:color w:val="auto"/>
                <w:sz w:val="24"/>
                <w:szCs w:val="24"/>
                <w:highlight w:val="none"/>
              </w:rPr>
            </w:pPr>
          </w:p>
        </w:tc>
      </w:tr>
      <w:tr w14:paraId="7D6FE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noWrap w:val="0"/>
            <w:vAlign w:val="center"/>
          </w:tcPr>
          <w:p w14:paraId="2E6E1F4F">
            <w:pPr>
              <w:shd w:val="clear" w:color="auto" w:fill="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p>
        </w:tc>
        <w:tc>
          <w:tcPr>
            <w:tcW w:w="2494" w:type="dxa"/>
            <w:noWrap w:val="0"/>
            <w:vAlign w:val="center"/>
          </w:tcPr>
          <w:p w14:paraId="76CBA47B">
            <w:pPr>
              <w:shd w:val="clear" w:color="auto" w:fill="auto"/>
              <w:jc w:val="center"/>
              <w:rPr>
                <w:rFonts w:hint="eastAsia" w:ascii="宋体" w:hAnsi="宋体" w:eastAsia="宋体" w:cs="宋体"/>
                <w:color w:val="auto"/>
                <w:sz w:val="24"/>
                <w:szCs w:val="24"/>
                <w:highlight w:val="none"/>
              </w:rPr>
            </w:pPr>
          </w:p>
        </w:tc>
        <w:tc>
          <w:tcPr>
            <w:tcW w:w="1644" w:type="dxa"/>
            <w:noWrap w:val="0"/>
            <w:vAlign w:val="center"/>
          </w:tcPr>
          <w:p w14:paraId="79AB942C">
            <w:pPr>
              <w:shd w:val="clear" w:color="auto" w:fill="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p>
        </w:tc>
        <w:tc>
          <w:tcPr>
            <w:tcW w:w="2494" w:type="dxa"/>
            <w:noWrap w:val="0"/>
            <w:vAlign w:val="center"/>
          </w:tcPr>
          <w:p w14:paraId="1A044457">
            <w:pPr>
              <w:shd w:val="clear" w:color="auto" w:fill="auto"/>
              <w:jc w:val="center"/>
              <w:rPr>
                <w:rFonts w:hint="eastAsia" w:ascii="宋体" w:hAnsi="宋体" w:eastAsia="宋体" w:cs="宋体"/>
                <w:color w:val="auto"/>
                <w:sz w:val="24"/>
                <w:szCs w:val="24"/>
                <w:highlight w:val="none"/>
              </w:rPr>
            </w:pPr>
          </w:p>
        </w:tc>
      </w:tr>
      <w:tr w14:paraId="24F49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noWrap w:val="0"/>
            <w:vAlign w:val="center"/>
          </w:tcPr>
          <w:p w14:paraId="034AC5BD">
            <w:pPr>
              <w:shd w:val="clear" w:color="auto" w:fill="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签约日期：</w:t>
            </w:r>
          </w:p>
        </w:tc>
        <w:tc>
          <w:tcPr>
            <w:tcW w:w="2494" w:type="dxa"/>
            <w:noWrap w:val="0"/>
            <w:vAlign w:val="center"/>
          </w:tcPr>
          <w:p w14:paraId="1BC7E4B3">
            <w:pPr>
              <w:shd w:val="clear" w:color="auto" w:fill="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 月 日</w:t>
            </w:r>
          </w:p>
        </w:tc>
        <w:tc>
          <w:tcPr>
            <w:tcW w:w="1644" w:type="dxa"/>
            <w:noWrap w:val="0"/>
            <w:vAlign w:val="center"/>
          </w:tcPr>
          <w:p w14:paraId="76E52F11">
            <w:pPr>
              <w:shd w:val="clear" w:color="auto" w:fill="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签约日期：</w:t>
            </w:r>
          </w:p>
        </w:tc>
        <w:tc>
          <w:tcPr>
            <w:tcW w:w="2494" w:type="dxa"/>
            <w:noWrap w:val="0"/>
            <w:vAlign w:val="center"/>
          </w:tcPr>
          <w:p w14:paraId="139A90D9">
            <w:pPr>
              <w:shd w:val="clear" w:color="auto" w:fill="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 月 日</w:t>
            </w:r>
          </w:p>
        </w:tc>
      </w:tr>
    </w:tbl>
    <w:p w14:paraId="236BE2B1">
      <w:pPr>
        <w:shd w:val="clear" w:color="auto" w:fill="auto"/>
        <w:spacing w:line="560" w:lineRule="exact"/>
        <w:ind w:firstLine="560" w:firstLineChars="200"/>
        <w:rPr>
          <w:rFonts w:hint="eastAsia" w:ascii="宋体" w:hAnsi="宋体" w:cs="宋体"/>
          <w:color w:val="auto"/>
          <w:sz w:val="28"/>
          <w:szCs w:val="28"/>
          <w:highlight w:val="none"/>
        </w:rPr>
      </w:pPr>
      <w:r>
        <w:rPr>
          <w:rFonts w:hint="eastAsia" w:ascii="宋体" w:hAnsi="宋体" w:cs="宋体"/>
          <w:color w:val="auto"/>
          <w:sz w:val="28"/>
          <w:szCs w:val="28"/>
          <w:highlight w:val="none"/>
        </w:rPr>
        <w:t xml:space="preserve">   </w:t>
      </w:r>
    </w:p>
    <w:p w14:paraId="0EF45798">
      <w:pPr>
        <w:shd w:val="clear" w:color="auto" w:fill="auto"/>
        <w:rPr>
          <w:rFonts w:hint="eastAsia" w:ascii="宋体" w:hAnsi="宋体" w:cs="宋体"/>
          <w:color w:val="auto"/>
          <w:kern w:val="0"/>
          <w:sz w:val="28"/>
          <w:szCs w:val="28"/>
          <w:highlight w:val="none"/>
        </w:rPr>
      </w:pPr>
    </w:p>
    <w:p w14:paraId="71ACEDB6">
      <w:pPr>
        <w:shd w:val="clear" w:color="auto" w:fill="auto"/>
        <w:spacing w:line="440" w:lineRule="exact"/>
        <w:rPr>
          <w:rFonts w:hint="eastAsia" w:ascii="宋体" w:hAnsi="宋体" w:cs="宋体"/>
          <w:b/>
          <w:bCs/>
          <w:color w:val="auto"/>
          <w:sz w:val="28"/>
          <w:szCs w:val="28"/>
          <w:highlight w:val="none"/>
        </w:rPr>
      </w:pPr>
    </w:p>
    <w:p w14:paraId="19CB416B">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swiss"/>
    <w:pitch w:val="default"/>
    <w:sig w:usb0="E4002EFF" w:usb1="C200247B" w:usb2="00000009" w:usb3="00000000" w:csb0="200001FF" w:csb1="00000000"/>
  </w:font>
  <w:font w:name="华文仿宋">
    <w:altName w:val="仿宋"/>
    <w:panose1 w:val="02010600040101010101"/>
    <w:charset w:val="86"/>
    <w:family w:val="auto"/>
    <w:pitch w:val="default"/>
    <w:sig w:usb0="00000000" w:usb1="00000000" w:usb2="00000010" w:usb3="00000000" w:csb0="0004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B222C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paragraph" w:styleId="3">
    <w:name w:val="heading 1"/>
    <w:basedOn w:val="1"/>
    <w:next w:val="1"/>
    <w:qFormat/>
    <w:uiPriority w:val="0"/>
    <w:pPr>
      <w:keepNext/>
      <w:keepLines/>
      <w:spacing w:before="340" w:beforeLines="0" w:after="330" w:afterLines="0" w:line="576" w:lineRule="auto"/>
      <w:outlineLvl w:val="0"/>
    </w:pPr>
    <w:rPr>
      <w:b/>
      <w:bCs/>
      <w:kern w:val="44"/>
      <w:sz w:val="44"/>
      <w:szCs w:val="44"/>
    </w:rPr>
  </w:style>
  <w:style w:type="paragraph" w:styleId="4">
    <w:name w:val="heading 2"/>
    <w:basedOn w:val="1"/>
    <w:next w:val="1"/>
    <w:qFormat/>
    <w:uiPriority w:val="0"/>
    <w:pPr>
      <w:keepNext/>
      <w:keepLines/>
      <w:spacing w:before="260" w:beforeLines="0" w:after="260" w:afterLines="0" w:line="413" w:lineRule="auto"/>
      <w:outlineLvl w:val="1"/>
    </w:pPr>
    <w:rPr>
      <w:rFonts w:ascii="Arial" w:hAnsi="Arial" w:eastAsia="黑体"/>
      <w:b/>
      <w:bCs/>
      <w:sz w:val="32"/>
      <w:szCs w:val="32"/>
    </w:rPr>
  </w:style>
  <w:style w:type="character" w:default="1" w:styleId="7">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alloon Text"/>
    <w:basedOn w:val="1"/>
    <w:qFormat/>
    <w:uiPriority w:val="0"/>
    <w:rPr>
      <w:sz w:val="18"/>
      <w:szCs w:val="18"/>
    </w:rPr>
  </w:style>
  <w:style w:type="table" w:styleId="6">
    <w:name w:val="Table Grid"/>
    <w:basedOn w:val="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样式2"/>
    <w:basedOn w:val="9"/>
    <w:qFormat/>
    <w:uiPriority w:val="0"/>
    <w:pPr>
      <w:spacing w:line="480" w:lineRule="exact"/>
    </w:pPr>
    <w:rPr>
      <w:rFonts w:ascii="宋体" w:hAnsi="宋体"/>
      <w:b/>
      <w:sz w:val="21"/>
      <w:szCs w:val="21"/>
      <w:u w:val="single"/>
      <w:shd w:val="pct10" w:color="auto" w:fill="FFFFFF"/>
    </w:rPr>
  </w:style>
  <w:style w:type="paragraph" w:customStyle="1" w:styleId="9">
    <w:name w:val="@标题"/>
    <w:basedOn w:val="1"/>
    <w:next w:val="10"/>
    <w:qFormat/>
    <w:uiPriority w:val="0"/>
    <w:pPr>
      <w:keepNext/>
      <w:spacing w:before="50" w:beforeLines="50" w:after="50" w:afterLines="50"/>
      <w:jc w:val="center"/>
      <w:outlineLvl w:val="1"/>
    </w:pPr>
    <w:rPr>
      <w:rFonts w:ascii="Calibri" w:hAnsi="Calibri" w:eastAsia="黑体"/>
      <w:kern w:val="32"/>
      <w:sz w:val="32"/>
    </w:rPr>
  </w:style>
  <w:style w:type="paragraph" w:customStyle="1" w:styleId="10">
    <w:name w:val="@正文"/>
    <w:basedOn w:val="11"/>
    <w:qFormat/>
    <w:uiPriority w:val="0"/>
    <w:pPr>
      <w:wordWrap/>
      <w:spacing w:line="240" w:lineRule="auto"/>
      <w:ind w:firstLine="200" w:firstLineChars="200"/>
      <w:jc w:val="both"/>
    </w:pPr>
    <w:rPr>
      <w:rFonts w:ascii="Calibri" w:hAnsi="Calibri" w:eastAsia="宋体" w:cs="Calibri"/>
      <w:color w:val="000000"/>
      <w:kern w:val="24"/>
      <w:sz w:val="24"/>
      <w:szCs w:val="24"/>
    </w:rPr>
  </w:style>
  <w:style w:type="paragraph" w:customStyle="1" w:styleId="11">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2025-09-08T07:54:27Z</dcterms:created>
  <dc:creator>Administrator</dc:creator>
  <cp:lastModifiedBy>樱花街的盛夏</cp:lastModifiedBy>
  <dcterms:modified xsi:type="dcterms:W3CDTF">2025-09-08T07:54:51Z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eyJoZGlkIjoiMjgyMThkNjQ5ODY3Mzc2NzA0Mzc1NmJjOTQ4NDJhZmMiLCJ1c2VySWQiOiI2NDcxNzE4MDkifQ==</vt:lpwstr>
  </property>
  <property fmtid="{D5CDD505-2E9C-101B-9397-08002B2CF9AE}" pid="4" name="ICV">
    <vt:lpwstr>C54963B92FD34FEC881E8443A12B17DE_12</vt:lpwstr>
  </property>
</Properties>
</file>