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版本号：ZX2025-09-0220250908001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舞蹈地胶采购项目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ZX2025-09-02</w:t>
      </w:r>
      <w:r>
        <w:br/>
      </w:r>
      <w:r>
        <w:br/>
      </w:r>
      <w:r>
        <w:br/>
      </w:r>
    </w:p>
    <w:p>
      <w:pPr>
        <w:pStyle w:val="null3"/>
        <w:jc w:val="center"/>
        <w:outlineLvl w:val="2"/>
      </w:pPr>
      <w:r>
        <w:rPr>
          <w:rFonts w:ascii="仿宋_GB2312" w:hAnsi="仿宋_GB2312" w:cs="仿宋_GB2312" w:eastAsia="仿宋_GB2312"/>
          <w:sz w:val="28"/>
          <w:b/>
        </w:rPr>
        <w:t>西安戏剧学院筹建中心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西安戏剧学院筹建中心</w:t>
      </w:r>
      <w:r>
        <w:rPr>
          <w:rFonts w:ascii="仿宋_GB2312" w:hAnsi="仿宋_GB2312" w:cs="仿宋_GB2312" w:eastAsia="仿宋_GB2312"/>
        </w:rPr>
        <w:t>委托，拟对</w:t>
      </w:r>
      <w:r>
        <w:rPr>
          <w:rFonts w:ascii="仿宋_GB2312" w:hAnsi="仿宋_GB2312" w:cs="仿宋_GB2312" w:eastAsia="仿宋_GB2312"/>
        </w:rPr>
        <w:t>舞蹈地胶采购项目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舞蹈地胶采购项目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本项目为舞蹈教室地胶铺设采购项目，1项。具体内容详见招标文件第三章。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采购包1（舞蹈地胶采购）：属于专门面向中小企业采购。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西安戏剧学院筹建中心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西安市西咸新区秦汉新城兰池大道369号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029-85261263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采购包1保证金金额：15,902.00元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验收合格后无质量问题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代理服务费收费标准：代理服务费的收取参见国家计委颁布的《招标代理服务收费管理暂行办法》(计价格[2002]1980 号)和(发改办价格[2003]857 号)收费标准下浮25%计取。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踏勘时间：2025-09-16 10:00:00</w:t>
            </w:r>
          </w:p>
          <w:p>
            <w:pPr>
              <w:pStyle w:val="null3"/>
              <w:ind w:firstLine="975"/>
            </w:pPr>
            <w:r>
              <w:rPr>
                <w:rFonts w:ascii="仿宋_GB2312" w:hAnsi="仿宋_GB2312" w:cs="仿宋_GB2312" w:eastAsia="仿宋_GB2312"/>
              </w:rPr>
              <w:t>踏勘地点：西安戏剧学院2-4教学楼（投标人自行踏勘，不统一组织踏勘）</w:t>
            </w:r>
          </w:p>
          <w:p>
            <w:pPr>
              <w:pStyle w:val="null3"/>
              <w:ind w:firstLine="975"/>
            </w:pPr>
            <w:r>
              <w:rPr>
                <w:rFonts w:ascii="仿宋_GB2312" w:hAnsi="仿宋_GB2312" w:cs="仿宋_GB2312" w:eastAsia="仿宋_GB2312"/>
              </w:rPr>
              <w:t>联系人：富老师</w:t>
            </w:r>
          </w:p>
          <w:p>
            <w:pPr>
              <w:pStyle w:val="null3"/>
              <w:ind w:firstLine="975"/>
            </w:pPr>
            <w:r>
              <w:rPr>
                <w:rFonts w:ascii="仿宋_GB2312" w:hAnsi="仿宋_GB2312" w:cs="仿宋_GB2312" w:eastAsia="仿宋_GB2312"/>
              </w:rPr>
              <w:t>联系电话号码：13080900502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西安戏剧学院筹建中心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西安戏剧学院筹建中心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西安戏剧学院筹建中心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祁鑫</w:t>
      </w:r>
    </w:p>
    <w:p>
      <w:pPr>
        <w:pStyle w:val="null3"/>
      </w:pPr>
      <w:r>
        <w:rPr>
          <w:rFonts w:ascii="仿宋_GB2312" w:hAnsi="仿宋_GB2312" w:cs="仿宋_GB2312" w:eastAsia="仿宋_GB2312"/>
        </w:rPr>
        <w:t>联系电话：029-88110800转8032（438904813@qq.com）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本项目为舞蹈教室地胶铺设采购项目，1项。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舞蹈地胶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标的名称：舞蹈地胶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65" w:after="165"/>
              <w:jc w:val="both"/>
            </w:pPr>
            <w:r>
              <w:rPr>
                <w:rFonts w:ascii="仿宋_GB2312" w:hAnsi="仿宋_GB2312" w:cs="仿宋_GB2312" w:eastAsia="仿宋_GB2312"/>
              </w:rPr>
              <w:t>一、采购内容清单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面积（㎡）</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舞蹈教室PVC塑胶地板</w:t>
                  </w:r>
                </w:p>
              </w:tc>
              <w:tc>
                <w:tcPr>
                  <w:tcW w:type="dxa" w:w="638"/>
                </w:tcPr>
                <w:p>
                  <w:pPr>
                    <w:pStyle w:val="null3"/>
                  </w:pPr>
                  <w:r>
                    <w:rPr>
                      <w:rFonts w:ascii="仿宋_GB2312" w:hAnsi="仿宋_GB2312" w:cs="仿宋_GB2312" w:eastAsia="仿宋_GB2312"/>
                    </w:rPr>
                    <w:t>4000.00（预计）</w:t>
                  </w:r>
                </w:p>
              </w:tc>
              <w:tc>
                <w:tcPr>
                  <w:tcW w:type="dxa" w:w="638"/>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二、技术参数要求</w:t>
            </w:r>
          </w:p>
          <w:p>
            <w:pPr>
              <w:pStyle w:val="null3"/>
            </w:pPr>
            <w:r>
              <w:rPr>
                <w:rFonts w:ascii="仿宋_GB2312" w:hAnsi="仿宋_GB2312" w:cs="仿宋_GB2312" w:eastAsia="仿宋_GB2312"/>
              </w:rPr>
              <w:t>1.舞蹈级PVC塑胶地板。</w:t>
            </w:r>
          </w:p>
          <w:p>
            <w:pPr>
              <w:pStyle w:val="null3"/>
            </w:pPr>
            <w:r>
              <w:rPr>
                <w:rFonts w:ascii="仿宋_GB2312" w:hAnsi="仿宋_GB2312" w:cs="仿宋_GB2312" w:eastAsia="仿宋_GB2312"/>
              </w:rPr>
              <w:t>2.外观质量：色泽均匀,无色差,无裂痕。</w:t>
            </w:r>
          </w:p>
          <w:p>
            <w:pPr>
              <w:pStyle w:val="null3"/>
            </w:pPr>
            <w:r>
              <w:rPr>
                <w:rFonts w:ascii="仿宋_GB2312" w:hAnsi="仿宋_GB2312" w:cs="仿宋_GB2312" w:eastAsia="仿宋_GB2312"/>
              </w:rPr>
              <w:t>3.分层缺陷无</w:t>
            </w:r>
          </w:p>
          <w:p>
            <w:pPr>
              <w:pStyle w:val="null3"/>
            </w:pPr>
            <w:r>
              <w:rPr>
                <w:rFonts w:ascii="仿宋_GB2312" w:hAnsi="仿宋_GB2312" w:cs="仿宋_GB2312" w:eastAsia="仿宋_GB2312"/>
              </w:rPr>
              <w:t>4.宽幅：≥ 2米；</w:t>
            </w:r>
          </w:p>
          <w:p>
            <w:pPr>
              <w:pStyle w:val="null3"/>
            </w:pPr>
            <w:r>
              <w:rPr>
                <w:rFonts w:ascii="仿宋_GB2312" w:hAnsi="仿宋_GB2312" w:cs="仿宋_GB2312" w:eastAsia="仿宋_GB2312"/>
              </w:rPr>
              <w:t>5.厚度≥5mm，通透材质。</w:t>
            </w:r>
          </w:p>
          <w:p>
            <w:pPr>
              <w:pStyle w:val="null3"/>
            </w:pPr>
            <w:r>
              <w:rPr>
                <w:rFonts w:ascii="仿宋_GB2312" w:hAnsi="仿宋_GB2312" w:cs="仿宋_GB2312" w:eastAsia="仿宋_GB2312"/>
              </w:rPr>
              <w:t>6.厚度差：± 0.20mm</w:t>
            </w:r>
          </w:p>
          <w:p>
            <w:pPr>
              <w:pStyle w:val="null3"/>
            </w:pPr>
            <w:r>
              <w:rPr>
                <w:rFonts w:ascii="仿宋_GB2312" w:hAnsi="仿宋_GB2312" w:cs="仿宋_GB2312" w:eastAsia="仿宋_GB2312"/>
              </w:rPr>
              <w:t>7.耐磨性：≤ 10mm</w:t>
            </w:r>
          </w:p>
          <w:p>
            <w:pPr>
              <w:pStyle w:val="null3"/>
            </w:pPr>
            <w:r>
              <w:rPr>
                <w:rFonts w:ascii="仿宋_GB2312" w:hAnsi="仿宋_GB2312" w:cs="仿宋_GB2312" w:eastAsia="仿宋_GB2312"/>
              </w:rPr>
              <w:t>8.回弹值：≥ 10%</w:t>
            </w:r>
          </w:p>
          <w:p>
            <w:pPr>
              <w:pStyle w:val="null3"/>
            </w:pPr>
            <w:r>
              <w:rPr>
                <w:rFonts w:ascii="仿宋_GB2312" w:hAnsi="仿宋_GB2312" w:cs="仿宋_GB2312" w:eastAsia="仿宋_GB2312"/>
              </w:rPr>
              <w:t>9.拉伸强度(MPa）：≥2.0</w:t>
            </w:r>
          </w:p>
          <w:p>
            <w:pPr>
              <w:pStyle w:val="null3"/>
            </w:pPr>
            <w:r>
              <w:rPr>
                <w:rFonts w:ascii="仿宋_GB2312" w:hAnsi="仿宋_GB2312" w:cs="仿宋_GB2312" w:eastAsia="仿宋_GB2312"/>
              </w:rPr>
              <w:t>10.扯断伸长率：≥120%</w:t>
            </w:r>
          </w:p>
          <w:p>
            <w:pPr>
              <w:pStyle w:val="null3"/>
            </w:pPr>
            <w:r>
              <w:rPr>
                <w:rFonts w:ascii="仿宋_GB2312" w:hAnsi="仿宋_GB2312" w:cs="仿宋_GB2312" w:eastAsia="仿宋_GB2312"/>
              </w:rPr>
              <w:t>11.阻燃性：1级</w:t>
            </w:r>
          </w:p>
          <w:p>
            <w:pPr>
              <w:pStyle w:val="null3"/>
            </w:pPr>
            <w:r>
              <w:rPr>
                <w:rFonts w:ascii="仿宋_GB2312" w:hAnsi="仿宋_GB2312" w:cs="仿宋_GB2312" w:eastAsia="仿宋_GB2312"/>
              </w:rPr>
              <w:t>12.摩擦系数：0.5～0.7</w:t>
            </w:r>
          </w:p>
          <w:p>
            <w:pPr>
              <w:pStyle w:val="null3"/>
            </w:pPr>
            <w:r>
              <w:rPr>
                <w:rFonts w:ascii="仿宋_GB2312" w:hAnsi="仿宋_GB2312" w:cs="仿宋_GB2312" w:eastAsia="仿宋_GB2312"/>
              </w:rPr>
              <w:t>13.氯乙烯单体含量：≤5mg/kg</w:t>
            </w:r>
          </w:p>
          <w:p>
            <w:pPr>
              <w:pStyle w:val="null3"/>
            </w:pPr>
            <w:r>
              <w:rPr>
                <w:rFonts w:ascii="仿宋_GB2312" w:hAnsi="仿宋_GB2312" w:cs="仿宋_GB2312" w:eastAsia="仿宋_GB2312"/>
              </w:rPr>
              <w:t>14.可溶性铅含量：≤20mg/㎡</w:t>
            </w:r>
          </w:p>
          <w:p>
            <w:pPr>
              <w:pStyle w:val="null3"/>
            </w:pPr>
            <w:r>
              <w:rPr>
                <w:rFonts w:ascii="仿宋_GB2312" w:hAnsi="仿宋_GB2312" w:cs="仿宋_GB2312" w:eastAsia="仿宋_GB2312"/>
              </w:rPr>
              <w:t>15.可溶性镉含量：≤20mg/㎡</w:t>
            </w:r>
          </w:p>
          <w:p>
            <w:pPr>
              <w:pStyle w:val="null3"/>
            </w:pPr>
            <w:r>
              <w:rPr>
                <w:rFonts w:ascii="仿宋_GB2312" w:hAnsi="仿宋_GB2312" w:cs="仿宋_GB2312" w:eastAsia="仿宋_GB2312"/>
              </w:rPr>
              <w:t>16.挥发物含量：≤75mg/㎡</w:t>
            </w:r>
          </w:p>
          <w:p>
            <w:pPr>
              <w:pStyle w:val="null3"/>
            </w:pPr>
            <w:r>
              <w:rPr>
                <w:rFonts w:ascii="仿宋_GB2312" w:hAnsi="仿宋_GB2312" w:cs="仿宋_GB2312" w:eastAsia="仿宋_GB2312"/>
              </w:rPr>
              <w:t>17.产品所需特点：原材料需符合国家建筑材料测试检验标准，防水防滑，无味，不反光，缓冲性，耐冲击性，隔热性，耐温性，耐化学性等优点，有良好的隔音效果。</w:t>
            </w:r>
          </w:p>
          <w:p>
            <w:pPr>
              <w:pStyle w:val="null3"/>
            </w:pPr>
            <w:r>
              <w:rPr>
                <w:rFonts w:ascii="仿宋_GB2312" w:hAnsi="仿宋_GB2312" w:cs="仿宋_GB2312" w:eastAsia="仿宋_GB2312"/>
              </w:rPr>
              <w:t>18.重量：每平方米≥7KG。</w:t>
            </w:r>
          </w:p>
          <w:p>
            <w:pPr>
              <w:pStyle w:val="null3"/>
            </w:pPr>
            <w:r>
              <w:rPr>
                <w:rFonts w:ascii="仿宋_GB2312" w:hAnsi="仿宋_GB2312" w:cs="仿宋_GB2312" w:eastAsia="仿宋_GB2312"/>
              </w:rPr>
              <w:t>19.其他：颜色需中标人提供色板与采购人沟通后确定。</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本项目为交钥匙项目，中标人须负责备货、运输、交货及铺设、安装辅料直至交付使用。</w:t>
            </w:r>
          </w:p>
          <w:p>
            <w:pPr>
              <w:pStyle w:val="null3"/>
            </w:pPr>
            <w:r>
              <w:rPr>
                <w:rFonts w:ascii="仿宋_GB2312" w:hAnsi="仿宋_GB2312" w:cs="仿宋_GB2312" w:eastAsia="仿宋_GB2312"/>
              </w:rPr>
              <w:t>本项目铺设面积预计4000㎡，最终结算以实际测量面积为准进行结算。</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签订合同后第二天起算，15日内完成生产、运输及铺设。</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西安戏剧学院指定地点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投标人需在项目电子化交易系统中按要求上传相应证明文件、填写《投标函》并进行电子签章。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投标人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响应产品的制造商应为中型企业或小型、微型企业或监狱企业或残疾人福利性单位。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 (2)总报价超过招标文件中规定的项目预算金额或最高限价的； (3)不满足本招标文件中“交货时间、交货地点、支付方式、支付约定、质量保修范围和保修期"的实质性条款要求的； (4)投标有效期不足的或无有效期的； (5)法律、法规和招标文件规定的其他无效情形。</w:t>
            </w:r>
          </w:p>
        </w:tc>
        <w:tc>
          <w:tcPr>
            <w:tcW w:type="dxa" w:w="1661"/>
          </w:tcPr>
          <w:p>
            <w:pPr>
              <w:pStyle w:val="null3"/>
            </w:pPr>
            <w:r>
              <w:rPr>
                <w:rFonts w:ascii="仿宋_GB2312" w:hAnsi="仿宋_GB2312" w:cs="仿宋_GB2312" w:eastAsia="仿宋_GB2312"/>
              </w:rPr>
              <w:t>开标一览表 3投标人资格证明文件.docx 投标函 中小企业声明函 残疾人福利性单位声明函 4承诺书.docx 标的清单 1分项价格表.docx 投标文件封面 2商务部分偏离表.docx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技术参数完全符合、响应招标文件3.3技术要求中“二、技术参数要求”，没有负偏离计19分；参数每负偏离一项扣1分。 备注：1、上述参数完全复制招标文件技术指标要求的，给予8分扣分。2、所投产品必须提供佐证材料，否则视为负偏离，佐证材料包括但不限于产品技术说明或官网截图或检测报告或产品彩页等。</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供货及实施方案</w:t>
            </w:r>
          </w:p>
        </w:tc>
        <w:tc>
          <w:tcPr>
            <w:tcW w:type="dxa" w:w="2492"/>
          </w:tcPr>
          <w:p>
            <w:pPr>
              <w:pStyle w:val="null3"/>
            </w:pPr>
            <w:r>
              <w:rPr>
                <w:rFonts w:ascii="仿宋_GB2312" w:hAnsi="仿宋_GB2312" w:cs="仿宋_GB2312" w:eastAsia="仿宋_GB2312"/>
              </w:rPr>
              <w:t>投标人提供针对本项目的实施方案，包括但不限于①备货供货方案、②地胶铺设方案、③辅料选择及安装方案、④安全文明实施方案、⑤团队人员配备等。 完全满足项目需求，无瑕疵计10分；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内容存在10处及以上瑕疵或未提供计0分。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6供货及实施方案.docx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投标人根据本项目需求提供进度安排计划及保障措施等。评标委员会结合本项目需求对方案内容进行评审。 完全满足项目需求，无瑕疵计6分； 内容存在1处瑕疵计5分； 内容存在2处瑕疵计4分； 内容存在3处瑕疵计3分； 内容存在4处瑕疵计2分； 内容存在5处瑕疵计1分； 内容存在6处及以上瑕疵或未提供计0分。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7进度保障方案.docx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根据项目需求提供质量保证方案，包括但不限于：①产品性能质量保障措施；②生产工艺及新技术运用；③质量保障体系建设；④质量保证措施；⑤项目实施风险管控等内容，把控各工作环节质量，保障项目顺利进行。 完全满足项目需求，无瑕疵计10分；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内容存在10处及以上瑕疵或未提供计0分。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提供产品合法来源渠道证明文件（包括但不限于销售协议或代理协议或原厂授权等），提供计2分，未提供或证明材料链条不完整不计分。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9供货渠道证明.docx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投标人充分了解项目要求，针对本项目实施过程中的突发情况（安装时遇到恶劣天气、加急实施、质量问题等）提供相应解决方案，确保产品顺利交货及验收完成。 完全满足项目需求，无瑕疵计6分； 内容存在1处瑕疵计5分； 内容存在2处瑕疵计4分； 内容存在3处瑕疵计3分； 内容存在4处瑕疵计2分； 内容存在5处瑕疵计1分； 内容存在6处及以上瑕疵或未提供计0分。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10应急处置方案.docx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投标人针对本项目要求提供验收方案。 投标委员会结合项目采购需求对方案内容进行评审。 完全满足项目需求，无瑕疵计5分； 内容存在1处瑕疵计4分； 内容存在2处瑕疵计3分； 内容存在3处瑕疵计2分； 内容存在4处瑕疵计1分； 内容存在5处及以上瑕疵或未提供计0分。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11验收方案.docx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提供投标人2022年1月1日（以合同签订日期为准）至今同类项目合同（至少包括合同首页、主要内容页、双方签字盖章页），每提供1个得1分，本项满分5分。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环保</w:t>
            </w:r>
          </w:p>
        </w:tc>
        <w:tc>
          <w:tcPr>
            <w:tcW w:type="dxa" w:w="2492"/>
          </w:tcPr>
          <w:p>
            <w:pPr>
              <w:pStyle w:val="null3"/>
            </w:pPr>
            <w:r>
              <w:rPr>
                <w:rFonts w:ascii="仿宋_GB2312" w:hAnsi="仿宋_GB2312" w:cs="仿宋_GB2312" w:eastAsia="仿宋_GB2312"/>
              </w:rPr>
              <w:t>投标人投标产品中有一项为环境标志产品经国家认证的得1分。（以经国家确定的认证机构出具的、处于有效期内的环境标志产品认证证书为准。）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13环保.docx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品供货服务正常运转，有在产品发生不同类型故障或需要调换货等情况的①售后服务内容、②售后响应及到达现场时间、③周边设施及成品保护措施、④售后人员配备、⑤其他补救措施等方面内容。 完全满足项目需求，无瑕疵计6分； 内容存在1处瑕疵计5分； 内容存在2处瑕疵计4分； 内容存在3处瑕疵计3分； 内容存在4处瑕疵计2分； 内容存在5处瑕疵计1分； 内容存在6处及以上瑕疵或未提供计0分。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详见附件：6供货及实施方案.docx</w:t>
      </w:r>
    </w:p>
    <w:p>
      <w:pPr>
        <w:pStyle w:val="null3"/>
        <w:ind w:firstLine="960"/>
      </w:pPr>
      <w:r>
        <w:rPr>
          <w:rFonts w:ascii="仿宋_GB2312" w:hAnsi="仿宋_GB2312" w:cs="仿宋_GB2312" w:eastAsia="仿宋_GB2312"/>
        </w:rPr>
        <w:t>详见附件：7进度保障方案.docx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详见附件：9供货渠道证明.docx</w:t>
      </w:r>
    </w:p>
    <w:p>
      <w:pPr>
        <w:pStyle w:val="null3"/>
        <w:ind w:firstLine="960"/>
      </w:pPr>
      <w:r>
        <w:rPr>
          <w:rFonts w:ascii="仿宋_GB2312" w:hAnsi="仿宋_GB2312" w:cs="仿宋_GB2312" w:eastAsia="仿宋_GB2312"/>
        </w:rPr>
        <w:t>详见附件：10应急处置方案.docx</w:t>
      </w:r>
    </w:p>
    <w:p>
      <w:pPr>
        <w:pStyle w:val="null3"/>
        <w:ind w:firstLine="960"/>
      </w:pPr>
      <w:r>
        <w:rPr>
          <w:rFonts w:ascii="仿宋_GB2312" w:hAnsi="仿宋_GB2312" w:cs="仿宋_GB2312" w:eastAsia="仿宋_GB2312"/>
        </w:rPr>
        <w:t>详见附件：11验收方案.docx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详见附件：13环保.docx</w:t>
      </w:r>
    </w:p>
    <w:p>
      <w:pPr>
        <w:pStyle w:val="null3"/>
        <w:ind w:firstLine="960"/>
      </w:pPr>
      <w:r>
        <w:rPr>
          <w:rFonts w:ascii="仿宋_GB2312" w:hAnsi="仿宋_GB2312" w:cs="仿宋_GB2312" w:eastAsia="仿宋_GB2312"/>
        </w:rPr>
        <w:t>详见附件：14售后服务.docx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