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版本号：SCIT-ZC-SX202509000120250908001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雁塔校区培训中心电梯采购安装工程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SCIT-ZC-SX2025090001</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雁塔校区培训中心电梯采购安装工程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SCIT-ZC-SX2025090001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雁塔校区培训中心电梯采购安装工程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 ，用于雁塔校区培训中心电梯施工采购安装工程；（具体详见磋商文件）。 采购包预算金额（元）:1072593.56 采购包最高限价（元）: 1072593.56</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采购包1（雁塔校区培训中心电梯施工采购安装工程）：属于专门面向中小企业采购。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须具备建筑工程专业贰级及以上注册建造师资质、具有安全生产考核合格证（B证），在本单位注册且无在建工程；：拟派项目负责人须具备建筑工程专业贰级及以上注册建造师资质、具有安全生产考核合格证（B证），在本单位注册且无在建工程（无在建提供相关证明材料或承诺函）；供应商需在项目电子化交易系统中按要求上传相应证明文件并进行电子签章；</w:t>
      </w:r>
    </w:p>
    <w:p>
      <w:pPr>
        <w:pStyle w:val="null3"/>
      </w:pPr>
      <w:r>
        <w:rPr>
          <w:rFonts w:ascii="仿宋_GB2312" w:hAnsi="仿宋_GB2312" w:cs="仿宋_GB2312" w:eastAsia="仿宋_GB2312"/>
        </w:rPr>
        <w:t>2、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3、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4、供应商须具有《中华人民共和国特种设备生产许可证》：电梯制造（含安装、修理、改造）或电梯安装（含修理）证书；供应商应具备建筑工程施工总承包三级及以上资质，具有有效的安全生产许可证；：供应商须具有《中华人民共和国特种设备生产许可证》：电梯制造（含安装、修理、改造）或电梯安装（含修理）证书；供应商应具备建筑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5、省外企业须为“陕西省建筑市场监管与诚信信息一体化平台”备案企业；：省外企业须为“陕西省建筑市场监管与诚信信息一体化平台”备案企业；供应商需在项目电子化交易系统中按要求上传相应证明文件并进行电子签章</w:t>
      </w:r>
    </w:p>
    <w:p>
      <w:pPr>
        <w:pStyle w:val="null3"/>
      </w:pPr>
      <w:r>
        <w:rPr>
          <w:rFonts w:ascii="仿宋_GB2312" w:hAnsi="仿宋_GB2312" w:cs="仿宋_GB2312" w:eastAsia="仿宋_GB2312"/>
        </w:rPr>
        <w:t>6、本项目接受联合体：本项目联合体牵头方须具有《中华人民共和国特种设备生产许可证》：电梯制造（含安装、修理、改造）或电梯安装（含修理）证书； 须在联合体协议中明确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长安区神禾二路陕西学前师范学院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郝丽鹏、刘江媚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029-88854271转8010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采购包1：1,072,593.56元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银行账号：9902001825574898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说明：本采购包履约保证金为合同金额的3.0% 1.履约保证金缴纳时间：中标/成交后七日内需要缴纳履约保证金。未在规定时间内缴纳履约保证金视为拒签合同，自动放弃中标/成交资格。 2.履约保证金缴纳形式：采用银行对公转账、电汇或者金融机构、担保机构出具的保函等非现金的形式对公形式缴纳。 3.履约保证金的退还：项目验收合格后，履约保证金自动转为质量保证金，项目整体质保结束后30个日历日内，无质量问题且不存在争议，一次性无息退还至中标/成交人账户。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作为计算基数,50万以下定额6000元；50万以上以成交金额作为计算基数,参照国家计委计价[2002]1980号及发改办价格[2003]857号通知规定标准的85%计取支付，由成交人在领取成交通知书前向招标代理机构交纳招标服务费。招标代理服务费支付方式：银行转账或现金方式. 开户名称：四川国际招标有限责任公司陕西分公司 开户银行：中国民生银行股份有限公司西安高新开发区支行 银行账号：9902001825574898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踏勘时间：2025-09-16 10:00:00</w:t>
            </w:r>
          </w:p>
          <w:p>
            <w:pPr>
              <w:pStyle w:val="null3"/>
              <w:ind w:firstLine="975"/>
            </w:pPr>
            <w:r>
              <w:rPr>
                <w:rFonts w:ascii="仿宋_GB2312" w:hAnsi="仿宋_GB2312" w:cs="仿宋_GB2312" w:eastAsia="仿宋_GB2312"/>
              </w:rPr>
              <w:t>踏勘地点：陕西学前师范学院雁塔校区南门口</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联系电话号码：029-81530065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1.采购人组织安排验收，成交供应商提供工程量清单以及图纸配合验收工作。 2.验收标准：按国家有关电梯标准(GB50310-2002)/(TSGT7001-2023),并请当地特种设备验测中心电梯质检部门验收和试验。 3.制造与验收标准：按照国家现行有效的验收标准规范执行，(GB/T7588.1-2020、GB/T7588.2-2020、GB/T10066-2023)进行验收。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联系人：郝丽鹏、刘江媚</w:t>
      </w:r>
    </w:p>
    <w:p>
      <w:pPr>
        <w:pStyle w:val="null3"/>
      </w:pPr>
      <w:r>
        <w:rPr>
          <w:rFonts w:ascii="仿宋_GB2312" w:hAnsi="仿宋_GB2312" w:cs="仿宋_GB2312" w:eastAsia="仿宋_GB2312"/>
        </w:rPr>
        <w:t>联系电话：029-88854271转8010</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1,072,593.56</w:t>
      </w:r>
    </w:p>
    <w:p>
      <w:pPr>
        <w:pStyle w:val="null3"/>
      </w:pPr>
      <w:r>
        <w:rPr>
          <w:rFonts w:ascii="仿宋_GB2312" w:hAnsi="仿宋_GB2312" w:cs="仿宋_GB2312" w:eastAsia="仿宋_GB2312"/>
        </w:rPr>
        <w:t>采购包最高限价（元）: 1,072,593.56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电梯采购安装工程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1,072,593.56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标的名称：电梯采购安装工程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1.设备要求</w:t>
            </w:r>
            <w:r>
              <w:rPr>
                <w:rFonts w:ascii="仿宋_GB2312" w:hAnsi="仿宋_GB2312" w:cs="仿宋_GB2312" w:eastAsia="仿宋_GB2312"/>
                <w:sz w:val="21"/>
                <w:b/>
              </w:rPr>
              <w:t>：</w:t>
            </w:r>
          </w:p>
          <w:tbl>
            <w:tblPr>
              <w:tblInd w:type="dxa" w:w="105"/>
              <w:tblBorders>
                <w:top w:val="none" w:color="000000" w:sz="4"/>
                <w:left w:val="none" w:color="000000" w:sz="4"/>
                <w:bottom w:val="none" w:color="000000" w:sz="4"/>
                <w:right w:val="none" w:color="000000" w:sz="4"/>
                <w:insideH w:val="none"/>
                <w:insideV w:val="none"/>
              </w:tblBorders>
            </w:tblPr>
            <w:tblGrid>
              <w:gridCol w:w="276"/>
              <w:gridCol w:w="266"/>
              <w:gridCol w:w="290"/>
              <w:gridCol w:w="247"/>
              <w:gridCol w:w="217"/>
              <w:gridCol w:w="193"/>
              <w:gridCol w:w="213"/>
              <w:gridCol w:w="155"/>
              <w:gridCol w:w="513"/>
              <w:gridCol w:w="159"/>
            </w:tblGrid>
            <w:tr>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梯号</w:t>
                  </w:r>
                </w:p>
              </w:tc>
              <w:tc>
                <w:tcPr>
                  <w:tcW w:type="dxa" w:w="2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梯种</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额定载重</w:t>
                  </w:r>
                  <w:r>
                    <w:rPr>
                      <w:rFonts w:ascii="仿宋_GB2312" w:hAnsi="仿宋_GB2312" w:cs="仿宋_GB2312" w:eastAsia="仿宋_GB2312"/>
                      <w:sz w:val="20"/>
                    </w:rPr>
                    <w:t>量（</w:t>
                  </w:r>
                  <w:r>
                    <w:rPr>
                      <w:rFonts w:ascii="仿宋_GB2312" w:hAnsi="仿宋_GB2312" w:cs="仿宋_GB2312" w:eastAsia="仿宋_GB2312"/>
                      <w:sz w:val="20"/>
                    </w:rPr>
                    <w:t>kg）</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额定速度</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m/s）</w:t>
                  </w:r>
                </w:p>
              </w:tc>
              <w:tc>
                <w:tcPr>
                  <w:tcW w:type="dxa" w:w="2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停站数</w:t>
                  </w:r>
                  <w:r>
                    <w:rPr>
                      <w:rFonts w:ascii="仿宋_GB2312" w:hAnsi="仿宋_GB2312" w:cs="仿宋_GB2312" w:eastAsia="仿宋_GB2312"/>
                      <w:sz w:val="20"/>
                    </w:rPr>
                    <w:t xml:space="preserve">  </w:t>
                  </w:r>
                  <w:r>
                    <w:rPr>
                      <w:rFonts w:ascii="仿宋_GB2312" w:hAnsi="仿宋_GB2312" w:cs="仿宋_GB2312" w:eastAsia="仿宋_GB2312"/>
                      <w:sz w:val="20"/>
                    </w:rPr>
                    <w:t>量（站）</w:t>
                  </w:r>
                </w:p>
              </w:tc>
              <w:tc>
                <w:tcPr>
                  <w:tcW w:type="dxa" w:w="1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提升高</w:t>
                  </w:r>
                  <w:r>
                    <w:rPr>
                      <w:rFonts w:ascii="仿宋_GB2312" w:hAnsi="仿宋_GB2312" w:cs="仿宋_GB2312" w:eastAsia="仿宋_GB2312"/>
                      <w:sz w:val="20"/>
                    </w:rPr>
                    <w:t xml:space="preserve">  </w:t>
                  </w:r>
                  <w:r>
                    <w:rPr>
                      <w:rFonts w:ascii="仿宋_GB2312" w:hAnsi="仿宋_GB2312" w:cs="仿宋_GB2312" w:eastAsia="仿宋_GB2312"/>
                      <w:sz w:val="20"/>
                    </w:rPr>
                    <w:t>度（米）</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服务楼</w:t>
                  </w:r>
                </w:p>
                <w:p>
                  <w:pPr>
                    <w:pStyle w:val="null3"/>
                    <w:jc w:val="center"/>
                  </w:pPr>
                  <w:r>
                    <w:rPr>
                      <w:rFonts w:ascii="仿宋_GB2312" w:hAnsi="仿宋_GB2312" w:cs="仿宋_GB2312" w:eastAsia="仿宋_GB2312"/>
                      <w:sz w:val="20"/>
                    </w:rPr>
                    <w:t>层</w:t>
                  </w:r>
                </w:p>
              </w:tc>
              <w:tc>
                <w:tcPr>
                  <w:tcW w:type="dxa" w:w="1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数</w:t>
                  </w:r>
                  <w:r>
                    <w:rPr>
                      <w:rFonts w:ascii="仿宋_GB2312" w:hAnsi="仿宋_GB2312" w:cs="仿宋_GB2312" w:eastAsia="仿宋_GB2312"/>
                      <w:sz w:val="20"/>
                    </w:rPr>
                    <w:t>量</w:t>
                  </w:r>
                  <w:r>
                    <w:rPr>
                      <w:rFonts w:ascii="仿宋_GB2312" w:hAnsi="仿宋_GB2312" w:cs="仿宋_GB2312" w:eastAsia="仿宋_GB2312"/>
                    </w:rPr>
                    <w:t>★</w:t>
                  </w:r>
                </w:p>
              </w:tc>
              <w:tc>
                <w:tcPr>
                  <w:tcW w:type="dxa" w:w="5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轿厢尺寸净</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净深</w:t>
                  </w:r>
                  <w:r>
                    <w:rPr>
                      <w:rFonts w:ascii="仿宋_GB2312" w:hAnsi="仿宋_GB2312" w:cs="仿宋_GB2312" w:eastAsia="仿宋_GB2312"/>
                      <w:sz w:val="20"/>
                    </w:rPr>
                    <w:t>×</w:t>
                  </w:r>
                  <w:r>
                    <w:rPr>
                      <w:rFonts w:ascii="仿宋_GB2312" w:hAnsi="仿宋_GB2312" w:cs="仿宋_GB2312" w:eastAsia="仿宋_GB2312"/>
                      <w:sz w:val="20"/>
                    </w:rPr>
                    <w:t>净高</w:t>
                  </w:r>
                  <w:r>
                    <w:rPr>
                      <w:rFonts w:ascii="仿宋_GB2312" w:hAnsi="仿宋_GB2312" w:cs="仿宋_GB2312" w:eastAsia="仿宋_GB2312"/>
                      <w:sz w:val="20"/>
                    </w:rPr>
                    <w:t>（</w:t>
                  </w:r>
                  <w:r>
                    <w:rPr>
                      <w:rFonts w:ascii="仿宋_GB2312" w:hAnsi="仿宋_GB2312" w:cs="仿宋_GB2312" w:eastAsia="仿宋_GB2312"/>
                      <w:sz w:val="20"/>
                    </w:rPr>
                    <w:t>mm）</w:t>
                  </w:r>
                </w:p>
              </w:tc>
              <w:tc>
                <w:tcPr>
                  <w:tcW w:type="dxa" w:w="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备注</w:t>
                  </w: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DT1</w:t>
                  </w:r>
                  <w:r>
                    <w:rPr>
                      <w:rFonts w:ascii="仿宋_GB2312" w:hAnsi="仿宋_GB2312" w:cs="仿宋_GB2312" w:eastAsia="仿宋_GB2312"/>
                      <w:sz w:val="20"/>
                    </w:rPr>
                    <w:t>（普通客梯）</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无</w:t>
                  </w:r>
                  <w:r>
                    <w:rPr>
                      <w:rFonts w:ascii="仿宋_GB2312" w:hAnsi="仿宋_GB2312" w:cs="仿宋_GB2312" w:eastAsia="仿宋_GB2312"/>
                      <w:sz w:val="20"/>
                    </w:rPr>
                    <w:t>机房客梯</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≥16</w:t>
                  </w:r>
                  <w:r>
                    <w:rPr>
                      <w:rFonts w:ascii="仿宋_GB2312" w:hAnsi="仿宋_GB2312" w:cs="仿宋_GB2312" w:eastAsia="仿宋_GB2312"/>
                      <w:sz w:val="20"/>
                    </w:rPr>
                    <w:t>00</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m/s</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/5/5</w:t>
                  </w:r>
                </w:p>
              </w:tc>
              <w:tc>
                <w:tcPr>
                  <w:tcW w:type="dxa" w:w="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18.2</w:t>
                  </w:r>
                  <w:r>
                    <w:rPr>
                      <w:rFonts w:ascii="仿宋_GB2312" w:hAnsi="仿宋_GB2312" w:cs="仿宋_GB2312" w:eastAsia="仿宋_GB2312"/>
                      <w:sz w:val="20"/>
                    </w:rPr>
                    <w:t>5</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 xml:space="preserve">-1F 至 </w:t>
                  </w:r>
                  <w:r>
                    <w:rPr>
                      <w:rFonts w:ascii="仿宋_GB2312" w:hAnsi="仿宋_GB2312" w:cs="仿宋_GB2312" w:eastAsia="仿宋_GB2312"/>
                      <w:sz w:val="20"/>
                    </w:rPr>
                    <w:t>4</w:t>
                  </w:r>
                  <w:r>
                    <w:rPr>
                      <w:rFonts w:ascii="仿宋_GB2312" w:hAnsi="仿宋_GB2312" w:cs="仿宋_GB2312" w:eastAsia="仿宋_GB2312"/>
                      <w:sz w:val="20"/>
                    </w:rPr>
                    <w:t>F</w:t>
                  </w:r>
                </w:p>
              </w:tc>
              <w:tc>
                <w:tcPr>
                  <w:tcW w:type="dxa" w:w="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5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2000×</w:t>
                  </w:r>
                  <w:r>
                    <w:rPr>
                      <w:rFonts w:ascii="仿宋_GB2312" w:hAnsi="仿宋_GB2312" w:cs="仿宋_GB2312" w:eastAsia="仿宋_GB2312"/>
                      <w:sz w:val="20"/>
                    </w:rPr>
                    <w:t>16</w:t>
                  </w:r>
                  <w:r>
                    <w:rPr>
                      <w:rFonts w:ascii="仿宋_GB2312" w:hAnsi="仿宋_GB2312" w:cs="仿宋_GB2312" w:eastAsia="仿宋_GB2312"/>
                      <w:sz w:val="20"/>
                    </w:rPr>
                    <w:t>00×2</w:t>
                  </w:r>
                  <w:r>
                    <w:rPr>
                      <w:rFonts w:ascii="仿宋_GB2312" w:hAnsi="仿宋_GB2312" w:cs="仿宋_GB2312" w:eastAsia="仿宋_GB2312"/>
                      <w:sz w:val="20"/>
                    </w:rPr>
                    <w:t>4</w:t>
                  </w:r>
                  <w:r>
                    <w:rPr>
                      <w:rFonts w:ascii="仿宋_GB2312" w:hAnsi="仿宋_GB2312" w:cs="仿宋_GB2312" w:eastAsia="仿宋_GB2312"/>
                      <w:sz w:val="20"/>
                    </w:rPr>
                    <w:t>00</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DT</w:t>
                  </w:r>
                  <w:r>
                    <w:rPr>
                      <w:rFonts w:ascii="仿宋_GB2312" w:hAnsi="仿宋_GB2312" w:cs="仿宋_GB2312" w:eastAsia="仿宋_GB2312"/>
                      <w:sz w:val="20"/>
                    </w:rPr>
                    <w:t>2</w:t>
                  </w:r>
                  <w:r>
                    <w:rPr>
                      <w:rFonts w:ascii="仿宋_GB2312" w:hAnsi="仿宋_GB2312" w:cs="仿宋_GB2312" w:eastAsia="仿宋_GB2312"/>
                      <w:sz w:val="20"/>
                    </w:rPr>
                    <w:t>-DT</w:t>
                  </w:r>
                  <w:r>
                    <w:rPr>
                      <w:rFonts w:ascii="仿宋_GB2312" w:hAnsi="仿宋_GB2312" w:cs="仿宋_GB2312" w:eastAsia="仿宋_GB2312"/>
                      <w:sz w:val="20"/>
                    </w:rPr>
                    <w:t>3</w:t>
                  </w:r>
                  <w:r>
                    <w:rPr>
                      <w:rFonts w:ascii="仿宋_GB2312" w:hAnsi="仿宋_GB2312" w:cs="仿宋_GB2312" w:eastAsia="仿宋_GB2312"/>
                      <w:sz w:val="20"/>
                    </w:rPr>
                    <w:t>（酒店客梯）</w:t>
                  </w:r>
                </w:p>
              </w:tc>
              <w:tc>
                <w:tcPr>
                  <w:tcW w:type="dxa" w:w="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无</w:t>
                  </w:r>
                  <w:r>
                    <w:rPr>
                      <w:rFonts w:ascii="仿宋_GB2312" w:hAnsi="仿宋_GB2312" w:cs="仿宋_GB2312" w:eastAsia="仿宋_GB2312"/>
                      <w:sz w:val="20"/>
                    </w:rPr>
                    <w:t>机房客梯</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00</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1.5m/s</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/5/5</w:t>
                  </w:r>
                </w:p>
              </w:tc>
              <w:tc>
                <w:tcPr>
                  <w:tcW w:type="dxa" w:w="1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17.00</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 xml:space="preserve">-1F 至 </w:t>
                  </w:r>
                  <w:r>
                    <w:rPr>
                      <w:rFonts w:ascii="仿宋_GB2312" w:hAnsi="仿宋_GB2312" w:cs="仿宋_GB2312" w:eastAsia="仿宋_GB2312"/>
                      <w:sz w:val="20"/>
                    </w:rPr>
                    <w:t>4</w:t>
                  </w:r>
                  <w:r>
                    <w:rPr>
                      <w:rFonts w:ascii="仿宋_GB2312" w:hAnsi="仿宋_GB2312" w:cs="仿宋_GB2312" w:eastAsia="仿宋_GB2312"/>
                      <w:sz w:val="20"/>
                    </w:rPr>
                    <w:t>F</w:t>
                  </w:r>
                </w:p>
              </w:tc>
              <w:tc>
                <w:tcPr>
                  <w:tcW w:type="dxa" w:w="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5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00×</w:t>
                  </w:r>
                  <w:r>
                    <w:rPr>
                      <w:rFonts w:ascii="仿宋_GB2312" w:hAnsi="仿宋_GB2312" w:cs="仿宋_GB2312" w:eastAsia="仿宋_GB2312"/>
                      <w:sz w:val="20"/>
                    </w:rPr>
                    <w:t>15</w:t>
                  </w:r>
                  <w:r>
                    <w:rPr>
                      <w:rFonts w:ascii="仿宋_GB2312" w:hAnsi="仿宋_GB2312" w:cs="仿宋_GB2312" w:eastAsia="仿宋_GB2312"/>
                      <w:sz w:val="20"/>
                    </w:rPr>
                    <w:t>00×2</w:t>
                  </w:r>
                  <w:r>
                    <w:rPr>
                      <w:rFonts w:ascii="仿宋_GB2312" w:hAnsi="仿宋_GB2312" w:cs="仿宋_GB2312" w:eastAsia="仿宋_GB2312"/>
                      <w:sz w:val="20"/>
                    </w:rPr>
                    <w:t>6</w:t>
                  </w:r>
                  <w:r>
                    <w:rPr>
                      <w:rFonts w:ascii="仿宋_GB2312" w:hAnsi="仿宋_GB2312" w:cs="仿宋_GB2312" w:eastAsia="仿宋_GB2312"/>
                      <w:sz w:val="20"/>
                    </w:rPr>
                    <w:t>00</w:t>
                  </w:r>
                </w:p>
              </w:tc>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2.技术指标</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2.1开门方式：中分门</w:t>
            </w:r>
          </w:p>
          <w:p>
            <w:pPr>
              <w:pStyle w:val="null3"/>
              <w:ind w:firstLine="420"/>
              <w:jc w:val="both"/>
            </w:pPr>
            <w:r>
              <w:rPr>
                <w:rFonts w:ascii="仿宋_GB2312" w:hAnsi="仿宋_GB2312" w:cs="仿宋_GB2312" w:eastAsia="仿宋_GB2312"/>
                <w:sz w:val="21"/>
              </w:rPr>
              <w:t>2.2轿厢轿门配置：</w:t>
            </w:r>
          </w:p>
          <w:p>
            <w:pPr>
              <w:pStyle w:val="null3"/>
              <w:ind w:firstLine="420"/>
              <w:jc w:val="both"/>
            </w:pPr>
            <w:r>
              <w:rPr>
                <w:rFonts w:ascii="仿宋_GB2312" w:hAnsi="仿宋_GB2312" w:cs="仿宋_GB2312" w:eastAsia="仿宋_GB2312"/>
                <w:sz w:val="21"/>
              </w:rPr>
              <w:t>（一）轿厢高度：</w:t>
            </w:r>
            <w:r>
              <w:rPr>
                <w:rFonts w:ascii="仿宋_GB2312" w:hAnsi="仿宋_GB2312" w:cs="仿宋_GB2312" w:eastAsia="仿宋_GB2312"/>
                <w:sz w:val="21"/>
              </w:rPr>
              <w:t>DT1：2400mm  DT2-DT3：2600mm；</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开门尺寸净宽</w:t>
            </w:r>
            <w:r>
              <w:rPr>
                <w:rFonts w:ascii="仿宋_GB2312" w:hAnsi="仿宋_GB2312" w:cs="仿宋_GB2312" w:eastAsia="仿宋_GB2312"/>
                <w:sz w:val="21"/>
              </w:rPr>
              <w:t>×净高（mm）</w:t>
            </w:r>
            <w:r>
              <w:rPr>
                <w:rFonts w:ascii="仿宋_GB2312" w:hAnsi="仿宋_GB2312" w:cs="仿宋_GB2312" w:eastAsia="仿宋_GB2312"/>
                <w:sz w:val="21"/>
              </w:rPr>
              <w:t>：</w:t>
            </w:r>
            <w:r>
              <w:rPr>
                <w:rFonts w:ascii="仿宋_GB2312" w:hAnsi="仿宋_GB2312" w:cs="仿宋_GB2312" w:eastAsia="仿宋_GB2312"/>
                <w:sz w:val="21"/>
              </w:rPr>
              <w:t>DT1 1100×2100</w:t>
            </w:r>
            <w:r>
              <w:rPr>
                <w:rFonts w:ascii="仿宋_GB2312" w:hAnsi="仿宋_GB2312" w:cs="仿宋_GB2312" w:eastAsia="仿宋_GB2312"/>
                <w:sz w:val="21"/>
              </w:rPr>
              <w:t>，</w:t>
            </w:r>
            <w:r>
              <w:rPr>
                <w:rFonts w:ascii="仿宋_GB2312" w:hAnsi="仿宋_GB2312" w:cs="仿宋_GB2312" w:eastAsia="仿宋_GB2312"/>
                <w:sz w:val="21"/>
              </w:rPr>
              <w:t>DT</w:t>
            </w:r>
            <w:r>
              <w:rPr>
                <w:rFonts w:ascii="仿宋_GB2312" w:hAnsi="仿宋_GB2312" w:cs="仿宋_GB2312" w:eastAsia="仿宋_GB2312"/>
                <w:sz w:val="21"/>
              </w:rPr>
              <w:t>2</w:t>
            </w:r>
            <w:r>
              <w:rPr>
                <w:rFonts w:ascii="仿宋_GB2312" w:hAnsi="仿宋_GB2312" w:cs="仿宋_GB2312" w:eastAsia="仿宋_GB2312"/>
                <w:sz w:val="21"/>
              </w:rPr>
              <w:t>-DT</w:t>
            </w:r>
            <w:r>
              <w:rPr>
                <w:rFonts w:ascii="仿宋_GB2312" w:hAnsi="仿宋_GB2312" w:cs="仿宋_GB2312" w:eastAsia="仿宋_GB2312"/>
                <w:sz w:val="21"/>
              </w:rPr>
              <w:t>3</w:t>
            </w:r>
            <w:r>
              <w:rPr>
                <w:rFonts w:ascii="仿宋_GB2312" w:hAnsi="仿宋_GB2312" w:cs="仿宋_GB2312" w:eastAsia="仿宋_GB2312"/>
              </w:rPr>
              <w:t xml:space="preserve"> </w:t>
            </w:r>
            <w:r>
              <w:rPr>
                <w:rFonts w:ascii="仿宋_GB2312" w:hAnsi="仿宋_GB2312" w:cs="仿宋_GB2312" w:eastAsia="仿宋_GB2312"/>
                <w:sz w:val="21"/>
              </w:rPr>
              <w:t>8</w:t>
            </w:r>
            <w:r>
              <w:rPr>
                <w:rFonts w:ascii="仿宋_GB2312" w:hAnsi="仿宋_GB2312" w:cs="仿宋_GB2312" w:eastAsia="仿宋_GB2312"/>
                <w:sz w:val="21"/>
              </w:rPr>
              <w:t>00×2100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2.3电梯装饰要求</w:t>
            </w:r>
          </w:p>
          <w:p>
            <w:pPr>
              <w:pStyle w:val="null3"/>
              <w:ind w:firstLine="420"/>
              <w:jc w:val="both"/>
            </w:pPr>
            <w:r>
              <w:rPr>
                <w:rFonts w:ascii="仿宋_GB2312" w:hAnsi="仿宋_GB2312" w:cs="仿宋_GB2312" w:eastAsia="仿宋_GB2312"/>
                <w:sz w:val="21"/>
                <w:b/>
              </w:rPr>
              <w:t>（一）</w:t>
            </w:r>
            <w:r>
              <w:rPr>
                <w:rFonts w:ascii="仿宋_GB2312" w:hAnsi="仿宋_GB2312" w:cs="仿宋_GB2312" w:eastAsia="仿宋_GB2312"/>
                <w:sz w:val="21"/>
                <w:b/>
              </w:rPr>
              <w:t>DT1（普通客梯）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轿厢</w:t>
            </w:r>
            <w:r>
              <w:rPr>
                <w:rFonts w:ascii="仿宋_GB2312" w:hAnsi="仿宋_GB2312" w:cs="仿宋_GB2312" w:eastAsia="仿宋_GB2312"/>
                <w:sz w:val="21"/>
              </w:rPr>
              <w:t>：三侧发纹不锈钢，后轿壁发纹不锈钢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2）轿顶：不锈钢轿顶，附 LED 照明、应急照明，具备无人延时、自动熄灭功能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3）操纵盘：发纹不锈钢面板，LED 显示及方向指示，附数字式带盲文微动按钮，响应带微光显示，隐蔽式对讲系统、应急报警按钮及开关盒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4）轿厢通风：无噪音轴流式风扇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5）厅门：每层厅门为发纹不锈钢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6）门套：每层小门套为发纹不锈钢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7）轿厢操纵板、外呼操纵板：发纹不锈钢面板，LED 显示及方向指示附数字式微动盲文按钮（薄型），按钮发光，提供选样型号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8）地板：PVC 塑胶地板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9）地坎、踢脚：发纹不锈钢或硬质铝合金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10）视频线缆：预留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11）控制方式：集选</w:t>
            </w:r>
          </w:p>
          <w:p>
            <w:pPr>
              <w:pStyle w:val="null3"/>
              <w:ind w:firstLine="420"/>
              <w:jc w:val="both"/>
            </w:pPr>
            <w:r>
              <w:rPr>
                <w:rFonts w:ascii="仿宋_GB2312" w:hAnsi="仿宋_GB2312" w:cs="仿宋_GB2312" w:eastAsia="仿宋_GB2312"/>
                <w:sz w:val="21"/>
                <w:b/>
              </w:rPr>
              <w:t>（二）</w:t>
            </w:r>
            <w:r>
              <w:rPr>
                <w:rFonts w:ascii="仿宋_GB2312" w:hAnsi="仿宋_GB2312" w:cs="仿宋_GB2312" w:eastAsia="仿宋_GB2312"/>
                <w:sz w:val="21"/>
                <w:b/>
              </w:rPr>
              <w:t>DT2-DT3（酒店客梯）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轿厢</w:t>
            </w:r>
            <w:r>
              <w:rPr>
                <w:rFonts w:ascii="仿宋_GB2312" w:hAnsi="仿宋_GB2312" w:cs="仿宋_GB2312" w:eastAsia="仿宋_GB2312"/>
                <w:sz w:val="21"/>
              </w:rPr>
              <w:t>：三侧及后壁为喷涂钢板（后期二次装饰）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2）轿顶：不锈钢轿顶，附 LED 照明、应急照明，具备无人延时、自动熄灭功能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3）操纵盘：发纹不锈钢面板，LED 显示及方向指示，附数字式带盲文微动按钮，响应带微光显示，隐蔽式对讲系统、应急报警按钮及开关盒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4）轿厢通风：无噪音轴流式风扇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5）厅门：每层厅门为喷涂钢板（后期二次装饰）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6）门套：每层小门套为喷涂钢板（后期二次装饰）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7）轿厢操纵板、外呼操纵板：发纹不锈钢面板，LED 显示及方向指示附数字式微动盲文按钮（薄型），按钮发光，提供选样型号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8）地板：PVC 塑胶地板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9）地坎、踢脚：发纹不锈钢或硬质铝合金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10）视频线缆：预留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11）控制方式：并联</w:t>
            </w:r>
          </w:p>
          <w:p>
            <w:pPr>
              <w:pStyle w:val="null3"/>
              <w:ind w:firstLine="420"/>
              <w:jc w:val="both"/>
            </w:pPr>
            <w:r>
              <w:rPr>
                <w:rFonts w:ascii="仿宋_GB2312" w:hAnsi="仿宋_GB2312" w:cs="仿宋_GB2312" w:eastAsia="仿宋_GB2312"/>
                <w:sz w:val="21"/>
              </w:rPr>
              <w:t>2.4电梯控制系统及主要部件技术要求：</w:t>
            </w:r>
          </w:p>
          <w:p>
            <w:pPr>
              <w:pStyle w:val="null3"/>
              <w:ind w:firstLine="420"/>
              <w:jc w:val="both"/>
            </w:pPr>
            <w:r>
              <w:rPr>
                <w:rFonts w:ascii="仿宋_GB2312" w:hAnsi="仿宋_GB2312" w:cs="仿宋_GB2312" w:eastAsia="仿宋_GB2312"/>
                <w:sz w:val="21"/>
              </w:rPr>
              <w:t>（一）无噪音轴流风扇</w:t>
            </w:r>
          </w:p>
          <w:p>
            <w:pPr>
              <w:pStyle w:val="null3"/>
              <w:ind w:firstLine="420"/>
              <w:jc w:val="both"/>
            </w:pPr>
            <w:r>
              <w:rPr>
                <w:rFonts w:ascii="仿宋_GB2312" w:hAnsi="仿宋_GB2312" w:cs="仿宋_GB2312" w:eastAsia="仿宋_GB2312"/>
                <w:sz w:val="21"/>
              </w:rPr>
              <w:t>（二）电梯设备通过电梯双</w:t>
            </w:r>
            <w:r>
              <w:rPr>
                <w:rFonts w:ascii="仿宋_GB2312" w:hAnsi="仿宋_GB2312" w:cs="仿宋_GB2312" w:eastAsia="仿宋_GB2312"/>
                <w:sz w:val="21"/>
              </w:rPr>
              <w:t>A 级电梯节能认证</w:t>
            </w:r>
          </w:p>
          <w:p>
            <w:pPr>
              <w:pStyle w:val="null3"/>
              <w:ind w:firstLine="420"/>
              <w:jc w:val="both"/>
            </w:pPr>
            <w:r>
              <w:rPr>
                <w:rFonts w:ascii="仿宋_GB2312" w:hAnsi="仿宋_GB2312" w:cs="仿宋_GB2312" w:eastAsia="仿宋_GB2312"/>
                <w:sz w:val="21"/>
              </w:rPr>
              <w:t>（三）电梯驱（拖）动和门机控制系统：</w:t>
            </w:r>
            <w:r>
              <w:rPr>
                <w:rFonts w:ascii="仿宋_GB2312" w:hAnsi="仿宋_GB2312" w:cs="仿宋_GB2312" w:eastAsia="仿宋_GB2312"/>
                <w:sz w:val="21"/>
              </w:rPr>
              <w:t>VVVF 技术，全电脑模块化 32 位以上微机控制， 调频、调压、调速，配置电梯专用变压变频驱动系统</w:t>
            </w:r>
          </w:p>
          <w:p>
            <w:pPr>
              <w:pStyle w:val="null3"/>
              <w:ind w:firstLine="420"/>
              <w:jc w:val="both"/>
            </w:pPr>
            <w:r>
              <w:rPr>
                <w:rFonts w:ascii="仿宋_GB2312" w:hAnsi="仿宋_GB2312" w:cs="仿宋_GB2312" w:eastAsia="仿宋_GB2312"/>
                <w:sz w:val="21"/>
              </w:rPr>
              <w:t>（四）曳引机及电机：无齿轮永磁同步，要求原厂原品牌</w:t>
            </w:r>
          </w:p>
          <w:p>
            <w:pPr>
              <w:pStyle w:val="null3"/>
              <w:ind w:firstLine="420"/>
              <w:jc w:val="both"/>
            </w:pPr>
            <w:r>
              <w:rPr>
                <w:rFonts w:ascii="仿宋_GB2312" w:hAnsi="仿宋_GB2312" w:cs="仿宋_GB2312" w:eastAsia="仿宋_GB2312"/>
                <w:sz w:val="21"/>
              </w:rPr>
              <w:t>（五）主控制板、变频器等电器控制板要求原厂原品牌</w:t>
            </w:r>
          </w:p>
          <w:p>
            <w:pPr>
              <w:pStyle w:val="null3"/>
              <w:ind w:firstLine="420"/>
              <w:jc w:val="both"/>
            </w:pPr>
            <w:r>
              <w:rPr>
                <w:rFonts w:ascii="仿宋_GB2312" w:hAnsi="仿宋_GB2312" w:cs="仿宋_GB2312" w:eastAsia="仿宋_GB2312"/>
                <w:sz w:val="21"/>
              </w:rPr>
              <w:t>（六）门机及电机：要求原厂原品牌</w:t>
            </w:r>
          </w:p>
          <w:p>
            <w:pPr>
              <w:pStyle w:val="null3"/>
              <w:ind w:firstLine="420"/>
              <w:jc w:val="both"/>
            </w:pPr>
            <w:r>
              <w:rPr>
                <w:rFonts w:ascii="仿宋_GB2312" w:hAnsi="仿宋_GB2312" w:cs="仿宋_GB2312" w:eastAsia="仿宋_GB2312"/>
                <w:sz w:val="21"/>
              </w:rPr>
              <w:t>（七）门保护系统：光幕门保护</w:t>
            </w:r>
          </w:p>
          <w:p>
            <w:pPr>
              <w:pStyle w:val="null3"/>
              <w:ind w:firstLine="420"/>
              <w:jc w:val="both"/>
            </w:pPr>
            <w:r>
              <w:rPr>
                <w:rFonts w:ascii="仿宋_GB2312" w:hAnsi="仿宋_GB2312" w:cs="仿宋_GB2312" w:eastAsia="仿宋_GB2312"/>
                <w:sz w:val="21"/>
              </w:rPr>
              <w:t>2.5电梯控制柜技术要求：电梯控制柜核心部件要求原厂原品牌(变频器、控制主板，驱动板、通讯板)</w:t>
            </w:r>
          </w:p>
          <w:p>
            <w:pPr>
              <w:pStyle w:val="null3"/>
              <w:ind w:firstLine="420"/>
              <w:jc w:val="both"/>
            </w:pPr>
            <w:r>
              <w:rPr>
                <w:rFonts w:ascii="仿宋_GB2312" w:hAnsi="仿宋_GB2312" w:cs="仿宋_GB2312" w:eastAsia="仿宋_GB2312"/>
                <w:sz w:val="21"/>
              </w:rPr>
              <w:t>2.6电梯曳引机技术要求：</w:t>
            </w:r>
          </w:p>
          <w:p>
            <w:pPr>
              <w:pStyle w:val="null3"/>
              <w:ind w:firstLine="420"/>
              <w:jc w:val="both"/>
            </w:pPr>
            <w:r>
              <w:rPr>
                <w:rFonts w:ascii="仿宋_GB2312" w:hAnsi="仿宋_GB2312" w:cs="仿宋_GB2312" w:eastAsia="仿宋_GB2312"/>
                <w:sz w:val="21"/>
              </w:rPr>
              <w:t>（一）曳引机系统：</w:t>
            </w:r>
            <w:r>
              <w:rPr>
                <w:rFonts w:ascii="仿宋_GB2312" w:hAnsi="仿宋_GB2312" w:cs="仿宋_GB2312" w:eastAsia="仿宋_GB2312"/>
                <w:sz w:val="21"/>
              </w:rPr>
              <w:t>VVVF拖动，永磁同步无齿轮曳引机</w:t>
            </w:r>
          </w:p>
          <w:p>
            <w:pPr>
              <w:pStyle w:val="null3"/>
              <w:ind w:firstLine="420"/>
              <w:jc w:val="both"/>
            </w:pPr>
            <w:r>
              <w:rPr>
                <w:rFonts w:ascii="仿宋_GB2312" w:hAnsi="仿宋_GB2312" w:cs="仿宋_GB2312" w:eastAsia="仿宋_GB2312"/>
                <w:sz w:val="21"/>
              </w:rPr>
              <w:t>（二）机房设置：无机房</w:t>
            </w:r>
          </w:p>
          <w:p>
            <w:pPr>
              <w:pStyle w:val="null3"/>
              <w:ind w:firstLine="420"/>
              <w:jc w:val="both"/>
            </w:pPr>
            <w:r>
              <w:rPr>
                <w:rFonts w:ascii="仿宋_GB2312" w:hAnsi="仿宋_GB2312" w:cs="仿宋_GB2312" w:eastAsia="仿宋_GB2312"/>
                <w:sz w:val="21"/>
              </w:rPr>
              <w:t>（三）门机控制系统：</w:t>
            </w:r>
            <w:r>
              <w:rPr>
                <w:rFonts w:ascii="仿宋_GB2312" w:hAnsi="仿宋_GB2312" w:cs="仿宋_GB2312" w:eastAsia="仿宋_GB2312"/>
                <w:sz w:val="21"/>
              </w:rPr>
              <w:t>VVVF永磁同步门机</w:t>
            </w:r>
          </w:p>
          <w:p>
            <w:pPr>
              <w:pStyle w:val="null3"/>
              <w:ind w:firstLine="420"/>
              <w:jc w:val="both"/>
            </w:pPr>
            <w:r>
              <w:rPr>
                <w:rFonts w:ascii="仿宋_GB2312" w:hAnsi="仿宋_GB2312" w:cs="仿宋_GB2312" w:eastAsia="仿宋_GB2312"/>
                <w:sz w:val="21"/>
              </w:rPr>
              <w:t>2.6电梯门采用光幕保护</w:t>
            </w:r>
          </w:p>
          <w:p>
            <w:pPr>
              <w:pStyle w:val="null3"/>
              <w:ind w:firstLine="420"/>
              <w:jc w:val="both"/>
            </w:pPr>
            <w:r>
              <w:rPr>
                <w:rFonts w:ascii="仿宋_GB2312" w:hAnsi="仿宋_GB2312" w:cs="仿宋_GB2312" w:eastAsia="仿宋_GB2312"/>
                <w:sz w:val="21"/>
              </w:rPr>
              <w:t>2.7性能指标</w:t>
            </w:r>
          </w:p>
          <w:p>
            <w:pPr>
              <w:pStyle w:val="null3"/>
              <w:ind w:firstLine="420"/>
              <w:jc w:val="both"/>
            </w:pPr>
            <w:r>
              <w:rPr>
                <w:rFonts w:ascii="仿宋_GB2312" w:hAnsi="仿宋_GB2312" w:cs="仿宋_GB2312" w:eastAsia="仿宋_GB2312"/>
                <w:sz w:val="21"/>
              </w:rPr>
              <w:t>（一）电源：动力</w:t>
            </w:r>
            <w:r>
              <w:rPr>
                <w:rFonts w:ascii="仿宋_GB2312" w:hAnsi="仿宋_GB2312" w:cs="仿宋_GB2312" w:eastAsia="仿宋_GB2312"/>
                <w:sz w:val="21"/>
              </w:rPr>
              <w:t>3相380V，50HZ</w:t>
            </w:r>
          </w:p>
          <w:p>
            <w:pPr>
              <w:pStyle w:val="null3"/>
              <w:ind w:firstLine="420"/>
              <w:jc w:val="both"/>
            </w:pPr>
            <w:r>
              <w:rPr>
                <w:rFonts w:ascii="仿宋_GB2312" w:hAnsi="仿宋_GB2312" w:cs="仿宋_GB2312" w:eastAsia="仿宋_GB2312"/>
                <w:sz w:val="21"/>
              </w:rPr>
              <w:t>（二）照明：</w:t>
            </w:r>
            <w:r>
              <w:rPr>
                <w:rFonts w:ascii="仿宋_GB2312" w:hAnsi="仿宋_GB2312" w:cs="仿宋_GB2312" w:eastAsia="仿宋_GB2312"/>
                <w:sz w:val="21"/>
              </w:rPr>
              <w:t>220V，50HZ</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性能指标：平层精度</w:t>
            </w:r>
            <w:r>
              <w:rPr>
                <w:rFonts w:ascii="仿宋_GB2312" w:hAnsi="仿宋_GB2312" w:cs="仿宋_GB2312" w:eastAsia="仿宋_GB2312"/>
                <w:sz w:val="21"/>
              </w:rPr>
              <w:t>≤10mm</w:t>
            </w:r>
          </w:p>
          <w:p>
            <w:pPr>
              <w:pStyle w:val="null3"/>
              <w:ind w:firstLine="420"/>
              <w:jc w:val="both"/>
            </w:pPr>
            <w:r>
              <w:rPr>
                <w:rFonts w:ascii="仿宋_GB2312" w:hAnsi="仿宋_GB2312" w:cs="仿宋_GB2312" w:eastAsia="仿宋_GB2312"/>
                <w:sz w:val="21"/>
              </w:rPr>
              <w:t>2.8电梯运行功能技术要求：</w:t>
            </w:r>
          </w:p>
          <w:p>
            <w:pPr>
              <w:pStyle w:val="null3"/>
              <w:ind w:firstLine="420"/>
              <w:jc w:val="both"/>
            </w:pPr>
            <w:r>
              <w:rPr>
                <w:rFonts w:ascii="仿宋_GB2312" w:hAnsi="仿宋_GB2312" w:cs="仿宋_GB2312" w:eastAsia="仿宋_GB2312"/>
                <w:sz w:val="21"/>
              </w:rPr>
              <w:t>（一）电梯全部标准配置功能和选配功能以供应商电梯样本和细目为依据，并经甲方确认</w:t>
            </w:r>
          </w:p>
          <w:p>
            <w:pPr>
              <w:pStyle w:val="null3"/>
              <w:ind w:firstLine="420"/>
              <w:jc w:val="both"/>
            </w:pPr>
            <w:r>
              <w:rPr>
                <w:rFonts w:ascii="仿宋_GB2312" w:hAnsi="仿宋_GB2312" w:cs="仿宋_GB2312" w:eastAsia="仿宋_GB2312"/>
                <w:sz w:val="21"/>
              </w:rPr>
              <w:t>（二）电梯的标准配置功能应全部必备、实现并正常使用</w:t>
            </w:r>
          </w:p>
          <w:p>
            <w:pPr>
              <w:pStyle w:val="null3"/>
              <w:ind w:firstLine="420"/>
              <w:jc w:val="both"/>
            </w:pPr>
            <w:r>
              <w:rPr>
                <w:rFonts w:ascii="仿宋_GB2312" w:hAnsi="仿宋_GB2312" w:cs="仿宋_GB2312" w:eastAsia="仿宋_GB2312"/>
                <w:sz w:val="21"/>
              </w:rPr>
              <w:t>（三）本型号电梯选项各功能应全部必备、实现并正常使用</w:t>
            </w:r>
          </w:p>
          <w:p>
            <w:pPr>
              <w:pStyle w:val="null3"/>
              <w:ind w:firstLine="420"/>
              <w:jc w:val="both"/>
            </w:pPr>
            <w:r>
              <w:rPr>
                <w:rFonts w:ascii="仿宋_GB2312" w:hAnsi="仿宋_GB2312" w:cs="仿宋_GB2312" w:eastAsia="仿宋_GB2312"/>
                <w:sz w:val="21"/>
              </w:rPr>
              <w:t>2.9电梯功能表</w:t>
            </w:r>
          </w:p>
          <w:p>
            <w:pPr>
              <w:pStyle w:val="null3"/>
              <w:ind w:firstLine="420"/>
              <w:jc w:val="both"/>
            </w:pPr>
            <w:r>
              <w:rPr>
                <w:rFonts w:ascii="仿宋_GB2312" w:hAnsi="仿宋_GB2312" w:cs="仿宋_GB2312" w:eastAsia="仿宋_GB2312"/>
                <w:sz w:val="21"/>
              </w:rPr>
              <w:t>1.防止失速内部计时器保护              20.满员自动通过</w:t>
            </w:r>
          </w:p>
          <w:p>
            <w:pPr>
              <w:pStyle w:val="null3"/>
              <w:ind w:firstLine="420"/>
              <w:jc w:val="both"/>
            </w:pPr>
            <w:r>
              <w:rPr>
                <w:rFonts w:ascii="仿宋_GB2312" w:hAnsi="仿宋_GB2312" w:cs="仿宋_GB2312" w:eastAsia="仿宋_GB2312"/>
                <w:sz w:val="21"/>
              </w:rPr>
              <w:t>2.安全停靠                            21.上电再平层</w:t>
            </w:r>
          </w:p>
          <w:p>
            <w:pPr>
              <w:pStyle w:val="null3"/>
              <w:ind w:firstLine="420"/>
              <w:jc w:val="both"/>
            </w:pPr>
            <w:r>
              <w:rPr>
                <w:rFonts w:ascii="仿宋_GB2312" w:hAnsi="仿宋_GB2312" w:cs="仿宋_GB2312" w:eastAsia="仿宋_GB2312"/>
                <w:sz w:val="21"/>
              </w:rPr>
              <w:t>3.停车开门                            22.轿厢到站钟</w:t>
            </w:r>
          </w:p>
          <w:p>
            <w:pPr>
              <w:pStyle w:val="null3"/>
              <w:ind w:firstLine="420"/>
              <w:jc w:val="both"/>
            </w:pPr>
            <w:r>
              <w:rPr>
                <w:rFonts w:ascii="仿宋_GB2312" w:hAnsi="仿宋_GB2312" w:cs="仿宋_GB2312" w:eastAsia="仿宋_GB2312"/>
                <w:sz w:val="21"/>
              </w:rPr>
              <w:t>4.反向召唤消除                        23.司机服务</w:t>
            </w:r>
          </w:p>
          <w:p>
            <w:pPr>
              <w:pStyle w:val="null3"/>
              <w:ind w:firstLine="420"/>
              <w:jc w:val="both"/>
            </w:pPr>
            <w:r>
              <w:rPr>
                <w:rFonts w:ascii="仿宋_GB2312" w:hAnsi="仿宋_GB2312" w:cs="仿宋_GB2312" w:eastAsia="仿宋_GB2312"/>
                <w:sz w:val="21"/>
              </w:rPr>
              <w:t>5.就近层停靠                          24.轿厢风扇、照明自动关闭</w:t>
            </w:r>
          </w:p>
          <w:p>
            <w:pPr>
              <w:pStyle w:val="null3"/>
              <w:ind w:firstLine="420"/>
              <w:jc w:val="both"/>
            </w:pPr>
            <w:r>
              <w:rPr>
                <w:rFonts w:ascii="仿宋_GB2312" w:hAnsi="仿宋_GB2312" w:cs="仿宋_GB2312" w:eastAsia="仿宋_GB2312"/>
                <w:sz w:val="21"/>
              </w:rPr>
              <w:t>6.超载报警                            25.主层返回</w:t>
            </w:r>
          </w:p>
          <w:p>
            <w:pPr>
              <w:pStyle w:val="null3"/>
              <w:ind w:firstLine="420"/>
              <w:jc w:val="both"/>
            </w:pPr>
            <w:r>
              <w:rPr>
                <w:rFonts w:ascii="仿宋_GB2312" w:hAnsi="仿宋_GB2312" w:cs="仿宋_GB2312" w:eastAsia="仿宋_GB2312"/>
                <w:sz w:val="21"/>
              </w:rPr>
              <w:t>7.门负载传感器                        26.并列运行</w:t>
            </w:r>
          </w:p>
          <w:p>
            <w:pPr>
              <w:pStyle w:val="null3"/>
              <w:ind w:firstLine="420"/>
              <w:jc w:val="both"/>
            </w:pPr>
            <w:r>
              <w:rPr>
                <w:rFonts w:ascii="仿宋_GB2312" w:hAnsi="仿宋_GB2312" w:cs="仿宋_GB2312" w:eastAsia="仿宋_GB2312"/>
                <w:sz w:val="21"/>
              </w:rPr>
              <w:t>8.开、关门按钮应答灯                  27. 自动脱离并列运行</w:t>
            </w:r>
          </w:p>
          <w:p>
            <w:pPr>
              <w:pStyle w:val="null3"/>
              <w:ind w:firstLine="420"/>
              <w:jc w:val="both"/>
            </w:pPr>
            <w:r>
              <w:rPr>
                <w:rFonts w:ascii="仿宋_GB2312" w:hAnsi="仿宋_GB2312" w:cs="仿宋_GB2312" w:eastAsia="仿宋_GB2312"/>
                <w:sz w:val="21"/>
              </w:rPr>
              <w:t>9.开门时间自动调整                    28.消防应急返回</w:t>
            </w:r>
          </w:p>
          <w:p>
            <w:pPr>
              <w:pStyle w:val="null3"/>
              <w:ind w:firstLine="420"/>
              <w:jc w:val="both"/>
            </w:pPr>
            <w:r>
              <w:rPr>
                <w:rFonts w:ascii="仿宋_GB2312" w:hAnsi="仿宋_GB2312" w:cs="仿宋_GB2312" w:eastAsia="仿宋_GB2312"/>
                <w:sz w:val="21"/>
              </w:rPr>
              <w:t>10.即时关门、强制关门、重复关门       29.消防应急操作</w:t>
            </w:r>
          </w:p>
          <w:p>
            <w:pPr>
              <w:pStyle w:val="null3"/>
              <w:ind w:firstLine="420"/>
              <w:jc w:val="both"/>
            </w:pPr>
            <w:r>
              <w:rPr>
                <w:rFonts w:ascii="仿宋_GB2312" w:hAnsi="仿宋_GB2312" w:cs="仿宋_GB2312" w:eastAsia="仿宋_GB2312"/>
                <w:sz w:val="21"/>
              </w:rPr>
              <w:t>11.本层开门                           30.停电应急装置</w:t>
            </w:r>
          </w:p>
          <w:p>
            <w:pPr>
              <w:pStyle w:val="null3"/>
              <w:ind w:firstLine="420"/>
              <w:jc w:val="both"/>
            </w:pPr>
            <w:r>
              <w:rPr>
                <w:rFonts w:ascii="仿宋_GB2312" w:hAnsi="仿宋_GB2312" w:cs="仿宋_GB2312" w:eastAsia="仿宋_GB2312"/>
                <w:sz w:val="21"/>
              </w:rPr>
              <w:t>12.轿内方向指示                       31.提前开门</w:t>
            </w:r>
          </w:p>
          <w:p>
            <w:pPr>
              <w:pStyle w:val="null3"/>
              <w:ind w:firstLine="420"/>
              <w:jc w:val="both"/>
            </w:pPr>
            <w:r>
              <w:rPr>
                <w:rFonts w:ascii="仿宋_GB2312" w:hAnsi="仿宋_GB2312" w:cs="仿宋_GB2312" w:eastAsia="仿宋_GB2312"/>
                <w:sz w:val="21"/>
              </w:rPr>
              <w:t xml:space="preserve">13.内部通话装置                   </w:t>
            </w:r>
          </w:p>
          <w:p>
            <w:pPr>
              <w:pStyle w:val="null3"/>
              <w:ind w:firstLine="420"/>
              <w:jc w:val="both"/>
            </w:pPr>
            <w:r>
              <w:rPr>
                <w:rFonts w:ascii="仿宋_GB2312" w:hAnsi="仿宋_GB2312" w:cs="仿宋_GB2312" w:eastAsia="仿宋_GB2312"/>
                <w:sz w:val="21"/>
              </w:rPr>
              <w:t>14.警铃</w:t>
            </w:r>
          </w:p>
          <w:p>
            <w:pPr>
              <w:pStyle w:val="null3"/>
              <w:ind w:firstLine="420"/>
              <w:jc w:val="both"/>
            </w:pPr>
            <w:r>
              <w:rPr>
                <w:rFonts w:ascii="仿宋_GB2312" w:hAnsi="仿宋_GB2312" w:cs="仿宋_GB2312" w:eastAsia="仿宋_GB2312"/>
                <w:sz w:val="21"/>
              </w:rPr>
              <w:t>15.应急照明</w:t>
            </w:r>
          </w:p>
          <w:p>
            <w:pPr>
              <w:pStyle w:val="null3"/>
              <w:ind w:firstLine="420"/>
              <w:jc w:val="both"/>
            </w:pPr>
            <w:r>
              <w:rPr>
                <w:rFonts w:ascii="仿宋_GB2312" w:hAnsi="仿宋_GB2312" w:cs="仿宋_GB2312" w:eastAsia="仿宋_GB2312"/>
                <w:sz w:val="21"/>
              </w:rPr>
              <w:t>16.带召唤按钮的层站显示</w:t>
            </w:r>
          </w:p>
          <w:p>
            <w:pPr>
              <w:pStyle w:val="null3"/>
              <w:ind w:firstLine="420"/>
              <w:jc w:val="both"/>
            </w:pPr>
            <w:r>
              <w:rPr>
                <w:rFonts w:ascii="仿宋_GB2312" w:hAnsi="仿宋_GB2312" w:cs="仿宋_GB2312" w:eastAsia="仿宋_GB2312"/>
                <w:sz w:val="21"/>
              </w:rPr>
              <w:t>17.检修操作</w:t>
            </w:r>
          </w:p>
          <w:p>
            <w:pPr>
              <w:pStyle w:val="null3"/>
              <w:ind w:firstLine="420"/>
              <w:jc w:val="both"/>
            </w:pPr>
            <w:r>
              <w:rPr>
                <w:rFonts w:ascii="仿宋_GB2312" w:hAnsi="仿宋_GB2312" w:cs="仿宋_GB2312" w:eastAsia="仿宋_GB2312"/>
                <w:sz w:val="21"/>
              </w:rPr>
              <w:t>18.称重启动</w:t>
            </w:r>
          </w:p>
          <w:p>
            <w:pPr>
              <w:pStyle w:val="null3"/>
              <w:ind w:firstLine="420"/>
              <w:jc w:val="both"/>
            </w:pPr>
            <w:r>
              <w:rPr>
                <w:rFonts w:ascii="仿宋_GB2312" w:hAnsi="仿宋_GB2312" w:cs="仿宋_GB2312" w:eastAsia="仿宋_GB2312"/>
                <w:sz w:val="21"/>
              </w:rPr>
              <w:t>19.光幕</w:t>
            </w:r>
          </w:p>
          <w:p>
            <w:pPr>
              <w:pStyle w:val="null3"/>
              <w:ind w:firstLine="420"/>
              <w:jc w:val="both"/>
            </w:pPr>
            <w:r>
              <w:rPr>
                <w:rFonts w:ascii="仿宋_GB2312" w:hAnsi="仿宋_GB2312" w:cs="仿宋_GB2312" w:eastAsia="仿宋_GB2312"/>
                <w:sz w:val="21"/>
              </w:rPr>
              <w:t>注：以上为客梯基本功能要求，供应商可根据各自产品说明电梯主要部件技术、功能，需满足国家质量规范要求。</w:t>
            </w:r>
          </w:p>
          <w:p>
            <w:pPr>
              <w:pStyle w:val="null3"/>
              <w:ind w:firstLine="420"/>
              <w:jc w:val="both"/>
            </w:pPr>
            <w:r>
              <w:rPr>
                <w:rFonts w:ascii="仿宋_GB2312" w:hAnsi="仿宋_GB2312" w:cs="仿宋_GB2312" w:eastAsia="仿宋_GB2312"/>
                <w:sz w:val="21"/>
              </w:rPr>
              <w:t>2.10 电梯提供及交付资料要求：</w:t>
            </w:r>
          </w:p>
          <w:p>
            <w:pPr>
              <w:pStyle w:val="null3"/>
              <w:ind w:firstLine="420"/>
              <w:jc w:val="both"/>
            </w:pPr>
            <w:r>
              <w:rPr>
                <w:rFonts w:ascii="仿宋_GB2312" w:hAnsi="仿宋_GB2312" w:cs="仿宋_GB2312" w:eastAsia="仿宋_GB2312"/>
                <w:sz w:val="21"/>
              </w:rPr>
              <w:t>（一）电梯样册</w:t>
            </w:r>
          </w:p>
          <w:p>
            <w:pPr>
              <w:pStyle w:val="null3"/>
              <w:ind w:firstLine="420"/>
              <w:jc w:val="both"/>
            </w:pPr>
            <w:r>
              <w:rPr>
                <w:rFonts w:ascii="仿宋_GB2312" w:hAnsi="仿宋_GB2312" w:cs="仿宋_GB2312" w:eastAsia="仿宋_GB2312"/>
                <w:sz w:val="21"/>
              </w:rPr>
              <w:t>（二）电梯投标型号性能介绍</w:t>
            </w:r>
          </w:p>
          <w:p>
            <w:pPr>
              <w:pStyle w:val="null3"/>
              <w:ind w:firstLine="420"/>
              <w:jc w:val="both"/>
            </w:pPr>
            <w:r>
              <w:rPr>
                <w:rFonts w:ascii="仿宋_GB2312" w:hAnsi="仿宋_GB2312" w:cs="仿宋_GB2312" w:eastAsia="仿宋_GB2312"/>
                <w:sz w:val="21"/>
              </w:rPr>
              <w:t>（三）电梯投标型号主要部件介绍</w:t>
            </w:r>
          </w:p>
          <w:p>
            <w:pPr>
              <w:pStyle w:val="null3"/>
              <w:ind w:firstLine="420"/>
              <w:jc w:val="both"/>
            </w:pPr>
            <w:r>
              <w:rPr>
                <w:rFonts w:ascii="仿宋_GB2312" w:hAnsi="仿宋_GB2312" w:cs="仿宋_GB2312" w:eastAsia="仿宋_GB2312"/>
                <w:sz w:val="21"/>
              </w:rPr>
              <w:t>（四）电梯井道布置图</w:t>
            </w:r>
          </w:p>
          <w:p>
            <w:pPr>
              <w:pStyle w:val="null3"/>
              <w:jc w:val="both"/>
            </w:pPr>
            <w:r>
              <w:rPr>
                <w:rFonts w:ascii="仿宋_GB2312" w:hAnsi="仿宋_GB2312" w:cs="仿宋_GB2312" w:eastAsia="仿宋_GB2312"/>
                <w:sz w:val="21"/>
              </w:rPr>
              <w:t xml:space="preserve">       （五）电梯安装验收合格后，所有出厂、安装、调试等资料均须全套完整交付甲方。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满足国家和行业现行技术规范，符合国家及行业验收合格标准，质量要求均为合格。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 完工时间： 合同签订后 60个日历日内竣工并交付验收； 3.3.2 验收 ： 3.3.2.1 采购人组织安排验收，成交供应商提供工程量清单以及图纸配合验收工作。 3.3.2.2验收标准：按国家有关电梯标准(GB50310-2002)/(TSGT7001-2023),并请当地特种设备验测中心电梯质检部门验收和试验。 3.3.2.3制造与验收标准：按照国家现行有效的验收标准规范执行，(GB/T7588.1-2020、GB/T7588.2-2020、GB/T10066-2023)进行验收。 3.3.3付款方式： 3.3.3.1 款项结算：在付款前，必须开具全额增值税专用发票交付采购人。 3.3.3.2 付款方式：1、付款条件说明：合同签订后，达到付款条件起 15 日内，支付合同总金额的40%。 2、付款条件说明： 所有标的物完成交付并验收后，达到付款条件起 15 日内，支付合同总金额的60%。 本项目采取固定合同总价包干形式，供应商最终结算金额须经采购人审计部门审计后予以支付。 3.3.4 履约保证金： 本采购包履约保证金为合同金额的3.0% 3.3.4.1履约保证金缴纳时间：中标/成交后七日内需要缴纳履约保证金。未在规定时间内缴纳履约保证金视为拒签合同，自动放弃中标/成交资格。 3.3.4.2履约保证金缴纳形式：采用银行对公转账、电汇或者金融机构、担保机构出具的保函等非现金的形式对公形式缴纳。 3.3.4.3履约保证金的退还：项目验收合格后，履约保证金自动转为质量保证金，项目整体质保结束后30个日历日内，无质量问题且不存在争议，一次性无息退还至中标/成交人账户。 3.3.5质保期： 电梯质保期1年，工程整体质量保修期按照各个部分工程的国家标准执行，质保期内年检及维保费用由供应商承担，自验收合格之日起计算，若供应商承诺多于质保要求的，则按其承诺，保修期内须提供24小时内的紧急维修服务。 3.3.6施工要求： 3.3.6.1 为了保证工程的质量与进度，成交供应商派驻施工现场的项目经理（负责人）、技术负责必须与文件提供的项目经理、技术负责人及项目管理人员一致，且在施工期内必须每天保证至少有一人驻守施工现场组织施工和技术管理工作； 3.3.6.2电梯施工部分进场前，需配备一名具备特种设备安装人员或特种设备作业人员或特种设备管理人员资格证书的项目经理，且在施工期内必须每天驻守施工现场组织施工和技术管理工作； 3.3.6.3由于本项目工期紧、任务重，成交单位在施工过程中各个部门紧密配合，各个施工点可以同时作业，从而保证施工的的质量与效率。 3.3.6.4 项目施工过程中所有责任由成交人承担，施工完成后，提供完整的竣工资料，包括但不限于竣工图纸、过程资料等。 3.3.7电梯五方对讲和视频通讯设施： 必须配合甲方完成五方对讲的布线和功能以及实现视频通讯和监控。 3.3.8电梯五方对讲设施： （一）必须提供和配备轿厢、机房、值班室、轿顶、轿底五方通讯的硬件材料和软件功能（二）电梯机房至监控控制中心的五方对讲布线由甲方布置，其余布线由电梯供应商布置，并配合甲方的五方对讲接通工作（三）必须达到和实际完成质监局要求的五方对讲功能和设施 3.3.9电梯视频通讯设施： （一）电梯机房到轿顶内预置视频电缆（内置视频线）和接口（二）电梯机房至监控控制中心的视频布线由甲方布置，其余布线由电梯供应商布置，并配合甲方的视频接通工作。（三）电梯中标方必须达到和实际完成与楼宇监视系统的匹配兼容对接，完成视频的监控功能。 3.3.10其他约定： （一）电梯到货后，由供应商提供电梯随机资料包含电梯出厂合格证，到当地区域的市场监督管理局办理电梯安装开工告知书后方可实施现场安装； （二）电梯安装完毕并经自检合格后，由电梯供应商出具电梯自检合格报告；之后报当地政府监督管理部门下属的电梯检验单位实施监督检验，监督检验合格后出具监督检验报告，此时电梯可投入正常运行； （三）电梯投入运行前或运行后30日内，由电梯使用单位在所在地区市场监督管理部门办理电梯使用登记证，电梯安装施工单位配合办理此证。 以上过程中所需费用均包含在统一报价中。 （四）供应商提交的响应文件工程量清单必须明确“单位工程清单费用汇总表、分部分项工程项目清单计价表、措施项目清单计价表、其他项目清单计价表、专业工程暂估价明细表、工程量清单综合单价分析表（单价计价）”的清单报价。 注：商务要求和其他要求不允许负偏离。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2023或2024年度经审计的财务报告复印件（包含审计报告和审计报告中所涉及的财务报表和报表附注），②也可提供截至响应文件递交截止日一年内银行出具的资信证明（复印件），③供应商注册时间截至响应文件递交截止日不足一年的，也可提供加盖工商备案主管部门印章的公司章程复印件，④也可提供政府采购信用担保机构出具的《政府采购投标担保函》｝ 4.具有依法缴纳税收和社会保障资金的良好记录（①社会保障资金缴纳证明：提供2024年9月1日至今已缴存的任一月份的社会保障资金缴存单据或社保机构开具的社会保险参保缴费情况证明，依法不需要缴纳社会保障资金的供应商应提供相关文件证明； ）；②提供2024年9月1日至今已缴纳的至少一个月的纳税证明或完税证明，依法免税的单位应提供相关证明材料；）；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其他格式.docx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截至响应文件递交截止日一年内银行出具的资信证明（复印件），③供应商注册时间截至响应文件递交截止日不足一年的，也可提供加盖工商备案主管部门印章的公司章程复印件，④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拟派项目负责人须具备建筑工程专业贰级及以上注册建造师资质、具有安全生产考核合格证（B证），在本单位注册且无在建工程；</w:t>
            </w:r>
          </w:p>
        </w:tc>
        <w:tc>
          <w:tcPr>
            <w:tcW w:type="dxa" w:w="3322"/>
          </w:tcPr>
          <w:p>
            <w:pPr>
              <w:pStyle w:val="null3"/>
            </w:pPr>
            <w:r>
              <w:rPr>
                <w:rFonts w:ascii="仿宋_GB2312" w:hAnsi="仿宋_GB2312" w:cs="仿宋_GB2312" w:eastAsia="仿宋_GB2312"/>
              </w:rPr>
              <w:t>拟派项目负责人须具备建筑工程专业贰级及以上注册建造师资质、具有安全生产考核合格证（B证），在本单位注册且无在建工程（无在建提供相关证明材料或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其他格式.docx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供应商须具有《中华人民共和国特种设备生产许可证》：电梯制造（含安装、修理、改造）或电梯安装（含修理）证书；供应商应具备建筑工程施工总承包三级及以上资质，具有有效的安全生产许可证；</w:t>
            </w:r>
          </w:p>
        </w:tc>
        <w:tc>
          <w:tcPr>
            <w:tcW w:type="dxa" w:w="3322"/>
          </w:tcPr>
          <w:p>
            <w:pPr>
              <w:pStyle w:val="null3"/>
            </w:pPr>
            <w:r>
              <w:rPr>
                <w:rFonts w:ascii="仿宋_GB2312" w:hAnsi="仿宋_GB2312" w:cs="仿宋_GB2312" w:eastAsia="仿宋_GB2312"/>
              </w:rPr>
              <w:t>供应商须具有《中华人民共和国特种设备生产许可证》：电梯制造（含安装、修理、改造）或电梯安装（含修理）证书；供应商应具备建筑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省外企业须为“陕西省建筑市场监管与诚信信息一体化平台”备案企业；</w:t>
            </w:r>
          </w:p>
        </w:tc>
        <w:tc>
          <w:tcPr>
            <w:tcW w:type="dxa" w:w="3322"/>
          </w:tcPr>
          <w:p>
            <w:pPr>
              <w:pStyle w:val="null3"/>
            </w:pPr>
            <w:r>
              <w:rPr>
                <w:rFonts w:ascii="仿宋_GB2312" w:hAnsi="仿宋_GB2312" w:cs="仿宋_GB2312" w:eastAsia="仿宋_GB2312"/>
              </w:rPr>
              <w:t>省外企业须为“陕西省建筑市场监管与诚信信息一体化平台”备案企业；供应商需在项目电子化交易系统中按要求上传相应证明文件并进行电子签章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本项目接受联合体</w:t>
            </w:r>
          </w:p>
        </w:tc>
        <w:tc>
          <w:tcPr>
            <w:tcW w:type="dxa" w:w="3322"/>
          </w:tcPr>
          <w:p>
            <w:pPr>
              <w:pStyle w:val="null3"/>
            </w:pPr>
            <w:r>
              <w:rPr>
                <w:rFonts w:ascii="仿宋_GB2312" w:hAnsi="仿宋_GB2312" w:cs="仿宋_GB2312" w:eastAsia="仿宋_GB2312"/>
              </w:rPr>
              <w:t>本项目联合体牵头方须具有《中华人民共和国特种设备生产许可证》：电梯制造（含安装、修理、改造）或电梯安装（含修理）证书； 须在联合体协议中明确</w:t>
            </w:r>
          </w:p>
        </w:tc>
        <w:tc>
          <w:tcPr>
            <w:tcW w:type="dxa" w:w="1661"/>
          </w:tcPr>
          <w:p>
            <w:pPr>
              <w:pStyle w:val="null3"/>
            </w:pPr>
            <w:r>
              <w:rPr>
                <w:rFonts w:ascii="仿宋_GB2312" w:hAnsi="仿宋_GB2312" w:cs="仿宋_GB2312" w:eastAsia="仿宋_GB2312"/>
              </w:rPr>
              <w:t>其他格式.docx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（4）属于竞争性磋商文件中无效响应情形的；（5）未按规定缴纳磋商保证金的；（6）未标价的工程量清单。</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（4）属于竞争性磋商文件中无效响应情形的；（5）未按规定缴纳磋商保证金的；（6）未标价的工程量清单。</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所投产品技术指标完全满足磋商文件要求的得24分，每有一条技术参数负偏离扣0.5分，扣完为止。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根据供应商提供的本项目施工方案①施工工艺②施工方法③技术措施进行综合打分，完全响应得9分 ；方案中每有一项内容缺失扣3分，方案内容要素中每存在一处缺陷扣0.5分，该分项分值扣完为止。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机械配置方案</w:t>
            </w:r>
          </w:p>
        </w:tc>
        <w:tc>
          <w:tcPr>
            <w:tcW w:type="dxa" w:w="2492"/>
          </w:tcPr>
          <w:p>
            <w:pPr>
              <w:pStyle w:val="null3"/>
            </w:pPr>
            <w:r>
              <w:rPr>
                <w:rFonts w:ascii="仿宋_GB2312" w:hAnsi="仿宋_GB2312" w:cs="仿宋_GB2312" w:eastAsia="仿宋_GB2312"/>
              </w:rPr>
              <w:t>根据供应商提供的 机械配置方案①施工所需机械设备清单② 设备配备③劳保用品配置措施进行综合打分，完全响应得3分 ；方案中每有一项内容缺失扣1分，方案内容要素中每存在一处缺陷扣0.5分，该分项分值扣完为止。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供应商提供针对本项目的人员配备方案，包含①项目成员配备科学规范及劳动力保障措施 ②人员组成结构及人员的服务技术能力③配备人员资质经验合理性综合评审，完全响应得9分；方案中每有一项内容缺失扣3分，方案内容要素中每存在一处缺陷扣0.5分，该分项分值扣完为止。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供应商提供针对本项目的质量管理方案包含：①质量管理体系、②质量保证措施，完全响应得4分 ；方案中每有一项内容缺失扣2分，方案内容要素中每存在一处缺陷扣0.5分，该分项分值扣完为止。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根据供应商提供的①安全管理体系与措施②安全文明施工措施③安全教育及培训计划④安全防护措施等进行综合评审：完全响应得4分 ；方案中每有一项内容缺失扣1分，方案内容要素中每存在一处缺陷扣0.5分，该分项分值扣完为止。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供应商提供针对本项目的工期及进度安排计划包含：①保证项目工期实施措施，②施工进度表或施工网络节点表措施，③出现特殊情况的应急预案进行综合评审：完全响应得1.5分 ；方案中每有一项内容缺失或缺陷扣0.5分，该分项分值扣完为止。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供应商提供针对本项目的环保方案，包含：①环境保护管理体系与措施②污染物处理及排放符合国家及地方环境保护标准响应措施；③现场扬尘预防措施进行综合评审：完全响应得 1.5分 ；方案中每有一项内容缺失或缺陷扣0.5分，该分项分值扣完为止。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根据供应商2022年01月01日至磋商响应截止时间同类业绩，每提供一份有效合同得1分，最高得5分。 注：需提供合同复印件。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对供应商提供的售后服务方案，包括①承诺维修响应时间②售后人员配置③工程质保承诺方案等进行综合评定：完全响应得9分 ；方案中每有一项内容缺失扣3分，方案内容要素中每存在一处缺陷扣0.5分，该分项分值扣完为止。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最终最低有效报价得30分。以本次最终最低有效报价为基准价，报价得分=(磋商基准价÷最终有效磋商报价)×价格权值×100。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详见附件：施工工程类合同模板.docx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