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版本号：HCXM-GK-2509-0120250915001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2024年圆度、圆柱度测量仪标准装置技术能力提升装备项目（一）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HCXM-GK-2509-01</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2024年圆度、圆柱度测量仪标准装置技术能力提升装备项目（一）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HCXM-GK-2509-01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2024年圆度、圆柱度测量仪标准装置技术能力提升装备项目（一）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采购2024年圆度、圆柱度测量仪标准装置技术能力提升装备项目（一）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采购包1（2024年圆度、圆柱度测量仪标准装置技术能力提升装备项目（一））：属于专门面向中小企业采购。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在领取中标通知书时，向汇成项目管理有限公司缴纳招标代理服务费。服务费收费标准参照国家计委关于《招标代理服务收费管理暂行办法》的通知（计价格[2002]1980号）、《国家发展改革委办公厅关于招标代理服务收费有关问题的通知》（发改价格[2003]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采购2024年圆度、圆柱度测量仪标准装置技术能力提升装备项目（一）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3,145,000.00</w:t>
      </w:r>
    </w:p>
    <w:p>
      <w:pPr>
        <w:pStyle w:val="null3"/>
      </w:pPr>
      <w:r>
        <w:rPr>
          <w:rFonts w:ascii="仿宋_GB2312" w:hAnsi="仿宋_GB2312" w:cs="仿宋_GB2312" w:eastAsia="仿宋_GB2312"/>
        </w:rPr>
        <w:t>采购包最高限价（元）: 3,145,000.00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3,145,000.00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2024年圆度、圆柱度测量仪标准装置技术能力提升装备项目（一）</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圆度、圆柱度测量仪</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项目一</w:t>
            </w:r>
            <w:r>
              <w:rPr>
                <w:rFonts w:ascii="仿宋_GB2312" w:hAnsi="仿宋_GB2312" w:cs="仿宋_GB2312" w:eastAsia="仿宋_GB2312"/>
                <w:sz w:val="24"/>
                <w:b/>
              </w:rPr>
              <w:t xml:space="preserve">  </w:t>
            </w:r>
            <w:r>
              <w:rPr>
                <w:rFonts w:ascii="仿宋_GB2312" w:hAnsi="仿宋_GB2312" w:cs="仿宋_GB2312" w:eastAsia="仿宋_GB2312"/>
                <w:sz w:val="24"/>
                <w:b/>
              </w:rPr>
              <w:t>2024年圆度、圆柱度测量仪标准装置技术能力提升装备项目（一）</w:t>
            </w:r>
          </w:p>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圆度、圆柱度测量仪</w:t>
            </w:r>
          </w:p>
          <w:p>
            <w:pPr>
              <w:pStyle w:val="null3"/>
              <w:jc w:val="left"/>
            </w:pPr>
            <w:r>
              <w:rPr>
                <w:rFonts w:ascii="仿宋_GB2312" w:hAnsi="仿宋_GB2312" w:cs="仿宋_GB2312" w:eastAsia="仿宋_GB2312"/>
                <w:sz w:val="21"/>
              </w:rPr>
              <w:t>主要技术要求：</w:t>
            </w:r>
          </w:p>
          <w:p>
            <w:pPr>
              <w:pStyle w:val="null3"/>
              <w:jc w:val="left"/>
            </w:pPr>
            <w:r>
              <w:rPr>
                <w:rFonts w:ascii="仿宋_GB2312" w:hAnsi="仿宋_GB2312" w:cs="仿宋_GB2312" w:eastAsia="仿宋_GB2312"/>
                <w:sz w:val="21"/>
                <w:color w:val="000000"/>
              </w:rPr>
              <w:t>1.立柱全高的直线度误差： 0.2µm/500mm</w:t>
            </w:r>
          </w:p>
          <w:p>
            <w:pPr>
              <w:pStyle w:val="null3"/>
              <w:jc w:val="left"/>
            </w:pPr>
            <w:r>
              <w:rPr>
                <w:rFonts w:ascii="仿宋_GB2312" w:hAnsi="仿宋_GB2312" w:cs="仿宋_GB2312" w:eastAsia="仿宋_GB2312"/>
                <w:sz w:val="21"/>
                <w:color w:val="000000"/>
              </w:rPr>
              <w:t>2.立柱任意 100mm 直线度误差： 0.15µm/100mm</w:t>
            </w:r>
          </w:p>
          <w:p>
            <w:pPr>
              <w:pStyle w:val="null3"/>
              <w:jc w:val="left"/>
            </w:pPr>
            <w:r>
              <w:rPr>
                <w:rFonts w:ascii="仿宋_GB2312" w:hAnsi="仿宋_GB2312" w:cs="仿宋_GB2312" w:eastAsia="仿宋_GB2312"/>
                <w:sz w:val="21"/>
                <w:color w:val="000000"/>
              </w:rPr>
              <w:t>3.垂直轴对主轴的平行度： 0.5µm/500mm</w:t>
            </w:r>
          </w:p>
          <w:p>
            <w:pPr>
              <w:pStyle w:val="null3"/>
              <w:jc w:val="left"/>
            </w:pPr>
            <w:r>
              <w:rPr>
                <w:rFonts w:ascii="仿宋_GB2312" w:hAnsi="仿宋_GB2312" w:cs="仿宋_GB2312" w:eastAsia="仿宋_GB2312"/>
                <w:sz w:val="21"/>
                <w:color w:val="000000"/>
              </w:rPr>
              <w:t>4.径向误差（UHPR 模式）： ±0.005µm(1-50upr) ★</w:t>
            </w:r>
          </w:p>
          <w:p>
            <w:pPr>
              <w:pStyle w:val="null3"/>
              <w:jc w:val="left"/>
            </w:pPr>
            <w:r>
              <w:rPr>
                <w:rFonts w:ascii="仿宋_GB2312" w:hAnsi="仿宋_GB2312" w:cs="仿宋_GB2312" w:eastAsia="仿宋_GB2312"/>
                <w:sz w:val="21"/>
                <w:color w:val="000000"/>
              </w:rPr>
              <w:t>5.径向误差(工作台面高度位置): ±0.008µm (1-15upr)或±0.01µm (1-50upr) ★</w:t>
            </w:r>
          </w:p>
          <w:p>
            <w:pPr>
              <w:pStyle w:val="null3"/>
              <w:jc w:val="left"/>
            </w:pPr>
            <w:r>
              <w:rPr>
                <w:rFonts w:ascii="仿宋_GB2312" w:hAnsi="仿宋_GB2312" w:cs="仿宋_GB2312" w:eastAsia="仿宋_GB2312"/>
                <w:sz w:val="21"/>
                <w:color w:val="000000"/>
              </w:rPr>
              <w:t>6.轴向误差(中心位置)：±0.01µm (1-15upr)或±0.015µm (1-50upr)</w:t>
            </w:r>
          </w:p>
          <w:p>
            <w:pPr>
              <w:pStyle w:val="null3"/>
              <w:jc w:val="left"/>
            </w:pPr>
            <w:r>
              <w:rPr>
                <w:rFonts w:ascii="仿宋_GB2312" w:hAnsi="仿宋_GB2312" w:cs="仿宋_GB2312" w:eastAsia="仿宋_GB2312"/>
                <w:sz w:val="21"/>
                <w:color w:val="000000"/>
              </w:rPr>
              <w:t>7.径向圆锥误差(距工作台面高度)：±0.00025 µm/mm</w:t>
            </w:r>
          </w:p>
          <w:p>
            <w:pPr>
              <w:pStyle w:val="null3"/>
              <w:jc w:val="left"/>
            </w:pPr>
            <w:r>
              <w:rPr>
                <w:rFonts w:ascii="仿宋_GB2312" w:hAnsi="仿宋_GB2312" w:cs="仿宋_GB2312" w:eastAsia="仿宋_GB2312"/>
                <w:sz w:val="21"/>
                <w:color w:val="000000"/>
              </w:rPr>
              <w:t>8.轴向圆锥误差(距中心距离)： ±0.00025 µm/mm</w:t>
            </w:r>
          </w:p>
          <w:p>
            <w:pPr>
              <w:pStyle w:val="null3"/>
              <w:jc w:val="left"/>
            </w:pPr>
            <w:r>
              <w:rPr>
                <w:rFonts w:ascii="仿宋_GB2312" w:hAnsi="仿宋_GB2312" w:cs="仿宋_GB2312" w:eastAsia="仿宋_GB2312"/>
                <w:sz w:val="21"/>
                <w:color w:val="000000"/>
              </w:rPr>
              <w:t>9.横臂全长的直线度误差： 0.2µm/200mm</w:t>
            </w:r>
          </w:p>
          <w:p>
            <w:pPr>
              <w:pStyle w:val="null3"/>
              <w:jc w:val="left"/>
            </w:pPr>
            <w:r>
              <w:rPr>
                <w:rFonts w:ascii="仿宋_GB2312" w:hAnsi="仿宋_GB2312" w:cs="仿宋_GB2312" w:eastAsia="仿宋_GB2312"/>
                <w:sz w:val="21"/>
                <w:color w:val="000000"/>
              </w:rPr>
              <w:t>10.横臂任意 50mm 长度的直线度误差：0.125µm+0.000375µm/mm</w:t>
            </w:r>
          </w:p>
          <w:p>
            <w:pPr>
              <w:pStyle w:val="null3"/>
              <w:jc w:val="left"/>
            </w:pPr>
            <w:r>
              <w:rPr>
                <w:rFonts w:ascii="仿宋_GB2312" w:hAnsi="仿宋_GB2312" w:cs="仿宋_GB2312" w:eastAsia="仿宋_GB2312"/>
                <w:sz w:val="21"/>
                <w:color w:val="000000"/>
              </w:rPr>
              <w:t>11.横臂对主轴的垂直度： 1µm/200mm</w:t>
            </w:r>
          </w:p>
          <w:p>
            <w:pPr>
              <w:pStyle w:val="null3"/>
              <w:jc w:val="left"/>
            </w:pPr>
            <w:r>
              <w:rPr>
                <w:rFonts w:ascii="仿宋_GB2312" w:hAnsi="仿宋_GB2312" w:cs="仿宋_GB2312" w:eastAsia="仿宋_GB2312"/>
                <w:sz w:val="21"/>
                <w:color w:val="000000"/>
              </w:rPr>
              <w:t>12.分辨率：</w:t>
            </w:r>
          </w:p>
          <w:p>
            <w:pPr>
              <w:pStyle w:val="null3"/>
              <w:ind w:firstLine="420"/>
              <w:jc w:val="left"/>
            </w:pPr>
            <w:r>
              <w:rPr>
                <w:rFonts w:ascii="仿宋_GB2312" w:hAnsi="仿宋_GB2312" w:cs="仿宋_GB2312" w:eastAsia="仿宋_GB2312"/>
                <w:sz w:val="21"/>
                <w:color w:val="000000"/>
              </w:rPr>
              <w:t>正常量程：</w:t>
            </w:r>
            <w:r>
              <w:rPr>
                <w:rFonts w:ascii="仿宋_GB2312" w:hAnsi="仿宋_GB2312" w:cs="仿宋_GB2312" w:eastAsia="仿宋_GB2312"/>
                <w:sz w:val="21"/>
                <w:color w:val="000000"/>
              </w:rPr>
              <w:t>0.008µm/±1mm</w:t>
            </w:r>
          </w:p>
          <w:p>
            <w:pPr>
              <w:pStyle w:val="null3"/>
              <w:ind w:firstLine="420"/>
              <w:jc w:val="left"/>
            </w:pPr>
            <w:r>
              <w:rPr>
                <w:rFonts w:ascii="仿宋_GB2312" w:hAnsi="仿宋_GB2312" w:cs="仿宋_GB2312" w:eastAsia="仿宋_GB2312"/>
                <w:sz w:val="21"/>
                <w:color w:val="000000"/>
              </w:rPr>
              <w:t>中等量程：</w:t>
            </w:r>
            <w:r>
              <w:rPr>
                <w:rFonts w:ascii="仿宋_GB2312" w:hAnsi="仿宋_GB2312" w:cs="仿宋_GB2312" w:eastAsia="仿宋_GB2312"/>
                <w:sz w:val="21"/>
                <w:color w:val="000000"/>
              </w:rPr>
              <w:t>0.0016µm/±0.2mm</w:t>
            </w:r>
          </w:p>
          <w:p>
            <w:pPr>
              <w:pStyle w:val="null3"/>
              <w:ind w:firstLine="420"/>
              <w:jc w:val="left"/>
            </w:pPr>
            <w:r>
              <w:rPr>
                <w:rFonts w:ascii="仿宋_GB2312" w:hAnsi="仿宋_GB2312" w:cs="仿宋_GB2312" w:eastAsia="仿宋_GB2312"/>
                <w:sz w:val="21"/>
                <w:color w:val="000000"/>
              </w:rPr>
              <w:t>小量程：</w:t>
            </w:r>
            <w:r>
              <w:rPr>
                <w:rFonts w:ascii="仿宋_GB2312" w:hAnsi="仿宋_GB2312" w:cs="仿宋_GB2312" w:eastAsia="仿宋_GB2312"/>
                <w:sz w:val="21"/>
                <w:color w:val="000000"/>
              </w:rPr>
              <w:t>0.0003µm/±0.04mm</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质保：验收合格后</w:t>
            </w: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个月内</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提供中国计量科学研究院溯源证书</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的滞纳金。如供应商逾期交货达60天，采购方有权解除合同，同时供应商应及时退还采购方预付款并向采购方支付合同总价5％的违约金，解除合同的通知自到达供应商时生效。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注：本项目不接受联合体投标。</w:t>
            </w:r>
          </w:p>
        </w:tc>
        <w:tc>
          <w:tcPr>
            <w:tcW w:type="dxa" w:w="1661"/>
          </w:tcPr>
          <w:p>
            <w:pPr>
              <w:pStyle w:val="null3"/>
            </w:pPr>
            <w:r>
              <w:rPr>
                <w:rFonts w:ascii="仿宋_GB2312" w:hAnsi="仿宋_GB2312" w:cs="仿宋_GB2312" w:eastAsia="仿宋_GB2312"/>
              </w:rPr>
              <w:t>非联合体声明.docx 投标函 中小企业声明函 残疾人福利性单位声明函 拒绝政府采购领域商业贿赂承诺书.docx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1、基本分（满分28分），完全响应招标文件要求，满足采购需求、技术参数没有负偏离，计基本分28分；参数中每有一条技术指标负偏离扣2分，扣完为止。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供应商有必要提供的其他说明.docx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质量维保.docx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投标人制定完善可行、有针对性的培训服务方案，能够保障使用单位能熟练操作维护和正常使用（满分5分）。 1.培训方案全面、具体、合理性强，得5分； 2.培训方案相对全面、具体，合理性相对较强，得4分； 3.培训方案基本全面、具体，有一定的合理性，得3分；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详见附件：供应商有必要提供的其他说明.docx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详见附件：质量维保.docx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详见附件：提升一 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