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版本号：ZMZB2025XBFY--15020260112001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放疗中心建设项目及零星项目监理招标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ZMZB2025XBFY--150</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放疗中心建设项目及零星项目监理招标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ZMZB2025XBFY--150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放疗中心建设项目及零星项目监理招标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放疗中心建设项目及零星项目监理招标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会计师事务所出具的赋码的完整的2024年度审计报告（成立时间至提交响应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8、资质要求：（1）具备工程监理综合资质或房屋建筑工程监理乙级及以上资质 （2）拟派本项目总监理工程师具备有效的房屋建筑工程专业国家注册监理工程师证书（在本单位注册）</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029-89550667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采购包1：751,500.00元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中标单位支付，按照国家计委颁布的《招标代理服务收费管理暂行办法》(计价格[2002]1980号)文件规定的标准下浮20%计取，招标代理服务收费按差额定率累进法计算。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根据根据采购人对监理单位的考核制度执行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联系电话：17778966063</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根据医院工作计划，计划招标采购一家监理单位，承担放疗中心建设项目及零星项目监理工作，100万元以上基建项目采取项目全程监理服务，零星项目根据施工节点采取人工日监理服务。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751,500.00</w:t>
      </w:r>
    </w:p>
    <w:p>
      <w:pPr>
        <w:pStyle w:val="null3"/>
      </w:pPr>
      <w:r>
        <w:rPr>
          <w:rFonts w:ascii="仿宋_GB2312" w:hAnsi="仿宋_GB2312" w:cs="仿宋_GB2312" w:eastAsia="仿宋_GB2312"/>
        </w:rPr>
        <w:t>采购包最高限价（元）: 751,500.00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放疗中心建设项目及零星项目监理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751,500.00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标的名称：放疗中心建设项目及零星项目监理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监理内容包括：项目建筑结构、装饰装修、电气动力照明系统、弱电系统、给排水系统、通风空调系统、标识标牌、医用气体系统、净化系统、外立面改造工程等以及相关的拆除内容的监理服务。</w:t>
            </w:r>
          </w:p>
          <w:p>
            <w:pPr>
              <w:pStyle w:val="null3"/>
            </w:pPr>
            <w:r>
              <w:rPr>
                <w:rFonts w:ascii="仿宋_GB2312" w:hAnsi="仿宋_GB2312" w:cs="仿宋_GB2312" w:eastAsia="仿宋_GB2312"/>
              </w:rPr>
              <w:t>放疗中心建设项目等</w:t>
            </w:r>
            <w:r>
              <w:rPr>
                <w:rFonts w:ascii="仿宋_GB2312" w:hAnsi="仿宋_GB2312" w:cs="仿宋_GB2312" w:eastAsia="仿宋_GB2312"/>
              </w:rPr>
              <w:t>100万元以上基建项目估算约2695万元，报价以费率 进行报价，最高限价2.6%；零星项目报价以元/人次/工日进行报价，共计48次，最高限价5万元。</w:t>
            </w:r>
          </w:p>
          <w:p>
            <w:pPr>
              <w:pStyle w:val="null3"/>
            </w:pPr>
            <w:r>
              <w:rPr>
                <w:rFonts w:ascii="仿宋_GB2312" w:hAnsi="仿宋_GB2312" w:cs="仿宋_GB2312" w:eastAsia="仿宋_GB2312"/>
                <w:sz w:val="21"/>
              </w:rPr>
              <w:t>投标单位报价包含监理费、交通费、各种管理费、税金、利润、供应商必须支付的其它费用以及合同明示或暗示的所有风险、责任和义务所产生的全部费用。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至少配置：总监理工程师及团队人员，团队人员中具有与本项目服务相关的专业人员。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针对本项目提供监理检测设备配置情况。</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工期要求：根据施工合同执行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西北妇女儿童医院指定地点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根据采购人对监理单位的考核制度执行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放疗中心建设项目等100万元以上基建项目，监理费用计算方式为结算审定的工程价款乘以中标费率为最终监理费，单个工程竣工验收结算审计后支付；零星项目按实际发生的人/工日，按季度支付，经项目负责人确认后，按合同约定支付;针对放疗中心建设项目等100万元以上基建项目经月度考核不合格的，每次不合格扣除单个项目监理费的5%(具体详见采购人对监理单位的考核制度）。本项目结算上限为75.15万元，其中放疗中心建设项目等100万元以上基建项目结算上限为70.15万元，零星项目结算上限为5万元</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监理人的违约责任 1.1.1监理人赔偿金额按下列方法确定： 赔偿金＝直接经济损失×正常工作酬金÷工程概算投资额（或建筑安装工程费）；按上述计算方式计算后的赔偿金小于直接经济损失的，赔偿金应按直接经济损失金额确定。 1.1.2监理人在履行本合同过程中，如因未妥善处理与其他方得关系等原因，导致其他方向法院起诉或向仲裁机构申请仲裁，委托人因此被卷入诉讼或仲裁，视为监理人违约，监理人应承担违约责任，向委托人赔偿损失，该损失包括：委托人因承担连带责任而支付的各种款项及利息；受其他方诉讼或仲裁牵连而支付的律师代理费、诉讼费、仲裁费、证据调查费、保全费、保全担保费等；向监理人追索该等费用而向法院起诉或向仲裁机构申请仲裁发生的律师代理费、诉讼费、仲裁费、证据调查费、保全费、保全担保费等费用。 监理人违约给委托人造成损失的，监理人应承担违约责任，并向委托人赔偿各种损失，包括委托人未追索该损失而发生的律师代理费、诉讼费、仲裁费、证据调查费、保全费、保全担保费等费用。 1.1.3如因监理人工作引起的损失浪费、安全事故、负面新闻等，监理人应负主体责任，承担损失赔偿责任；建设质量问题监理人应负连带责任，委托人可对监理人做出责任追究并按照委托人或主管部门有关制度规定追究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一、付款条件补充说明：1.付款说明：本项目招标文件第三章 招标项目技术、服务、商务及其它要求中3.4商务要求中的“3.4.3支付方式：一次性付清”“3.3.5支付约定：达到付款条件起 30日内，支付合同总金额的 100.00%。”为陕西省政府采购平台系统中固定的描述内容，无法修改，故具体付款方式以下列内容为准：放疗中心建设项目等100万元以上基建项目，监理费用计算方式为结算审定的工程价款乘以中标费率为最终监理费，单个工程竣工验收结算审计后支付；零星项目按实际发生的人/工日，按季度支付，经项目负责人确认后，按合同约定支付;针对放疗中心建设项目等100万元以上基建项目经月度考核不合格的，每次不合格扣除单个项目监理费的5%(具体详见采购人对监理单位的考核制度）。本项目结算上限为75.15万元，其中放疗中心建设项目等100万元以上基建项目结算上限为70.15万元，零星项目结算上限为5万元。 二、供应商需要在线提交所有通过电子化交易平台实施的政府采购项目的投标文件，同时，线下提交纸质投标文件正本壹份、副本贰份，纸质投标文件正副本分别胶装，标明供应商名称密封递交，递交截止时间同在线递交电子投标文件截止时间一致， 线下递交文件地点： 西安市雁塔区科技路 30号合力紫郡大厦 B座21层第一会议室，若电子投标文件与纸质投标文件不一致的，以电子投标文件为准。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会计师事务所出具的赋码的完整的2024年度审计报告（成立时间至提交响应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（1）具备工程监理综合资质或房屋建筑工程监理乙级及以上资质 （2）拟派本项目总监理工程师具备有效的房屋建筑工程专业国家注册监理工程师证书（在本单位注册）</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响应报价按照磋商文件要求报价的（合格），响应报价未按磋商文件要求报价的(不合格)</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服务期限满足竞争性磋商文件最低要求(合格)，服务期限不满足竞争性磋商文件最低要求(不合格)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分项报价表.docx 服务内容及服务邀请应答表 中小企业声明函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响应文件内容符合竞争性磋商文件服务内容及要求（合格），响应文件内容不符合竞争性磋商文件服务内容及要求（不合格）</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响应文件封面 分项报价表.docx 服务内容及服务邀请应答表 商务应答表 供应商认为有必要说明的其他问题.docx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响应文件封面 供应商认为有必要说明的其他问题.docx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不同供应商的投标文件是否由同一单位或者个人编制</w:t>
            </w:r>
          </w:p>
        </w:tc>
        <w:tc>
          <w:tcPr>
            <w:tcW w:type="dxa" w:w="3322"/>
          </w:tcPr>
          <w:p>
            <w:pPr>
              <w:pStyle w:val="null3"/>
            </w:pPr>
            <w:r>
              <w:rPr>
                <w:rFonts w:ascii="仿宋_GB2312" w:hAnsi="仿宋_GB2312" w:cs="仿宋_GB2312" w:eastAsia="仿宋_GB2312"/>
              </w:rPr>
              <w:t>不同供应商的投标文件不是由同一单位或者个人编制(合格)不同供应商的投标文件由同一单位或者个人编制(不合格)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不同供应商是否委托同一单位或者个人办理投标事宜</w:t>
            </w:r>
          </w:p>
        </w:tc>
        <w:tc>
          <w:tcPr>
            <w:tcW w:type="dxa" w:w="3322"/>
          </w:tcPr>
          <w:p>
            <w:pPr>
              <w:pStyle w:val="null3"/>
            </w:pPr>
            <w:r>
              <w:rPr>
                <w:rFonts w:ascii="仿宋_GB2312" w:hAnsi="仿宋_GB2312" w:cs="仿宋_GB2312" w:eastAsia="仿宋_GB2312"/>
              </w:rPr>
              <w:t>不同供应商不是委托同一单位或者个人办理投标事宜(合格)不同供应商委托同一单位或者个人办理投标事宜(不合格)</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不同供应商的投标文件载明的项目管理成员或者联系人员是否为同一人</w:t>
            </w:r>
          </w:p>
        </w:tc>
        <w:tc>
          <w:tcPr>
            <w:tcW w:type="dxa" w:w="3322"/>
          </w:tcPr>
          <w:p>
            <w:pPr>
              <w:pStyle w:val="null3"/>
            </w:pPr>
            <w:r>
              <w:rPr>
                <w:rFonts w:ascii="仿宋_GB2312" w:hAnsi="仿宋_GB2312" w:cs="仿宋_GB2312" w:eastAsia="仿宋_GB2312"/>
              </w:rPr>
              <w:t>不同供应商的投标文件载明的项目管理成员或者联系人员不是为同一人(合格)不同供应商的投标文件载明的项目管理成员或者联系人员为同一人(不合格)</w:t>
            </w:r>
          </w:p>
        </w:tc>
        <w:tc>
          <w:tcPr>
            <w:tcW w:type="dxa" w:w="1661"/>
          </w:tcPr>
          <w:p>
            <w:pPr>
              <w:pStyle w:val="null3"/>
            </w:pPr>
            <w:r>
              <w:rPr>
                <w:rFonts w:ascii="仿宋_GB2312" w:hAnsi="仿宋_GB2312" w:cs="仿宋_GB2312" w:eastAsia="仿宋_GB2312"/>
              </w:rPr>
              <w:t>响应文件封面 供应商资格要求.docx 拟投入团队人员.docx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不同供应商的投标文件是否异常-致或者投标报价呈规律性差异</w:t>
            </w:r>
          </w:p>
        </w:tc>
        <w:tc>
          <w:tcPr>
            <w:tcW w:type="dxa" w:w="3322"/>
          </w:tcPr>
          <w:p>
            <w:pPr>
              <w:pStyle w:val="null3"/>
            </w:pPr>
            <w:r>
              <w:rPr>
                <w:rFonts w:ascii="仿宋_GB2312" w:hAnsi="仿宋_GB2312" w:cs="仿宋_GB2312" w:eastAsia="仿宋_GB2312"/>
              </w:rPr>
              <w:t>不同供应商的投标文件未发现异常一致或者投标报价未呈规律性差异（合格）不同供应商的投标文件异常一致或者投标报价呈规律性差异（不合格）</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不同供应商的投标保证金是否从同单位或者个人的账户转出</w:t>
            </w:r>
          </w:p>
        </w:tc>
        <w:tc>
          <w:tcPr>
            <w:tcW w:type="dxa" w:w="3322"/>
          </w:tcPr>
          <w:p>
            <w:pPr>
              <w:pStyle w:val="null3"/>
            </w:pPr>
            <w:r>
              <w:rPr>
                <w:rFonts w:ascii="仿宋_GB2312" w:hAnsi="仿宋_GB2312" w:cs="仿宋_GB2312" w:eastAsia="仿宋_GB2312"/>
              </w:rPr>
              <w:t>不同供应商的投标保证金不是从同一单位或者个人的账户转出（合格）不同供应商的投标保证金从同一单位或者个人的账户转出（不合格）</w:t>
            </w:r>
          </w:p>
        </w:tc>
        <w:tc>
          <w:tcPr>
            <w:tcW w:type="dxa" w:w="1661"/>
          </w:tcPr>
          <w:p>
            <w:pPr>
              <w:pStyle w:val="null3"/>
            </w:pPr>
            <w:r>
              <w:rPr>
                <w:rFonts w:ascii="仿宋_GB2312" w:hAnsi="仿宋_GB2312" w:cs="仿宋_GB2312" w:eastAsia="仿宋_GB2312"/>
              </w:rPr>
              <w:t>响应文件封面 供应商认为有必要说明的其他问题.docx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不同供应商的投标文件相互混装</w:t>
            </w:r>
          </w:p>
        </w:tc>
        <w:tc>
          <w:tcPr>
            <w:tcW w:type="dxa" w:w="3322"/>
          </w:tcPr>
          <w:p>
            <w:pPr>
              <w:pStyle w:val="null3"/>
            </w:pPr>
            <w:r>
              <w:rPr>
                <w:rFonts w:ascii="仿宋_GB2312" w:hAnsi="仿宋_GB2312" w:cs="仿宋_GB2312" w:eastAsia="仿宋_GB2312"/>
              </w:rPr>
              <w:t>不同投标人的投标文件不是相互混装（合格）不同投标人的投标文件相互混装（不合格）</w:t>
            </w:r>
          </w:p>
        </w:tc>
        <w:tc>
          <w:tcPr>
            <w:tcW w:type="dxa" w:w="1661"/>
          </w:tcPr>
          <w:p>
            <w:pPr>
              <w:pStyle w:val="null3"/>
            </w:pPr>
            <w:r>
              <w:rPr>
                <w:rFonts w:ascii="仿宋_GB2312" w:hAnsi="仿宋_GB2312" w:cs="仿宋_GB2312" w:eastAsia="仿宋_GB2312"/>
              </w:rPr>
              <w:t>业绩一览表.docx 拟投入检测仪器设备.docx 服务内容及服务邀请应答表 商务应答表 监理大纲.docx 服务承诺.docx 报价表 拟投入团队人员.docx 响应文件封面 分项报价表.docx 供应商资格要求.docx 内部工作制度.docx 供应商认为有必要说明的其他问题.docx 标的清单 项目理解.docx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针对本项目的理解，内容包含：①项目背景；②工作内容、要求和工作范围； 评审标准 ： 1、完整性：方案须全面，对评审内容中的各项要求描述详细，切合本项目实际情况，实施步骤清晰、合理； 2、针对性：方案能够紧扣项目实际情况，内容科学合理。 三、赋分依据（满分5分） ①项目背景：每完全满足一个评审标准得1.25分，满分2.5分；未提供不得分； ②工作内容、要求和工作范围:每完全满足一个评审标准得1.25分，满分2.5分；未提供不得分；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项目理解.docx</w:t>
            </w:r>
          </w:p>
        </w:tc>
      </w:tr>
      <w:tr>
        <w:tc>
          <w:tcPr>
            <w:tcW w:type="dxa" w:w="831"/>
            <w:vMerge/>
          </w:tcP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针对本项目提供具体可行的监理大纲，内容包括： ①监理范围和服务内容； ②监理工作目标及监理依据； ③监理工作程序、方法和制度； ④质量、安全环保措施； ⑤合同管理及信息管理； ⑥监理组织协调内容及措施； ⑦监理工作重点、难点分析及应对措施； ⑧验收方案。 评审标准 ： 1、完整性：方案须全面，对评审内容中的各项要求描述详细； 2、可实施性：切合本项目实际情况，实施步骤清晰、合理； 3、针对性：方案能够紧扣项目实际情况，内容科学合理。 三、赋分依据（满分24分） ①监理范围和服务内容：每完全满足一个评审标准得1分，满分3分；未提供不得分； ②监理工作目标及监理依据:每完全满足一个评审标准得1分，满分3分；未提供不得分；③监理工作程序、方法和制度：每完全满足一个评审标准得1分，满分3分；未提供不得分； ④质量、安全环保措施:每完全满足一个评审标准得1分，满分3分；未提供不得分； ⑤合同管理及信息管理:每完全满足一个评审标准得1分，满分3分；未提供不得分； ⑥监理组织协调内容及措施:每完全满足一个评审标准得1分，满分3分；未提供不得分； ⑦监理工作重点、难点分析及应对措施:每完全满足一个评审标准得1分，满分3分；未提供不得分； ⑧验收方案:每完全满足一个评审标准得1分，满分3分；未提供不得分；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内部工作制度</w:t>
            </w:r>
          </w:p>
        </w:tc>
        <w:tc>
          <w:tcPr>
            <w:tcW w:type="dxa" w:w="2492"/>
          </w:tcPr>
          <w:p>
            <w:pPr>
              <w:pStyle w:val="null3"/>
            </w:pPr>
            <w:r>
              <w:rPr>
                <w:rFonts w:ascii="仿宋_GB2312" w:hAnsi="仿宋_GB2312" w:cs="仿宋_GB2312" w:eastAsia="仿宋_GB2312"/>
              </w:rPr>
              <w:t>针对本项目提供具体可行的工作制度，内容包括： ①实施与验收阶段监理组织内部的工作制度； ②监理汇报制度； ③文件管理制度； ④监理现场工作制度。 评审标准 ： 1、完整性：方案须全面，对评审内容中的各项要求描述详细，切合本项目实际情况，实施步骤清晰、合理； 2、针对性：方案能够紧扣项目实际情况，内容科学合理。 三、赋分依据（满分8分） ①实施与验收阶段监理组织内部的工作制度：每完全满足一个评审标准得1分，满分2分；未提供不得分； ②监理汇报制度:每完全满足一个评审标准得1分，满分2分；未提供不得分； ③文件管理制度：每完全满足一个评审标准得1分，满分2分； ④监理现场工作制度：每完全满足一个评审标准得1分，满分2分；未提供不得分；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内部工作制度.docx</w:t>
            </w:r>
          </w:p>
        </w:tc>
      </w:tr>
      <w:tr>
        <w:tc>
          <w:tcPr>
            <w:tcW w:type="dxa" w:w="831"/>
            <w:vMerge/>
          </w:tcPr>
          <w:p/>
        </w:tc>
        <w:tc>
          <w:tcPr>
            <w:tcW w:type="dxa" w:w="1661"/>
          </w:tcPr>
          <w:p>
            <w:pPr>
              <w:pStyle w:val="null3"/>
            </w:pPr>
            <w:r>
              <w:rPr>
                <w:rFonts w:ascii="仿宋_GB2312" w:hAnsi="仿宋_GB2312" w:cs="仿宋_GB2312" w:eastAsia="仿宋_GB2312"/>
              </w:rPr>
              <w:t>拟投入检测仪器设备</w:t>
            </w:r>
          </w:p>
        </w:tc>
        <w:tc>
          <w:tcPr>
            <w:tcW w:type="dxa" w:w="2492"/>
          </w:tcPr>
          <w:p>
            <w:pPr>
              <w:pStyle w:val="null3"/>
            </w:pPr>
            <w:r>
              <w:rPr>
                <w:rFonts w:ascii="仿宋_GB2312" w:hAnsi="仿宋_GB2312" w:cs="仿宋_GB2312" w:eastAsia="仿宋_GB2312"/>
              </w:rPr>
              <w:t>针对本项目提供监理检测设备配置情况。 评审标准 ： 1、完整性：须全面，检测设备配置齐全、先进，完全满足工程检测要求； 2、可实施性：切合本项目实际情况，监理检测设备配置情况清晰、合理； 3、针对性：监理检测设备配置情况能够紧扣项目实际情况，内容科学合理。 三、赋分依据（满分6分） 针对本项目提供监理检测设备配置情况：每完全满足一个评审标准得2分，满分6分；未提供不得分；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拟投入检测仪器设备.docx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提供针对本项目的服务承诺，承诺内容包含： ①应急预案； ②增值服务； ③合理化建议。 评审标准 ： 1、完整性：方案须全面，对评审内容中的各项要求描述详细； 2、可实施性：切合本项目实际情况，实施步骤清晰、合理； 3、针对性：方案能够紧扣项目实际情况，内容科学合理。 三、赋分依据（满分9分） ①应急预案：每完全满足一个评审标准得1分，满分3分；未提供不得分； ②增值服务:每完全满足一个评审标准得1分，满分3分；未提供不得分； ③合理化建议：每完全满足一个评审标准得1分，满分3分；未提供不得分；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拟投入团队人员</w:t>
            </w:r>
          </w:p>
        </w:tc>
        <w:tc>
          <w:tcPr>
            <w:tcW w:type="dxa" w:w="2492"/>
          </w:tcPr>
          <w:p>
            <w:pPr>
              <w:pStyle w:val="null3"/>
            </w:pPr>
            <w:r>
              <w:rPr>
                <w:rFonts w:ascii="仿宋_GB2312" w:hAnsi="仿宋_GB2312" w:cs="仿宋_GB2312" w:eastAsia="仿宋_GB2312"/>
              </w:rPr>
              <w:t>1.拟派总监理工程师具有建筑工程类相关专业高级职称得2分，具有中级职称得1分，本项目最高计2分。 评审依据：以加盖公章的职称证复印件为准。 2.提供总监理工程师2022年1月1日至今担任过类似项目总监理工程师业绩，每提供一个得2分,最多得4分。 备注：以合同复印件加盖供应商公章为准。合同里须体现总监理工程师姓名，否则不计分。 3.针对本项目提供具体可行的人员配置方案，包括但不限于： ①项目机构设置、组成人员名单，实施人员岗位职责及经验； 评审标准：内容详细全面、科学合理、 符合实际情况，得3分；内容不全面、与实际情况有偏差得2分 ；内容不全面、严重偏离实际情况得1分。 ②团队人员中具有与本项目服务相关的在本单位任职专业人员至少包括（土建专业、暖通专业、电气专业、给排水专业、结构工程专业、造价工程师、机电安装工程）响应文件须附工程类注册执业资格或中级及以上专业技术职称证书，或监理工程师从业资格证，或监理从业资格培训证书。 每提供1人得2分，最高得14分。以上人员所需证明材料提供不齐全不得分。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拟投入团队人员.docx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提供供应商2022年1月至今类似监理业绩（以完整的合同形式为准），每份计1分，计满10分为止。（时间以合同签订时间为准，没有签订时间不计分） 注：项目总监业绩与企业业绩不予重复计分。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经初审合格的供应商，其响应费率为有效费率。 基准价：即满足竞争性磋商文件要求且最终响应费率最低为基准价。 其他供应商的价格分统一按照下列公式计算。 响应得分=(基准价／最终响应报价)×15 注：评审时价格分按100万以上项目的费率进行计算，供应商在响应一览表中报费率。</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详见附件：项目理解.docx</w:t>
      </w:r>
    </w:p>
    <w:p>
      <w:pPr>
        <w:pStyle w:val="null3"/>
        <w:ind w:firstLine="960"/>
      </w:pPr>
      <w:r>
        <w:rPr>
          <w:rFonts w:ascii="仿宋_GB2312" w:hAnsi="仿宋_GB2312" w:cs="仿宋_GB2312" w:eastAsia="仿宋_GB2312"/>
        </w:rPr>
        <w:t>详见附件：监理大纲.docx</w:t>
      </w:r>
    </w:p>
    <w:p>
      <w:pPr>
        <w:pStyle w:val="null3"/>
        <w:ind w:firstLine="960"/>
      </w:pPr>
      <w:r>
        <w:rPr>
          <w:rFonts w:ascii="仿宋_GB2312" w:hAnsi="仿宋_GB2312" w:cs="仿宋_GB2312" w:eastAsia="仿宋_GB2312"/>
        </w:rPr>
        <w:t>详见附件：内部工作制度.docx</w:t>
      </w:r>
    </w:p>
    <w:p>
      <w:pPr>
        <w:pStyle w:val="null3"/>
        <w:ind w:firstLine="960"/>
      </w:pPr>
      <w:r>
        <w:rPr>
          <w:rFonts w:ascii="仿宋_GB2312" w:hAnsi="仿宋_GB2312" w:cs="仿宋_GB2312" w:eastAsia="仿宋_GB2312"/>
        </w:rPr>
        <w:t>详见附件：拟投入检测仪器设备.docx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详见附件：拟投入团队人员.docx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