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版本号：SCZA2025-CS-3399-00120260113001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临床研究信息管理系统、伦理信息管理系统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SCZA2025-CS-3399-001</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临床研究信息管理系统、伦理信息管理系统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SCZA2025-CS-3399-001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临床研究信息管理系统、伦理信息管理系统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临床研究信息管理系统、伦理信息管理系统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3、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5、具有履行合同所必须的设备和专业技术能力：具有履行合同所必须的设备和专业技术能力的承诺及说明</w:t>
      </w:r>
    </w:p>
    <w:p>
      <w:pPr>
        <w:pStyle w:val="null3"/>
      </w:pPr>
      <w:r>
        <w:rPr>
          <w:rFonts w:ascii="仿宋_GB2312" w:hAnsi="仿宋_GB2312" w:cs="仿宋_GB2312" w:eastAsia="仿宋_GB2312"/>
        </w:rPr>
        <w:t>6、法定代表人授权书：投标人应授权合法的人员参加投标，其中法定代表人直接参加的，须出具法定代表人证明书；被授权代表参加的，须出具法定代表人授权书；（非法人单位的负责人均参照执行）；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银行账号：103661558101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代理服务费收费标准：1.按照国家计委颁布的《招标代理服务收费管理暂行办法》(计价格[2002]1980号)文件规定的标准下浮20%计取，招标代理服务收费按差额定率累进法计算。2.成交单位的代理服务费交纳信息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完成项目建设功能清单中功能模块试运行，由投标人提出试运行验收申请，采购人组织相关人员（必要时组成院外专家组）进行项目验收，出具项目验收报告，开始计算维保期。2.在项目验收时，投标人须提供但不限于项目实施方案、需求说明书、使用人员签字的培训记录、系统操作说明、系统维护说明、验收申请、数据业务流、接口方案及文档、数据字典及表结构说明、用户手册、数据库用户名及密码等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临床研究信息管理系统、伦理信息管理系统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临床研究信息管理系统、伦理信息管理系统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标的名称：临床研究信息管理系统、伦理信息管理系统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一、技术参数</w:t>
                  </w:r>
                </w:p>
                <w:p>
                  <w:pPr>
                    <w:pStyle w:val="null3"/>
                  </w:pPr>
                  <w:r>
                    <w:rPr>
                      <w:rFonts w:ascii="仿宋_GB2312" w:hAnsi="仿宋_GB2312" w:cs="仿宋_GB2312" w:eastAsia="仿宋_GB2312"/>
                      <w:sz w:val="19"/>
                    </w:rPr>
                    <w:t>1.信息化系统基本技术要求</w:t>
                  </w:r>
                </w:p>
              </w:tc>
            </w:tr>
            <w:tr>
              <w:tc>
                <w:tcPr>
                  <w:tcW w:type="dxa" w:w="1276"/>
                </w:tcPr>
                <w:p>
                  <w:pPr>
                    <w:pStyle w:val="null3"/>
                  </w:pPr>
                  <w:r>
                    <w:rPr>
                      <w:rFonts w:ascii="仿宋_GB2312" w:hAnsi="仿宋_GB2312" w:cs="仿宋_GB2312" w:eastAsia="仿宋_GB2312"/>
                      <w:sz w:val="19"/>
                    </w:rPr>
                    <w:t>技术要求名称</w:t>
                  </w:r>
                </w:p>
              </w:tc>
              <w:tc>
                <w:tcPr>
                  <w:tcW w:type="dxa" w:w="1276"/>
                </w:tcPr>
                <w:p>
                  <w:pPr>
                    <w:pStyle w:val="null3"/>
                  </w:pPr>
                  <w:r>
                    <w:rPr>
                      <w:rFonts w:ascii="仿宋_GB2312" w:hAnsi="仿宋_GB2312" w:cs="仿宋_GB2312" w:eastAsia="仿宋_GB2312"/>
                      <w:sz w:val="19"/>
                    </w:rPr>
                    <w:t>技术要求参数描述</w:t>
                  </w:r>
                </w:p>
              </w:tc>
            </w:tr>
            <w:tr>
              <w:tc>
                <w:tcPr>
                  <w:tcW w:type="dxa" w:w="1276"/>
                </w:tcPr>
                <w:p>
                  <w:pPr>
                    <w:pStyle w:val="null3"/>
                  </w:pPr>
                  <w:r>
                    <w:rPr>
                      <w:rFonts w:ascii="仿宋_GB2312" w:hAnsi="仿宋_GB2312" w:cs="仿宋_GB2312" w:eastAsia="仿宋_GB2312"/>
                      <w:sz w:val="19"/>
                    </w:rPr>
                    <w:t>性能要求</w:t>
                  </w:r>
                </w:p>
              </w:tc>
              <w:tc>
                <w:tcPr>
                  <w:tcW w:type="dxa" w:w="1276"/>
                </w:tcPr>
                <w:p>
                  <w:pPr>
                    <w:pStyle w:val="null3"/>
                  </w:pPr>
                  <w:r>
                    <w:rPr>
                      <w:rFonts w:ascii="仿宋_GB2312" w:hAnsi="仿宋_GB2312" w:cs="仿宋_GB2312" w:eastAsia="仿宋_GB2312"/>
                      <w:sz w:val="19"/>
                    </w:rPr>
                    <w:t>1、业务功能访问时保持响应时间≤3秒；</w:t>
                  </w:r>
                </w:p>
                <w:p>
                  <w:pPr>
                    <w:pStyle w:val="null3"/>
                  </w:pPr>
                  <w:r>
                    <w:rPr>
                      <w:rFonts w:ascii="仿宋_GB2312" w:hAnsi="仿宋_GB2312" w:cs="仿宋_GB2312" w:eastAsia="仿宋_GB2312"/>
                      <w:sz w:val="19"/>
                    </w:rPr>
                    <w:t>2、支持数据溯源，并提供溯源查询功能；</w:t>
                  </w:r>
                </w:p>
                <w:p>
                  <w:pPr>
                    <w:pStyle w:val="null3"/>
                  </w:pPr>
                  <w:r>
                    <w:rPr>
                      <w:rFonts w:ascii="仿宋_GB2312" w:hAnsi="仿宋_GB2312" w:cs="仿宋_GB2312" w:eastAsia="仿宋_GB2312"/>
                      <w:sz w:val="19"/>
                    </w:rPr>
                    <w:t>3、系统具有权限管理功能；</w:t>
                  </w:r>
                </w:p>
                <w:p>
                  <w:pPr>
                    <w:pStyle w:val="null3"/>
                  </w:pPr>
                  <w:r>
                    <w:rPr>
                      <w:rFonts w:ascii="仿宋_GB2312" w:hAnsi="仿宋_GB2312" w:cs="仿宋_GB2312" w:eastAsia="仿宋_GB2312"/>
                      <w:sz w:val="19"/>
                    </w:rPr>
                    <w:t>4、系统数据库具有存储、归档、备份功能，可根据用户要求回滚数据。</w:t>
                  </w:r>
                </w:p>
              </w:tc>
            </w:tr>
            <w:tr>
              <w:tc>
                <w:tcPr>
                  <w:tcW w:type="dxa" w:w="1276"/>
                </w:tcPr>
                <w:p>
                  <w:pPr>
                    <w:pStyle w:val="null3"/>
                  </w:pPr>
                  <w:r>
                    <w:rPr>
                      <w:rFonts w:ascii="仿宋_GB2312" w:hAnsi="仿宋_GB2312" w:cs="仿宋_GB2312" w:eastAsia="仿宋_GB2312"/>
                      <w:sz w:val="19"/>
                    </w:rPr>
                    <w:t>安全性要求</w:t>
                  </w:r>
                </w:p>
              </w:tc>
              <w:tc>
                <w:tcPr>
                  <w:tcW w:type="dxa" w:w="1276"/>
                </w:tcPr>
                <w:p>
                  <w:pPr>
                    <w:pStyle w:val="null3"/>
                  </w:pPr>
                  <w:r>
                    <w:rPr>
                      <w:rFonts w:ascii="仿宋_GB2312" w:hAnsi="仿宋_GB2312" w:cs="仿宋_GB2312" w:eastAsia="仿宋_GB2312"/>
                      <w:sz w:val="19"/>
                    </w:rPr>
                    <w:t>1、同时支持内网和外网的访问使用；数据具有安全保护措施、备份和恢复策略；</w:t>
                  </w:r>
                </w:p>
                <w:p>
                  <w:pPr>
                    <w:pStyle w:val="null3"/>
                  </w:pPr>
                  <w:r>
                    <w:rPr>
                      <w:rFonts w:ascii="仿宋_GB2312" w:hAnsi="仿宋_GB2312" w:cs="仿宋_GB2312" w:eastAsia="仿宋_GB2312"/>
                      <w:sz w:val="19"/>
                    </w:rPr>
                    <w:t>2、充分保证数据安全性、完整性。系统需要提供基于用户名、密码的用户身份认证和分别基于角色、功能、组织架构的多维度用户权限管理功能。</w:t>
                  </w:r>
                </w:p>
              </w:tc>
            </w:tr>
            <w:tr>
              <w:tc>
                <w:tcPr>
                  <w:tcW w:type="dxa" w:w="1276"/>
                </w:tcPr>
                <w:p>
                  <w:pPr>
                    <w:pStyle w:val="null3"/>
                  </w:pPr>
                  <w:r>
                    <w:rPr>
                      <w:rFonts w:ascii="仿宋_GB2312" w:hAnsi="仿宋_GB2312" w:cs="仿宋_GB2312" w:eastAsia="仿宋_GB2312"/>
                      <w:sz w:val="19"/>
                    </w:rPr>
                    <w:t>集成与扩展</w:t>
                  </w:r>
                </w:p>
                <w:p>
                  <w:pPr>
                    <w:pStyle w:val="null3"/>
                  </w:pPr>
                  <w:r>
                    <w:rPr>
                      <w:rFonts w:ascii="仿宋_GB2312" w:hAnsi="仿宋_GB2312" w:cs="仿宋_GB2312" w:eastAsia="仿宋_GB2312"/>
                      <w:sz w:val="19"/>
                    </w:rPr>
                    <w:t>要求</w:t>
                  </w:r>
                </w:p>
              </w:tc>
              <w:tc>
                <w:tcPr>
                  <w:tcW w:type="dxa" w:w="1276"/>
                </w:tcPr>
                <w:p>
                  <w:pPr>
                    <w:pStyle w:val="null3"/>
                  </w:pPr>
                  <w:r>
                    <w:rPr>
                      <w:rFonts w:ascii="仿宋_GB2312" w:hAnsi="仿宋_GB2312" w:cs="仿宋_GB2312" w:eastAsia="仿宋_GB2312"/>
                      <w:sz w:val="19"/>
                    </w:rPr>
                    <w:t>1、使用B/S架构进行设计，支持网内的联机事务处理，联机查询和统计分析处理；支持应用与数据库分离部署；</w:t>
                  </w:r>
                </w:p>
                <w:p>
                  <w:pPr>
                    <w:pStyle w:val="null3"/>
                  </w:pPr>
                  <w:r>
                    <w:rPr>
                      <w:rFonts w:ascii="仿宋_GB2312" w:hAnsi="仿宋_GB2312" w:cs="仿宋_GB2312" w:eastAsia="仿宋_GB2312"/>
                      <w:sz w:val="19"/>
                    </w:rPr>
                    <w:t>2、系统按照平台模式可扩展支持临床试验业务相关的业务模块，能够根据用户需求，随时进行单个功能模块的修改、添加和升级；</w:t>
                  </w:r>
                </w:p>
                <w:p>
                  <w:pPr>
                    <w:pStyle w:val="null3"/>
                  </w:pPr>
                  <w:r>
                    <w:rPr>
                      <w:rFonts w:ascii="仿宋_GB2312" w:hAnsi="仿宋_GB2312" w:cs="仿宋_GB2312" w:eastAsia="仿宋_GB2312"/>
                      <w:sz w:val="19"/>
                    </w:rPr>
                    <w:t>3、能配合药物临床试验机构管理要求实现业务流程重组，能应对SOP调整升级的需求，可自定义个性化工作流程，满足对一项工作进行不同人员的多级审核需求，在每个审批步骤完成后可以自动修改相关的业务数据；</w:t>
                  </w:r>
                </w:p>
                <w:p>
                  <w:pPr>
                    <w:pStyle w:val="null3"/>
                  </w:pPr>
                  <w:r>
                    <w:rPr>
                      <w:rFonts w:ascii="仿宋_GB2312" w:hAnsi="仿宋_GB2312" w:cs="仿宋_GB2312" w:eastAsia="仿宋_GB2312"/>
                      <w:sz w:val="19"/>
                    </w:rPr>
                    <w:t>4、整个系统应基于国家药监局、国家卫生健康委下发的《药物临床试验质量管理规范》，确保数据操作自动化、可监控，根据设定条件能自动进行提醒；系统需集成报表功能服务；</w:t>
                  </w:r>
                </w:p>
                <w:p>
                  <w:pPr>
                    <w:pStyle w:val="null3"/>
                  </w:pPr>
                  <w:r>
                    <w:rPr>
                      <w:rFonts w:ascii="仿宋_GB2312" w:hAnsi="仿宋_GB2312" w:cs="仿宋_GB2312" w:eastAsia="仿宋_GB2312"/>
                      <w:sz w:val="19"/>
                    </w:rPr>
                    <w:t>▲5、可根据 SOP 流程自定义组件模板库/流程设计/表单设计/报表设计（提供功能截图）。</w:t>
                  </w:r>
                </w:p>
              </w:tc>
            </w:tr>
            <w:tr>
              <w:tc>
                <w:tcPr>
                  <w:tcW w:type="dxa" w:w="1276"/>
                </w:tcPr>
                <w:p>
                  <w:pPr>
                    <w:pStyle w:val="null3"/>
                  </w:pPr>
                  <w:r>
                    <w:rPr>
                      <w:rFonts w:ascii="仿宋_GB2312" w:hAnsi="仿宋_GB2312" w:cs="仿宋_GB2312" w:eastAsia="仿宋_GB2312"/>
                      <w:sz w:val="19"/>
                    </w:rPr>
                    <w:t>可用性要求</w:t>
                  </w:r>
                </w:p>
              </w:tc>
              <w:tc>
                <w:tcPr>
                  <w:tcW w:type="dxa" w:w="1276"/>
                </w:tcPr>
                <w:p>
                  <w:pPr>
                    <w:pStyle w:val="null3"/>
                  </w:pPr>
                  <w:r>
                    <w:rPr>
                      <w:rFonts w:ascii="仿宋_GB2312" w:hAnsi="仿宋_GB2312" w:cs="仿宋_GB2312" w:eastAsia="仿宋_GB2312"/>
                      <w:sz w:val="19"/>
                    </w:rPr>
                    <w:t>系统采用B/S架构，用户工作站无需安装软件。系统具有兼容性和可靠性，支持在目前市面上常用的主流浏览器（谷歌，EDGE,火狐，IE等）上进行访问和操作。</w:t>
                  </w:r>
                </w:p>
              </w:tc>
            </w:tr>
            <w:tr>
              <w:tc>
                <w:tcPr>
                  <w:tcW w:type="dxa" w:w="1276"/>
                </w:tcPr>
                <w:p>
                  <w:pPr>
                    <w:pStyle w:val="null3"/>
                  </w:pPr>
                  <w:r>
                    <w:rPr>
                      <w:rFonts w:ascii="仿宋_GB2312" w:hAnsi="仿宋_GB2312" w:cs="仿宋_GB2312" w:eastAsia="仿宋_GB2312"/>
                      <w:sz w:val="19"/>
                    </w:rPr>
                    <w:t>兼容性要求</w:t>
                  </w:r>
                </w:p>
              </w:tc>
              <w:tc>
                <w:tcPr>
                  <w:tcW w:type="dxa" w:w="1276"/>
                </w:tcPr>
                <w:p>
                  <w:pPr>
                    <w:pStyle w:val="null3"/>
                  </w:pPr>
                  <w:r>
                    <w:rPr>
                      <w:rFonts w:ascii="仿宋_GB2312" w:hAnsi="仿宋_GB2312" w:cs="仿宋_GB2312" w:eastAsia="仿宋_GB2312"/>
                      <w:sz w:val="19"/>
                    </w:rPr>
                    <w:t>数据库服务器和应用服务器支持Windows系统操作系统和国产操作系统；具有国产化相关证明。</w:t>
                  </w:r>
                </w:p>
              </w:tc>
            </w:tr>
            <w:tr>
              <w:tc>
                <w:tcPr>
                  <w:tcW w:type="dxa" w:w="2552"/>
                  <w:gridSpan w:val="2"/>
                </w:tcPr>
                <w:p>
                  <w:pPr>
                    <w:pStyle w:val="null3"/>
                  </w:pPr>
                  <w:r>
                    <w:rPr>
                      <w:rFonts w:ascii="仿宋_GB2312" w:hAnsi="仿宋_GB2312" w:cs="仿宋_GB2312" w:eastAsia="仿宋_GB2312"/>
                      <w:sz w:val="19"/>
                    </w:rPr>
                    <w:t>2.临床研究信息管理系统</w:t>
                  </w:r>
                </w:p>
              </w:tc>
            </w:tr>
            <w:tr>
              <w:tc>
                <w:tcPr>
                  <w:tcW w:type="dxa" w:w="1276"/>
                </w:tcPr>
                <w:p>
                  <w:pPr>
                    <w:pStyle w:val="null3"/>
                  </w:pPr>
                  <w:r>
                    <w:rPr>
                      <w:rFonts w:ascii="仿宋_GB2312" w:hAnsi="仿宋_GB2312" w:cs="仿宋_GB2312" w:eastAsia="仿宋_GB2312"/>
                      <w:sz w:val="19"/>
                    </w:rPr>
                    <w:t>模块/子系统</w:t>
                  </w:r>
                </w:p>
                <w:p>
                  <w:pPr>
                    <w:pStyle w:val="null3"/>
                  </w:pPr>
                  <w:r>
                    <w:rPr>
                      <w:rFonts w:ascii="仿宋_GB2312" w:hAnsi="仿宋_GB2312" w:cs="仿宋_GB2312" w:eastAsia="仿宋_GB2312"/>
                      <w:sz w:val="19"/>
                    </w:rPr>
                    <w:t>名称</w:t>
                  </w:r>
                </w:p>
              </w:tc>
              <w:tc>
                <w:tcPr>
                  <w:tcW w:type="dxa" w:w="1276"/>
                </w:tcPr>
                <w:p>
                  <w:pPr>
                    <w:pStyle w:val="null3"/>
                  </w:pPr>
                  <w:r>
                    <w:rPr>
                      <w:rFonts w:ascii="仿宋_GB2312" w:hAnsi="仿宋_GB2312" w:cs="仿宋_GB2312" w:eastAsia="仿宋_GB2312"/>
                      <w:sz w:val="19"/>
                    </w:rPr>
                    <w:t>具体功能参数概述</w:t>
                  </w:r>
                </w:p>
              </w:tc>
            </w:tr>
            <w:tr>
              <w:tc>
                <w:tcPr>
                  <w:tcW w:type="dxa" w:w="1276"/>
                </w:tcPr>
                <w:p>
                  <w:pPr>
                    <w:pStyle w:val="null3"/>
                  </w:pPr>
                  <w:r>
                    <w:rPr>
                      <w:rFonts w:ascii="仿宋_GB2312" w:hAnsi="仿宋_GB2312" w:cs="仿宋_GB2312" w:eastAsia="仿宋_GB2312"/>
                      <w:sz w:val="19"/>
                    </w:rPr>
                    <w:t>基础功能</w:t>
                  </w:r>
                </w:p>
              </w:tc>
              <w:tc>
                <w:tcPr>
                  <w:tcW w:type="dxa" w:w="1276"/>
                </w:tcPr>
                <w:p>
                  <w:pPr>
                    <w:pStyle w:val="null3"/>
                  </w:pPr>
                  <w:r>
                    <w:rPr>
                      <w:rFonts w:ascii="仿宋_GB2312" w:hAnsi="仿宋_GB2312" w:cs="仿宋_GB2312" w:eastAsia="仿宋_GB2312"/>
                      <w:sz w:val="19"/>
                    </w:rPr>
                    <w:t>1、临床试验机构权限管理：支持包含但不限于临床试验机构超级管理员、机构办秘书、机构办主任、质控人员、中心药房管理员、文档管理员等人员及权限管理；</w:t>
                  </w:r>
                </w:p>
                <w:p>
                  <w:pPr>
                    <w:pStyle w:val="null3"/>
                  </w:pPr>
                  <w:r>
                    <w:rPr>
                      <w:rFonts w:ascii="仿宋_GB2312" w:hAnsi="仿宋_GB2312" w:cs="仿宋_GB2312" w:eastAsia="仿宋_GB2312"/>
                      <w:sz w:val="19"/>
                    </w:rPr>
                    <w:t>2、项目权限管理：提供项目参加人员及人员权限，包括但不限于PI、研究者、护士、药物管理员、CRC、CRA等用户；</w:t>
                  </w:r>
                </w:p>
                <w:p>
                  <w:pPr>
                    <w:pStyle w:val="null3"/>
                  </w:pPr>
                  <w:r>
                    <w:rPr>
                      <w:rFonts w:ascii="仿宋_GB2312" w:hAnsi="仿宋_GB2312" w:cs="仿宋_GB2312" w:eastAsia="仿宋_GB2312"/>
                      <w:sz w:val="19"/>
                    </w:rPr>
                    <w:t>3、临床试验质控管理：支持申办方监查、内部质控、申办者稽查、监管部门视察管理；</w:t>
                  </w:r>
                </w:p>
                <w:p>
                  <w:pPr>
                    <w:pStyle w:val="null3"/>
                  </w:pPr>
                  <w:r>
                    <w:rPr>
                      <w:rFonts w:ascii="仿宋_GB2312" w:hAnsi="仿宋_GB2312" w:cs="仿宋_GB2312" w:eastAsia="仿宋_GB2312"/>
                      <w:sz w:val="19"/>
                    </w:rPr>
                    <w:t>4、无纸化办公支持：图形化电子签名和CA认证，移动端电子签名维护；项目管理过程中各类文档设置、批件与表格的格式化生成；</w:t>
                  </w:r>
                </w:p>
                <w:p>
                  <w:pPr>
                    <w:pStyle w:val="null3"/>
                  </w:pPr>
                  <w:r>
                    <w:rPr>
                      <w:rFonts w:ascii="仿宋_GB2312" w:hAnsi="仿宋_GB2312" w:cs="仿宋_GB2312" w:eastAsia="仿宋_GB2312"/>
                      <w:sz w:val="19"/>
                    </w:rPr>
                    <w:t>5、消息管理：站内信提醒与短信提醒；</w:t>
                  </w:r>
                </w:p>
                <w:p>
                  <w:pPr>
                    <w:pStyle w:val="null3"/>
                  </w:pPr>
                  <w:r>
                    <w:rPr>
                      <w:rFonts w:ascii="仿宋_GB2312" w:hAnsi="仿宋_GB2312" w:cs="仿宋_GB2312" w:eastAsia="仿宋_GB2312"/>
                      <w:sz w:val="19"/>
                    </w:rPr>
                    <w:t>6、待办事项：各用户登录后的待办看板与快速业务处理入口；</w:t>
                  </w:r>
                </w:p>
                <w:p>
                  <w:pPr>
                    <w:pStyle w:val="null3"/>
                  </w:pPr>
                  <w:r>
                    <w:rPr>
                      <w:rFonts w:ascii="仿宋_GB2312" w:hAnsi="仿宋_GB2312" w:cs="仿宋_GB2312" w:eastAsia="仿宋_GB2312"/>
                      <w:sz w:val="19"/>
                    </w:rPr>
                    <w:t>7、院内办公OA对接：支持院级领导审批接入OA操作；</w:t>
                  </w:r>
                </w:p>
                <w:p>
                  <w:pPr>
                    <w:pStyle w:val="null3"/>
                  </w:pPr>
                  <w:r>
                    <w:rPr>
                      <w:rFonts w:ascii="仿宋_GB2312" w:hAnsi="仿宋_GB2312" w:cs="仿宋_GB2312" w:eastAsia="仿宋_GB2312"/>
                      <w:sz w:val="19"/>
                    </w:rPr>
                    <w:t>8、登录首页显示待办任务外，显示项目类型和科室类型的统计图表等；</w:t>
                  </w:r>
                </w:p>
                <w:p>
                  <w:pPr>
                    <w:pStyle w:val="null3"/>
                  </w:pPr>
                  <w:r>
                    <w:rPr>
                      <w:rFonts w:ascii="仿宋_GB2312" w:hAnsi="仿宋_GB2312" w:cs="仿宋_GB2312" w:eastAsia="仿宋_GB2312"/>
                      <w:sz w:val="19"/>
                    </w:rPr>
                    <w:t>9、★事项预约功能：申办方可以在线对“项目启动”、“监查”、“稽查”、“结题归档”等需要预约的事项进行时间预约，并上传相应文件，由临床试验机构进行审核，审核通过后自动添加到临床试验机构用户工作日历中进行提醒。</w:t>
                  </w:r>
                </w:p>
              </w:tc>
            </w:tr>
            <w:tr>
              <w:tc>
                <w:tcPr>
                  <w:tcW w:type="dxa" w:w="1276"/>
                </w:tcPr>
                <w:p>
                  <w:pPr>
                    <w:pStyle w:val="null3"/>
                  </w:pPr>
                  <w:r>
                    <w:rPr>
                      <w:rFonts w:ascii="仿宋_GB2312" w:hAnsi="仿宋_GB2312" w:cs="仿宋_GB2312" w:eastAsia="仿宋_GB2312"/>
                      <w:sz w:val="19"/>
                    </w:rPr>
                    <w:t>项目流程化</w:t>
                  </w:r>
                </w:p>
                <w:p>
                  <w:pPr>
                    <w:pStyle w:val="null3"/>
                  </w:pPr>
                  <w:r>
                    <w:rPr>
                      <w:rFonts w:ascii="仿宋_GB2312" w:hAnsi="仿宋_GB2312" w:cs="仿宋_GB2312" w:eastAsia="仿宋_GB2312"/>
                      <w:sz w:val="19"/>
                    </w:rPr>
                    <w:t>管理</w:t>
                  </w:r>
                </w:p>
              </w:tc>
              <w:tc>
                <w:tcPr>
                  <w:tcW w:type="dxa" w:w="1276"/>
                </w:tcPr>
                <w:p>
                  <w:pPr>
                    <w:pStyle w:val="null3"/>
                  </w:pPr>
                  <w:r>
                    <w:rPr>
                      <w:rFonts w:ascii="仿宋_GB2312" w:hAnsi="仿宋_GB2312" w:cs="仿宋_GB2312" w:eastAsia="仿宋_GB2312"/>
                      <w:sz w:val="19"/>
                    </w:rPr>
                    <w:t>1、标准化工作流程：</w:t>
                  </w:r>
                </w:p>
                <w:p>
                  <w:pPr>
                    <w:pStyle w:val="null3"/>
                  </w:pPr>
                  <w:r>
                    <w:rPr>
                      <w:rFonts w:ascii="仿宋_GB2312" w:hAnsi="仿宋_GB2312" w:cs="仿宋_GB2312" w:eastAsia="仿宋_GB2312"/>
                      <w:sz w:val="19"/>
                    </w:rPr>
                    <w:t>1.1系统集成工作流引擎开发技术，支持用户临床试验各类管理流程；</w:t>
                  </w:r>
                </w:p>
                <w:p>
                  <w:pPr>
                    <w:pStyle w:val="null3"/>
                  </w:pPr>
                  <w:r>
                    <w:rPr>
                      <w:rFonts w:ascii="仿宋_GB2312" w:hAnsi="仿宋_GB2312" w:cs="仿宋_GB2312" w:eastAsia="仿宋_GB2312"/>
                      <w:sz w:val="19"/>
                    </w:rPr>
                    <w:t>1.2将临床试验的各个阶段定义为里程碑活动节点 ，通过里程碑节点查看机构项目的整体进度情况。</w:t>
                  </w:r>
                </w:p>
                <w:p>
                  <w:pPr>
                    <w:pStyle w:val="null3"/>
                  </w:pPr>
                  <w:r>
                    <w:rPr>
                      <w:rFonts w:ascii="仿宋_GB2312" w:hAnsi="仿宋_GB2312" w:cs="仿宋_GB2312" w:eastAsia="仿宋_GB2312"/>
                      <w:sz w:val="19"/>
                    </w:rPr>
                    <w:t>2、注册类项目立项管理：</w:t>
                  </w:r>
                </w:p>
                <w:p>
                  <w:pPr>
                    <w:pStyle w:val="null3"/>
                  </w:pPr>
                  <w:r>
                    <w:rPr>
                      <w:rFonts w:ascii="仿宋_GB2312" w:hAnsi="仿宋_GB2312" w:cs="仿宋_GB2312" w:eastAsia="仿宋_GB2312"/>
                      <w:sz w:val="19"/>
                    </w:rPr>
                    <w:t>2.1系统支持药物类临床试验、器械类或体外诊断试剂类临床试验的立项管理；</w:t>
                  </w:r>
                </w:p>
                <w:p>
                  <w:pPr>
                    <w:pStyle w:val="null3"/>
                  </w:pPr>
                  <w:r>
                    <w:rPr>
                      <w:rFonts w:ascii="仿宋_GB2312" w:hAnsi="仿宋_GB2312" w:cs="仿宋_GB2312" w:eastAsia="仿宋_GB2312"/>
                      <w:sz w:val="19"/>
                    </w:rPr>
                    <w:t>2.2流程管理和审查机制能按采购人SOP进行配置，至少包括立项申请、伦理审查（支持伦理专家审查）和资料备案过程管理；</w:t>
                  </w:r>
                </w:p>
                <w:p>
                  <w:pPr>
                    <w:pStyle w:val="null3"/>
                  </w:pPr>
                  <w:r>
                    <w:rPr>
                      <w:rFonts w:ascii="仿宋_GB2312" w:hAnsi="仿宋_GB2312" w:cs="仿宋_GB2312" w:eastAsia="仿宋_GB2312"/>
                      <w:sz w:val="19"/>
                    </w:rPr>
                    <w:t>2.3▲支持配置各类申请表单配置,支持根据不同类型临床试验配置不同附件资料上传指引，并可定义某类文件必须的摘要输入项（至少包括方案版本本号等）（提供功能截图）；</w:t>
                  </w:r>
                </w:p>
                <w:p>
                  <w:pPr>
                    <w:pStyle w:val="null3"/>
                  </w:pPr>
                  <w:r>
                    <w:rPr>
                      <w:rFonts w:ascii="仿宋_GB2312" w:hAnsi="仿宋_GB2312" w:cs="仿宋_GB2312" w:eastAsia="仿宋_GB2312"/>
                      <w:sz w:val="19"/>
                    </w:rPr>
                    <w:t>3、流程管理和审查机制：按院方SOP进行配置，包括但不限于立项申请（支持院内院外专家委员会/学术委员会审查）、学术审查、伦理审查（支持伦理专家审查）和资料备案等过程管理；</w:t>
                  </w:r>
                </w:p>
                <w:p>
                  <w:pPr>
                    <w:pStyle w:val="null3"/>
                  </w:pPr>
                  <w:r>
                    <w:rPr>
                      <w:rFonts w:ascii="仿宋_GB2312" w:hAnsi="仿宋_GB2312" w:cs="仿宋_GB2312" w:eastAsia="仿宋_GB2312"/>
                      <w:sz w:val="19"/>
                    </w:rPr>
                    <w:t>4、立项审批：</w:t>
                  </w:r>
                </w:p>
                <w:p>
                  <w:pPr>
                    <w:pStyle w:val="null3"/>
                  </w:pPr>
                  <w:r>
                    <w:rPr>
                      <w:rFonts w:ascii="仿宋_GB2312" w:hAnsi="仿宋_GB2312" w:cs="仿宋_GB2312" w:eastAsia="仿宋_GB2312"/>
                      <w:sz w:val="19"/>
                    </w:rPr>
                    <w:t>4.1立项申请与审核工作流程采用模块化设计；</w:t>
                  </w:r>
                </w:p>
                <w:p>
                  <w:pPr>
                    <w:pStyle w:val="null3"/>
                  </w:pPr>
                  <w:r>
                    <w:rPr>
                      <w:rFonts w:ascii="仿宋_GB2312" w:hAnsi="仿宋_GB2312" w:cs="仿宋_GB2312" w:eastAsia="仿宋_GB2312"/>
                      <w:sz w:val="19"/>
                    </w:rPr>
                    <w:t>4.2可根据项目立项管理SOP进行配置参数，包括基础资料、文件清单、送审要素、审核要素、审阅表、批件；支持立项会议审查、立项评审信息反馈、立项评审表下载、审查意见汇总。</w:t>
                  </w:r>
                </w:p>
                <w:p>
                  <w:pPr>
                    <w:pStyle w:val="null3"/>
                  </w:pPr>
                  <w:r>
                    <w:rPr>
                      <w:rFonts w:ascii="仿宋_GB2312" w:hAnsi="仿宋_GB2312" w:cs="仿宋_GB2312" w:eastAsia="仿宋_GB2312"/>
                      <w:sz w:val="19"/>
                    </w:rPr>
                    <w:t>5、批件管理：</w:t>
                  </w:r>
                </w:p>
                <w:p>
                  <w:pPr>
                    <w:pStyle w:val="null3"/>
                  </w:pPr>
                  <w:r>
                    <w:rPr>
                      <w:rFonts w:ascii="仿宋_GB2312" w:hAnsi="仿宋_GB2312" w:cs="仿宋_GB2312" w:eastAsia="仿宋_GB2312"/>
                      <w:sz w:val="19"/>
                    </w:rPr>
                    <w:t>机构（含专家）审批产生的审阅表和伦理审查产生的批件可进行跟踪和管理。</w:t>
                  </w:r>
                </w:p>
                <w:p>
                  <w:pPr>
                    <w:pStyle w:val="null3"/>
                  </w:pPr>
                  <w:r>
                    <w:rPr>
                      <w:rFonts w:ascii="仿宋_GB2312" w:hAnsi="仿宋_GB2312" w:cs="仿宋_GB2312" w:eastAsia="仿宋_GB2312"/>
                      <w:sz w:val="19"/>
                    </w:rPr>
                    <w:t>6、▲合同/协议管理：</w:t>
                  </w:r>
                </w:p>
                <w:p>
                  <w:pPr>
                    <w:pStyle w:val="null3"/>
                  </w:pPr>
                  <w:r>
                    <w:rPr>
                      <w:rFonts w:ascii="仿宋_GB2312" w:hAnsi="仿宋_GB2312" w:cs="仿宋_GB2312" w:eastAsia="仿宋_GB2312"/>
                      <w:sz w:val="19"/>
                    </w:rPr>
                    <w:t>支持临床试验项目合同/协议在线递交、 修改与审批（项目财务可依照合同/协议进行管理），支持上传合同/协议的扫描件，并对文件的查阅进行记录和权限限制。</w:t>
                  </w:r>
                </w:p>
                <w:p>
                  <w:pPr>
                    <w:pStyle w:val="null3"/>
                  </w:pPr>
                  <w:r>
                    <w:rPr>
                      <w:rFonts w:ascii="仿宋_GB2312" w:hAnsi="仿宋_GB2312" w:cs="仿宋_GB2312" w:eastAsia="仿宋_GB2312"/>
                      <w:sz w:val="19"/>
                    </w:rPr>
                    <w:t>7、项目流程管理：</w:t>
                  </w:r>
                </w:p>
                <w:p>
                  <w:pPr>
                    <w:pStyle w:val="null3"/>
                  </w:pPr>
                  <w:r>
                    <w:rPr>
                      <w:rFonts w:ascii="仿宋_GB2312" w:hAnsi="仿宋_GB2312" w:cs="仿宋_GB2312" w:eastAsia="仿宋_GB2312"/>
                      <w:sz w:val="19"/>
                    </w:rPr>
                    <w:t>按照临床试验机构SOP配置管理文件，对相关流程进行节点控制，例如必须召开启动会才能进行受试者管理、执行访视计划。</w:t>
                  </w:r>
                </w:p>
                <w:p>
                  <w:pPr>
                    <w:pStyle w:val="null3"/>
                  </w:pPr>
                  <w:r>
                    <w:rPr>
                      <w:rFonts w:ascii="仿宋_GB2312" w:hAnsi="仿宋_GB2312" w:cs="仿宋_GB2312" w:eastAsia="仿宋_GB2312"/>
                      <w:sz w:val="19"/>
                    </w:rPr>
                    <w:t>8、项目结题管理：</w:t>
                  </w:r>
                </w:p>
                <w:p>
                  <w:pPr>
                    <w:pStyle w:val="null3"/>
                  </w:pPr>
                  <w:r>
                    <w:rPr>
                      <w:rFonts w:ascii="仿宋_GB2312" w:hAnsi="仿宋_GB2312" w:cs="仿宋_GB2312" w:eastAsia="仿宋_GB2312"/>
                      <w:sz w:val="19"/>
                    </w:rPr>
                    <w:t>按照不同项目类别和采购人SOP要求配置相关结题文件,实现项目结题流程控制，严格按照结题流程且需经相关人员在线审查同意后才完成项目结题工作。</w:t>
                  </w:r>
                </w:p>
              </w:tc>
            </w:tr>
            <w:tr>
              <w:tc>
                <w:tcPr>
                  <w:tcW w:type="dxa" w:w="1276"/>
                </w:tcPr>
                <w:p>
                  <w:pPr>
                    <w:pStyle w:val="null3"/>
                  </w:pPr>
                  <w:r>
                    <w:rPr>
                      <w:rFonts w:ascii="仿宋_GB2312" w:hAnsi="仿宋_GB2312" w:cs="仿宋_GB2312" w:eastAsia="仿宋_GB2312"/>
                      <w:sz w:val="19"/>
                    </w:rPr>
                    <w:t>组织结构管理</w:t>
                  </w:r>
                </w:p>
              </w:tc>
              <w:tc>
                <w:tcPr>
                  <w:tcW w:type="dxa" w:w="1276"/>
                </w:tcPr>
                <w:p>
                  <w:pPr>
                    <w:pStyle w:val="null3"/>
                  </w:pPr>
                  <w:r>
                    <w:rPr>
                      <w:rFonts w:ascii="仿宋_GB2312" w:hAnsi="仿宋_GB2312" w:cs="仿宋_GB2312" w:eastAsia="仿宋_GB2312"/>
                      <w:sz w:val="19"/>
                    </w:rPr>
                    <w:t>1、▲试验机构管理、申办机构管理、设置试验机构部门、专业管理、科室管理等机构管理功能；</w:t>
                  </w:r>
                </w:p>
                <w:p>
                  <w:pPr>
                    <w:pStyle w:val="null3"/>
                  </w:pPr>
                  <w:r>
                    <w:rPr>
                      <w:rFonts w:ascii="仿宋_GB2312" w:hAnsi="仿宋_GB2312" w:cs="仿宋_GB2312" w:eastAsia="仿宋_GB2312"/>
                      <w:sz w:val="19"/>
                    </w:rPr>
                    <w:t>2、系统可实现以人员权限作为维度，进行试验流程和科室的管理，支持账户信息、人员简历、人员密码重设、人员角色配置、人员账户停用、人员电子签名等人员管理功能；</w:t>
                  </w:r>
                </w:p>
                <w:p>
                  <w:pPr>
                    <w:pStyle w:val="null3"/>
                  </w:pPr>
                  <w:r>
                    <w:rPr>
                      <w:rFonts w:ascii="仿宋_GB2312" w:hAnsi="仿宋_GB2312" w:cs="仿宋_GB2312" w:eastAsia="仿宋_GB2312"/>
                      <w:sz w:val="19"/>
                    </w:rPr>
                    <w:t>3、系统支持一个账户可进行多个不同角色的登录和切换；系统可实现CRC及SMO的统一管理。</w:t>
                  </w:r>
                </w:p>
              </w:tc>
            </w:tr>
            <w:tr>
              <w:tc>
                <w:tcPr>
                  <w:tcW w:type="dxa" w:w="1276"/>
                </w:tcPr>
                <w:p>
                  <w:pPr>
                    <w:pStyle w:val="null3"/>
                  </w:pPr>
                  <w:r>
                    <w:rPr>
                      <w:rFonts w:ascii="仿宋_GB2312" w:hAnsi="仿宋_GB2312" w:cs="仿宋_GB2312" w:eastAsia="仿宋_GB2312"/>
                      <w:sz w:val="19"/>
                    </w:rPr>
                    <w:t>立项管理</w:t>
                  </w:r>
                </w:p>
              </w:tc>
              <w:tc>
                <w:tcPr>
                  <w:tcW w:type="dxa" w:w="1276"/>
                </w:tcPr>
                <w:p>
                  <w:pPr>
                    <w:pStyle w:val="null3"/>
                  </w:pPr>
                  <w:r>
                    <w:rPr>
                      <w:rFonts w:ascii="仿宋_GB2312" w:hAnsi="仿宋_GB2312" w:cs="仿宋_GB2312" w:eastAsia="仿宋_GB2312"/>
                      <w:sz w:val="19"/>
                    </w:rPr>
                    <w:t>满足项目全程在线受理及无纸化审核（审批）需求，可自动生成相应的批件；实现随时查看单独或多个项目审批进展的功能；所有审批及操作记录留痕。</w:t>
                  </w:r>
                </w:p>
              </w:tc>
            </w:tr>
            <w:tr>
              <w:tc>
                <w:tcPr>
                  <w:tcW w:type="dxa" w:w="1276"/>
                </w:tcPr>
                <w:p>
                  <w:pPr>
                    <w:pStyle w:val="null3"/>
                  </w:pPr>
                  <w:r>
                    <w:rPr>
                      <w:rFonts w:ascii="仿宋_GB2312" w:hAnsi="仿宋_GB2312" w:cs="仿宋_GB2312" w:eastAsia="仿宋_GB2312"/>
                      <w:sz w:val="19"/>
                    </w:rPr>
                    <w:t>试验方案管理</w:t>
                  </w:r>
                </w:p>
              </w:tc>
              <w:tc>
                <w:tcPr>
                  <w:tcW w:type="dxa" w:w="1276"/>
                </w:tcPr>
                <w:p>
                  <w:pPr>
                    <w:pStyle w:val="null3"/>
                  </w:pPr>
                  <w:r>
                    <w:rPr>
                      <w:rFonts w:ascii="仿宋_GB2312" w:hAnsi="仿宋_GB2312" w:cs="仿宋_GB2312" w:eastAsia="仿宋_GB2312"/>
                      <w:sz w:val="19"/>
                    </w:rPr>
                    <w:t>创建项目试验方案、研究阶段信息、以及各阶段的用药/器械、检查、检验、收费小项目等诊疗项，实现项目试验实施计划明细的增、查、审核等管理，删、改需要提出申请，机构审核同意。诊疗项信息与院内业务系统数据对接。</w:t>
                  </w:r>
                </w:p>
              </w:tc>
            </w:tr>
            <w:tr>
              <w:tc>
                <w:tcPr>
                  <w:tcW w:type="dxa" w:w="1276"/>
                </w:tcPr>
                <w:p>
                  <w:pPr>
                    <w:pStyle w:val="null3"/>
                  </w:pPr>
                  <w:r>
                    <w:rPr>
                      <w:rFonts w:ascii="仿宋_GB2312" w:hAnsi="仿宋_GB2312" w:cs="仿宋_GB2312" w:eastAsia="仿宋_GB2312"/>
                      <w:sz w:val="19"/>
                    </w:rPr>
                    <w:t>启动会管理</w:t>
                  </w:r>
                </w:p>
              </w:tc>
              <w:tc>
                <w:tcPr>
                  <w:tcW w:type="dxa" w:w="1276"/>
                </w:tcPr>
                <w:p>
                  <w:pPr>
                    <w:pStyle w:val="null3"/>
                  </w:pPr>
                  <w:r>
                    <w:rPr>
                      <w:rFonts w:ascii="仿宋_GB2312" w:hAnsi="仿宋_GB2312" w:cs="仿宋_GB2312" w:eastAsia="仿宋_GB2312"/>
                      <w:sz w:val="19"/>
                    </w:rPr>
                    <w:t>▲申办方进行线上预约，对项目参与人员进行查看、审核，主要研究者可随时对项目人员进行授权等操作；支持申办方上传启动会相关文件，比如会议PPT，签到表等。</w:t>
                  </w:r>
                </w:p>
              </w:tc>
            </w:tr>
            <w:tr>
              <w:tc>
                <w:tcPr>
                  <w:tcW w:type="dxa" w:w="1276"/>
                </w:tcPr>
                <w:p>
                  <w:pPr>
                    <w:pStyle w:val="null3"/>
                  </w:pPr>
                  <w:r>
                    <w:rPr>
                      <w:rFonts w:ascii="仿宋_GB2312" w:hAnsi="仿宋_GB2312" w:cs="仿宋_GB2312" w:eastAsia="仿宋_GB2312"/>
                      <w:sz w:val="19"/>
                    </w:rPr>
                    <w:t>项目访视管理</w:t>
                  </w:r>
                </w:p>
              </w:tc>
              <w:tc>
                <w:tcPr>
                  <w:tcW w:type="dxa" w:w="1276"/>
                </w:tcPr>
                <w:p>
                  <w:pPr>
                    <w:pStyle w:val="null3"/>
                  </w:pPr>
                  <w:r>
                    <w:rPr>
                      <w:rFonts w:ascii="仿宋_GB2312" w:hAnsi="仿宋_GB2312" w:cs="仿宋_GB2312" w:eastAsia="仿宋_GB2312"/>
                      <w:sz w:val="19"/>
                    </w:rPr>
                    <w:t>★根据项目方案配置访视计划，设置各方案的研究阶段，配置各阶段的诊疗项目，并实现整体方案的费用预算查看与管理。根据项目进行访视配置，受试者进行筛选随访，根据访视计划进行，保证与项目方案一致，且需要审核。可查看方案执行情况，如有方案偏离，可以及时记录。</w:t>
                  </w:r>
                </w:p>
              </w:tc>
            </w:tr>
            <w:tr>
              <w:tc>
                <w:tcPr>
                  <w:tcW w:type="dxa" w:w="1276"/>
                </w:tcPr>
                <w:p>
                  <w:pPr>
                    <w:pStyle w:val="null3"/>
                  </w:pPr>
                  <w:r>
                    <w:rPr>
                      <w:rFonts w:ascii="仿宋_GB2312" w:hAnsi="仿宋_GB2312" w:cs="仿宋_GB2312" w:eastAsia="仿宋_GB2312"/>
                      <w:sz w:val="19"/>
                    </w:rPr>
                    <w:t>项目变更功能</w:t>
                  </w:r>
                </w:p>
              </w:tc>
              <w:tc>
                <w:tcPr>
                  <w:tcW w:type="dxa" w:w="1276"/>
                </w:tcPr>
                <w:p>
                  <w:pPr>
                    <w:pStyle w:val="null3"/>
                  </w:pPr>
                  <w:r>
                    <w:rPr>
                      <w:rFonts w:ascii="仿宋_GB2312" w:hAnsi="仿宋_GB2312" w:cs="仿宋_GB2312" w:eastAsia="仿宋_GB2312"/>
                      <w:sz w:val="19"/>
                    </w:rPr>
                    <w:t>申办方可以在线进行项目基础数据、CRA、受试者例数等变更操作，机构进行审核确认。</w:t>
                  </w:r>
                </w:p>
              </w:tc>
            </w:tr>
            <w:tr>
              <w:tc>
                <w:tcPr>
                  <w:tcW w:type="dxa" w:w="1276"/>
                </w:tcPr>
                <w:p>
                  <w:pPr>
                    <w:pStyle w:val="null3"/>
                  </w:pPr>
                  <w:r>
                    <w:rPr>
                      <w:rFonts w:ascii="仿宋_GB2312" w:hAnsi="仿宋_GB2312" w:cs="仿宋_GB2312" w:eastAsia="仿宋_GB2312"/>
                      <w:sz w:val="19"/>
                    </w:rPr>
                    <w:t>结题审查</w:t>
                  </w:r>
                </w:p>
              </w:tc>
              <w:tc>
                <w:tcPr>
                  <w:tcW w:type="dxa" w:w="1276"/>
                </w:tcPr>
                <w:p>
                  <w:pPr>
                    <w:pStyle w:val="null3"/>
                  </w:pPr>
                  <w:r>
                    <w:rPr>
                      <w:rFonts w:ascii="仿宋_GB2312" w:hAnsi="仿宋_GB2312" w:cs="仿宋_GB2312" w:eastAsia="仿宋_GB2312"/>
                      <w:sz w:val="19"/>
                    </w:rPr>
                    <w:t>配置结题审查流程，按需提交信息及文件资料；系统支持由CRA进行主动结题申请和机构发起主动结题。</w:t>
                  </w:r>
                </w:p>
              </w:tc>
            </w:tr>
            <w:tr>
              <w:tc>
                <w:tcPr>
                  <w:tcW w:type="dxa" w:w="1276"/>
                </w:tcPr>
                <w:p>
                  <w:pPr>
                    <w:pStyle w:val="null3"/>
                  </w:pPr>
                  <w:r>
                    <w:rPr>
                      <w:rFonts w:ascii="仿宋_GB2312" w:hAnsi="仿宋_GB2312" w:cs="仿宋_GB2312" w:eastAsia="仿宋_GB2312"/>
                      <w:sz w:val="19"/>
                    </w:rPr>
                    <w:t>归档（档案）管理</w:t>
                  </w:r>
                </w:p>
              </w:tc>
              <w:tc>
                <w:tcPr>
                  <w:tcW w:type="dxa" w:w="1276"/>
                </w:tcPr>
                <w:p>
                  <w:pPr>
                    <w:pStyle w:val="null3"/>
                  </w:pPr>
                  <w:r>
                    <w:rPr>
                      <w:rFonts w:ascii="仿宋_GB2312" w:hAnsi="仿宋_GB2312" w:cs="仿宋_GB2312" w:eastAsia="仿宋_GB2312"/>
                      <w:sz w:val="19"/>
                    </w:rPr>
                    <w:t>1、设置项目资料的存放位置，自动查询剩余空位，实现申办方在线进行归档存档操作；资料管理员进行建档管理，审核申办方/授权的研究人员的预约归档，查询档案信息等；</w:t>
                  </w:r>
                </w:p>
                <w:p>
                  <w:pPr>
                    <w:pStyle w:val="null3"/>
                  </w:pPr>
                  <w:r>
                    <w:rPr>
                      <w:rFonts w:ascii="仿宋_GB2312" w:hAnsi="仿宋_GB2312" w:cs="仿宋_GB2312" w:eastAsia="仿宋_GB2312"/>
                      <w:sz w:val="19"/>
                    </w:rPr>
                    <w:t>2、项目层面下所有文件的查看，修订以及借阅等所有文件信息的统一管理。支持按项目、用户权限实现文件档案上传、在线审阅等，且系统中保存数据按照NMPA要求保存及统计。</w:t>
                  </w:r>
                </w:p>
              </w:tc>
            </w:tr>
            <w:tr>
              <w:tc>
                <w:tcPr>
                  <w:tcW w:type="dxa" w:w="1276"/>
                </w:tcPr>
                <w:p>
                  <w:pPr>
                    <w:pStyle w:val="null3"/>
                  </w:pPr>
                  <w:r>
                    <w:rPr>
                      <w:rFonts w:ascii="仿宋_GB2312" w:hAnsi="仿宋_GB2312" w:cs="仿宋_GB2312" w:eastAsia="仿宋_GB2312"/>
                      <w:sz w:val="19"/>
                    </w:rPr>
                    <w:t>合同/协议管理</w:t>
                  </w:r>
                </w:p>
              </w:tc>
              <w:tc>
                <w:tcPr>
                  <w:tcW w:type="dxa" w:w="1276"/>
                </w:tcPr>
                <w:p>
                  <w:pPr>
                    <w:pStyle w:val="null3"/>
                  </w:pPr>
                  <w:r>
                    <w:rPr>
                      <w:rFonts w:ascii="仿宋_GB2312" w:hAnsi="仿宋_GB2312" w:cs="仿宋_GB2312" w:eastAsia="仿宋_GB2312"/>
                      <w:sz w:val="19"/>
                    </w:rPr>
                    <w:t>建立单独的合同/协议管理板块，可对主协议、SMO协议、补充协议等内容进行审批和驳回等操作并可实现统一管理，实现勘误相关操作。</w:t>
                  </w:r>
                </w:p>
              </w:tc>
            </w:tr>
            <w:tr>
              <w:tc>
                <w:tcPr>
                  <w:tcW w:type="dxa" w:w="1276"/>
                </w:tcPr>
                <w:p>
                  <w:pPr>
                    <w:pStyle w:val="null3"/>
                  </w:pPr>
                  <w:r>
                    <w:rPr>
                      <w:rFonts w:ascii="仿宋_GB2312" w:hAnsi="仿宋_GB2312" w:cs="仿宋_GB2312" w:eastAsia="仿宋_GB2312"/>
                      <w:sz w:val="19"/>
                    </w:rPr>
                    <w:t>受试者</w:t>
                  </w:r>
                </w:p>
                <w:p>
                  <w:pPr>
                    <w:pStyle w:val="null3"/>
                  </w:pPr>
                  <w:r>
                    <w:rPr>
                      <w:rFonts w:ascii="仿宋_GB2312" w:hAnsi="仿宋_GB2312" w:cs="仿宋_GB2312" w:eastAsia="仿宋_GB2312"/>
                      <w:sz w:val="19"/>
                    </w:rPr>
                    <w:t>子系统</w:t>
                  </w:r>
                </w:p>
              </w:tc>
              <w:tc>
                <w:tcPr>
                  <w:tcW w:type="dxa" w:w="1276"/>
                </w:tcPr>
                <w:p>
                  <w:pPr>
                    <w:pStyle w:val="null3"/>
                  </w:pPr>
                  <w:r>
                    <w:rPr>
                      <w:rFonts w:ascii="仿宋_GB2312" w:hAnsi="仿宋_GB2312" w:cs="仿宋_GB2312" w:eastAsia="仿宋_GB2312"/>
                      <w:sz w:val="19"/>
                    </w:rPr>
                    <w:t>1、受试者管理：受试者基本信息管理、入组管理、知情管理、访视信息采集、访视数据管理等；</w:t>
                  </w:r>
                </w:p>
                <w:p>
                  <w:pPr>
                    <w:pStyle w:val="null3"/>
                  </w:pPr>
                  <w:r>
                    <w:rPr>
                      <w:rFonts w:ascii="仿宋_GB2312" w:hAnsi="仿宋_GB2312" w:cs="仿宋_GB2312" w:eastAsia="仿宋_GB2312"/>
                      <w:sz w:val="19"/>
                    </w:rPr>
                    <w:t>2、▲受试者访视与医嘱：受试者访视周期及医嘱信息（含现病史、既往病史、过敏史、家族史等）、知情信息、入组信息、筛选信息、访视信息在内的病历信息的查看，并可进行导出和打印操作；</w:t>
                  </w:r>
                </w:p>
                <w:p>
                  <w:pPr>
                    <w:pStyle w:val="null3"/>
                  </w:pPr>
                  <w:r>
                    <w:rPr>
                      <w:rFonts w:ascii="仿宋_GB2312" w:hAnsi="仿宋_GB2312" w:cs="仿宋_GB2312" w:eastAsia="仿宋_GB2312"/>
                      <w:sz w:val="19"/>
                    </w:rPr>
                    <w:t>3、受试者全数据视图：支持实时查看受试者在项目各个随访周期的检查检验情况，开单数据，医嘱，病历，用药等数据；</w:t>
                  </w:r>
                </w:p>
                <w:p>
                  <w:pPr>
                    <w:pStyle w:val="null3"/>
                  </w:pPr>
                  <w:r>
                    <w:rPr>
                      <w:rFonts w:ascii="仿宋_GB2312" w:hAnsi="仿宋_GB2312" w:cs="仿宋_GB2312" w:eastAsia="仿宋_GB2312"/>
                      <w:sz w:val="19"/>
                    </w:rPr>
                    <w:t>4、受试者全数据脱敏管理：数据脱敏设置和脱敏信息显示。</w:t>
                  </w:r>
                </w:p>
              </w:tc>
            </w:tr>
            <w:tr>
              <w:tc>
                <w:tcPr>
                  <w:tcW w:type="dxa" w:w="1276"/>
                </w:tcPr>
                <w:p>
                  <w:pPr>
                    <w:pStyle w:val="null3"/>
                  </w:pPr>
                  <w:r>
                    <w:rPr>
                      <w:rFonts w:ascii="仿宋_GB2312" w:hAnsi="仿宋_GB2312" w:cs="仿宋_GB2312" w:eastAsia="仿宋_GB2312"/>
                      <w:sz w:val="19"/>
                    </w:rPr>
                    <w:t>药品/器械子系统</w:t>
                  </w:r>
                </w:p>
              </w:tc>
              <w:tc>
                <w:tcPr>
                  <w:tcW w:type="dxa" w:w="1276"/>
                </w:tcPr>
                <w:p>
                  <w:pPr>
                    <w:pStyle w:val="null3"/>
                  </w:pPr>
                  <w:r>
                    <w:rPr>
                      <w:rFonts w:ascii="仿宋_GB2312" w:hAnsi="仿宋_GB2312" w:cs="仿宋_GB2312" w:eastAsia="仿宋_GB2312"/>
                      <w:sz w:val="19"/>
                    </w:rPr>
                    <w:t>1、药品/器械库设置：支持GCP中心库、各科室库；</w:t>
                  </w:r>
                </w:p>
                <w:p>
                  <w:pPr>
                    <w:pStyle w:val="null3"/>
                  </w:pPr>
                  <w:r>
                    <w:rPr>
                      <w:rFonts w:ascii="仿宋_GB2312" w:hAnsi="仿宋_GB2312" w:cs="仿宋_GB2312" w:eastAsia="仿宋_GB2312"/>
                      <w:sz w:val="19"/>
                    </w:rPr>
                    <w:t>2、▲药品/器械库管理：药品/器械递送、接受、核验入库、库存管理；</w:t>
                  </w:r>
                </w:p>
                <w:p>
                  <w:pPr>
                    <w:pStyle w:val="null3"/>
                  </w:pPr>
                  <w:r>
                    <w:rPr>
                      <w:rFonts w:ascii="仿宋_GB2312" w:hAnsi="仿宋_GB2312" w:cs="仿宋_GB2312" w:eastAsia="仿宋_GB2312"/>
                      <w:sz w:val="19"/>
                    </w:rPr>
                    <w:t>3、药品/器械建档：根据项目方案对药品/器械建档；并支持建档审核；</w:t>
                  </w:r>
                </w:p>
                <w:p>
                  <w:pPr>
                    <w:pStyle w:val="null3"/>
                  </w:pPr>
                  <w:r>
                    <w:rPr>
                      <w:rFonts w:ascii="仿宋_GB2312" w:hAnsi="仿宋_GB2312" w:cs="仿宋_GB2312" w:eastAsia="仿宋_GB2312"/>
                      <w:sz w:val="19"/>
                    </w:rPr>
                    <w:t>4、药品/器械发放与回收：药品/器械回收功能，药品/器械退回功能，库存查询功能，药品/器械销毁等；</w:t>
                  </w:r>
                </w:p>
                <w:p>
                  <w:pPr>
                    <w:pStyle w:val="null3"/>
                  </w:pPr>
                  <w:r>
                    <w:rPr>
                      <w:rFonts w:ascii="仿宋_GB2312" w:hAnsi="仿宋_GB2312" w:cs="仿宋_GB2312" w:eastAsia="仿宋_GB2312"/>
                      <w:sz w:val="19"/>
                    </w:rPr>
                    <w:t>5、院内合并用药管理：合同用药提醒。</w:t>
                  </w:r>
                </w:p>
              </w:tc>
            </w:tr>
            <w:tr>
              <w:tc>
                <w:tcPr>
                  <w:tcW w:type="dxa" w:w="1276"/>
                </w:tcPr>
                <w:p>
                  <w:pPr>
                    <w:pStyle w:val="null3"/>
                  </w:pPr>
                  <w:r>
                    <w:rPr>
                      <w:rFonts w:ascii="仿宋_GB2312" w:hAnsi="仿宋_GB2312" w:cs="仿宋_GB2312" w:eastAsia="仿宋_GB2312"/>
                      <w:sz w:val="19"/>
                    </w:rPr>
                    <w:t>质控子系统</w:t>
                  </w:r>
                </w:p>
              </w:tc>
              <w:tc>
                <w:tcPr>
                  <w:tcW w:type="dxa" w:w="1276"/>
                </w:tcPr>
                <w:p>
                  <w:pPr>
                    <w:pStyle w:val="null3"/>
                  </w:pPr>
                  <w:r>
                    <w:rPr>
                      <w:rFonts w:ascii="仿宋_GB2312" w:hAnsi="仿宋_GB2312" w:cs="仿宋_GB2312" w:eastAsia="仿宋_GB2312"/>
                      <w:sz w:val="19"/>
                    </w:rPr>
                    <w:t>1、内部质控管理：对质控参数（包括质控流程、抽检例数和比例、质控人员、预计完成时间）按项目需要实现配置；</w:t>
                  </w:r>
                </w:p>
                <w:p>
                  <w:pPr>
                    <w:pStyle w:val="null3"/>
                  </w:pPr>
                  <w:r>
                    <w:rPr>
                      <w:rFonts w:ascii="仿宋_GB2312" w:hAnsi="仿宋_GB2312" w:cs="仿宋_GB2312" w:eastAsia="仿宋_GB2312"/>
                      <w:sz w:val="19"/>
                    </w:rPr>
                    <w:t>2、项目的在线质控：质控人员对于项目启动前、首例、中期、末次的质控管理；</w:t>
                  </w:r>
                </w:p>
                <w:p>
                  <w:pPr>
                    <w:pStyle w:val="null3"/>
                  </w:pPr>
                  <w:r>
                    <w:rPr>
                      <w:rFonts w:ascii="仿宋_GB2312" w:hAnsi="仿宋_GB2312" w:cs="仿宋_GB2312" w:eastAsia="仿宋_GB2312"/>
                      <w:sz w:val="19"/>
                    </w:rPr>
                    <w:t>3、▲质控答疑：质控人员提出问题和质疑；PI等相关负责人进行限期整改，在线答疑等。机构质控员、项目质控员对整改情况进行确认或驳回（规定期限，让PI重新进行补充，质控员再次确认）。</w:t>
                  </w:r>
                </w:p>
                <w:p>
                  <w:pPr>
                    <w:pStyle w:val="null3"/>
                  </w:pPr>
                  <w:r>
                    <w:rPr>
                      <w:rFonts w:ascii="仿宋_GB2312" w:hAnsi="仿宋_GB2312" w:cs="仿宋_GB2312" w:eastAsia="仿宋_GB2312"/>
                      <w:sz w:val="19"/>
                    </w:rPr>
                    <w:t>质控节点提醒功能：到达质控时间点，可提醒PI、机构质控员、项目质控员。</w:t>
                  </w:r>
                </w:p>
              </w:tc>
            </w:tr>
            <w:tr>
              <w:tc>
                <w:tcPr>
                  <w:tcW w:type="dxa" w:w="1276"/>
                </w:tcPr>
                <w:p>
                  <w:pPr>
                    <w:pStyle w:val="null3"/>
                  </w:pPr>
                  <w:r>
                    <w:rPr>
                      <w:rFonts w:ascii="仿宋_GB2312" w:hAnsi="仿宋_GB2312" w:cs="仿宋_GB2312" w:eastAsia="仿宋_GB2312"/>
                      <w:sz w:val="19"/>
                    </w:rPr>
                    <w:t>SAE/SUSAR子系统</w:t>
                  </w:r>
                </w:p>
              </w:tc>
              <w:tc>
                <w:tcPr>
                  <w:tcW w:type="dxa" w:w="1276"/>
                </w:tcPr>
                <w:p>
                  <w:pPr>
                    <w:pStyle w:val="null3"/>
                  </w:pPr>
                  <w:r>
                    <w:rPr>
                      <w:rFonts w:ascii="仿宋_GB2312" w:hAnsi="仿宋_GB2312" w:cs="仿宋_GB2312" w:eastAsia="仿宋_GB2312"/>
                      <w:sz w:val="19"/>
                    </w:rPr>
                    <w:t>1、表单设置：支持自定义表单模版设置；</w:t>
                  </w:r>
                </w:p>
                <w:p>
                  <w:pPr>
                    <w:pStyle w:val="null3"/>
                  </w:pPr>
                  <w:r>
                    <w:rPr>
                      <w:rFonts w:ascii="仿宋_GB2312" w:hAnsi="仿宋_GB2312" w:cs="仿宋_GB2312" w:eastAsia="仿宋_GB2312"/>
                      <w:sz w:val="19"/>
                    </w:rPr>
                    <w:t>2、▲SAE/SUSAR管理：通过机构的电子表单模版对受试者在临床试验阶段的药品、器械项目的不良事件填报、上报、处理、查询等管理操作；</w:t>
                  </w:r>
                </w:p>
                <w:p>
                  <w:pPr>
                    <w:pStyle w:val="null3"/>
                  </w:pPr>
                  <w:r>
                    <w:rPr>
                      <w:rFonts w:ascii="仿宋_GB2312" w:hAnsi="仿宋_GB2312" w:cs="仿宋_GB2312" w:eastAsia="仿宋_GB2312"/>
                      <w:sz w:val="19"/>
                    </w:rPr>
                    <w:t>3、管理流程对时效性、及时性管理：满足AE、SAE相关时间的需求，及时通知项目相关参与方，自动生成相关的SAE伦理申请；并做好机构的相关备案。</w:t>
                  </w:r>
                </w:p>
              </w:tc>
            </w:tr>
            <w:tr>
              <w:tc>
                <w:tcPr>
                  <w:tcW w:type="dxa" w:w="1276"/>
                </w:tcPr>
                <w:p>
                  <w:pPr>
                    <w:pStyle w:val="null3"/>
                  </w:pPr>
                  <w:r>
                    <w:rPr>
                      <w:rFonts w:ascii="仿宋_GB2312" w:hAnsi="仿宋_GB2312" w:cs="仿宋_GB2312" w:eastAsia="仿宋_GB2312"/>
                      <w:sz w:val="19"/>
                    </w:rPr>
                    <w:t>临床试验医生工作站</w:t>
                  </w:r>
                </w:p>
              </w:tc>
              <w:tc>
                <w:tcPr>
                  <w:tcW w:type="dxa" w:w="1276"/>
                </w:tcPr>
                <w:p>
                  <w:pPr>
                    <w:pStyle w:val="null3"/>
                  </w:pPr>
                  <w:r>
                    <w:rPr>
                      <w:rFonts w:ascii="仿宋_GB2312" w:hAnsi="仿宋_GB2312" w:cs="仿宋_GB2312" w:eastAsia="仿宋_GB2312"/>
                      <w:sz w:val="19"/>
                    </w:rPr>
                    <w:t>1、数据校验：自动同步和校验诊疗方案与访视计划信息；</w:t>
                  </w:r>
                </w:p>
                <w:p>
                  <w:pPr>
                    <w:pStyle w:val="null3"/>
                  </w:pPr>
                  <w:r>
                    <w:rPr>
                      <w:rFonts w:ascii="仿宋_GB2312" w:hAnsi="仿宋_GB2312" w:cs="仿宋_GB2312" w:eastAsia="仿宋_GB2312"/>
                      <w:sz w:val="19"/>
                    </w:rPr>
                    <w:t>2、▲医生工作站功能：筛选、入组、筛选失败、出组等试验业务操作功能；</w:t>
                  </w:r>
                </w:p>
                <w:p>
                  <w:pPr>
                    <w:pStyle w:val="null3"/>
                  </w:pPr>
                  <w:r>
                    <w:rPr>
                      <w:rFonts w:ascii="仿宋_GB2312" w:hAnsi="仿宋_GB2312" w:cs="仿宋_GB2312" w:eastAsia="仿宋_GB2312"/>
                      <w:sz w:val="19"/>
                    </w:rPr>
                    <w:t>3、▲受试者就诊管理：门诊挂号并获取试验过程的访视计划，医生工作站可以查看与开具当前病人所属访视阶段的诊疗方案与整个访视的诊疗范围，开具处方与检查，查看受试者检查费/治疗费等费用；</w:t>
                  </w:r>
                </w:p>
                <w:p>
                  <w:pPr>
                    <w:pStyle w:val="null3"/>
                  </w:pPr>
                  <w:r>
                    <w:rPr>
                      <w:rFonts w:ascii="仿宋_GB2312" w:hAnsi="仿宋_GB2312" w:cs="仿宋_GB2312" w:eastAsia="仿宋_GB2312"/>
                      <w:sz w:val="19"/>
                    </w:rPr>
                    <w:t>4、试验与诊疗标记免费记账模式：受试者开具电子入院单时，带入参与临床试验项目的标识；</w:t>
                  </w:r>
                </w:p>
                <w:p>
                  <w:pPr>
                    <w:pStyle w:val="null3"/>
                  </w:pPr>
                  <w:r>
                    <w:rPr>
                      <w:rFonts w:ascii="仿宋_GB2312" w:hAnsi="仿宋_GB2312" w:cs="仿宋_GB2312" w:eastAsia="仿宋_GB2312"/>
                      <w:sz w:val="19"/>
                    </w:rPr>
                    <w:t>5、三方系统（HIS、LIS、PACE）对接：建立GCP患者标示互认机制，建立数据互信机制；药品、器械、检验检查项、耗材、医疗技术目录与价格信息同步，医嘱与病历对接、同步，检验检查数据互通。</w:t>
                  </w:r>
                </w:p>
              </w:tc>
            </w:tr>
            <w:tr>
              <w:tc>
                <w:tcPr>
                  <w:tcW w:type="dxa" w:w="1276"/>
                </w:tcPr>
                <w:p>
                  <w:pPr>
                    <w:pStyle w:val="null3"/>
                  </w:pPr>
                  <w:r>
                    <w:rPr>
                      <w:rFonts w:ascii="仿宋_GB2312" w:hAnsi="仿宋_GB2312" w:cs="仿宋_GB2312" w:eastAsia="仿宋_GB2312"/>
                      <w:sz w:val="19"/>
                    </w:rPr>
                    <w:t>费用管理系统</w:t>
                  </w:r>
                </w:p>
              </w:tc>
              <w:tc>
                <w:tcPr>
                  <w:tcW w:type="dxa" w:w="1276"/>
                </w:tcPr>
                <w:p>
                  <w:pPr>
                    <w:pStyle w:val="null3"/>
                  </w:pPr>
                  <w:r>
                    <w:rPr>
                      <w:rFonts w:ascii="仿宋_GB2312" w:hAnsi="仿宋_GB2312" w:cs="仿宋_GB2312" w:eastAsia="仿宋_GB2312"/>
                      <w:sz w:val="19"/>
                    </w:rPr>
                    <w:t>1、支持多种合同付款类型，支持按照合同约定时间付款提醒的功能；</w:t>
                  </w:r>
                </w:p>
                <w:p>
                  <w:pPr>
                    <w:pStyle w:val="null3"/>
                  </w:pPr>
                  <w:r>
                    <w:rPr>
                      <w:rFonts w:ascii="仿宋_GB2312" w:hAnsi="仿宋_GB2312" w:cs="仿宋_GB2312" w:eastAsia="仿宋_GB2312"/>
                      <w:sz w:val="19"/>
                    </w:rPr>
                    <w:t>2、▲系统可实现按照机构要求自定义诸如收入类型、支出类型、首笔款、中期款（第N次）、尾款等各种费用类型；</w:t>
                  </w:r>
                </w:p>
                <w:p>
                  <w:pPr>
                    <w:pStyle w:val="null3"/>
                  </w:pPr>
                  <w:r>
                    <w:rPr>
                      <w:rFonts w:ascii="仿宋_GB2312" w:hAnsi="仿宋_GB2312" w:cs="仿宋_GB2312" w:eastAsia="仿宋_GB2312"/>
                      <w:sz w:val="19"/>
                    </w:rPr>
                    <w:t>3、系统可实现费用进度结算和结题结算，支持转账和出入账管理及项目费用统计；</w:t>
                  </w:r>
                </w:p>
                <w:p>
                  <w:pPr>
                    <w:pStyle w:val="null3"/>
                  </w:pPr>
                  <w:r>
                    <w:rPr>
                      <w:rFonts w:ascii="仿宋_GB2312" w:hAnsi="仿宋_GB2312" w:cs="仿宋_GB2312" w:eastAsia="仿宋_GB2312"/>
                      <w:sz w:val="19"/>
                    </w:rPr>
                    <w:t>4、受试者费用明细，可查看HIS相关的受试者费用；</w:t>
                  </w:r>
                </w:p>
                <w:p>
                  <w:pPr>
                    <w:pStyle w:val="null3"/>
                  </w:pPr>
                  <w:r>
                    <w:rPr>
                      <w:rFonts w:ascii="仿宋_GB2312" w:hAnsi="仿宋_GB2312" w:cs="仿宋_GB2312" w:eastAsia="仿宋_GB2312"/>
                      <w:sz w:val="19"/>
                    </w:rPr>
                    <w:t>5、▲系统支持机构按照项目周期定期生成财务对账单，并导出电子表格。</w:t>
                  </w:r>
                </w:p>
              </w:tc>
            </w:tr>
            <w:tr>
              <w:tc>
                <w:tcPr>
                  <w:tcW w:type="dxa" w:w="1276"/>
                </w:tcPr>
                <w:p>
                  <w:pPr>
                    <w:pStyle w:val="null3"/>
                  </w:pPr>
                  <w:r>
                    <w:rPr>
                      <w:rFonts w:ascii="仿宋_GB2312" w:hAnsi="仿宋_GB2312" w:cs="仿宋_GB2312" w:eastAsia="仿宋_GB2312"/>
                      <w:sz w:val="19"/>
                    </w:rPr>
                    <w:t>人遗备案</w:t>
                  </w:r>
                </w:p>
              </w:tc>
              <w:tc>
                <w:tcPr>
                  <w:tcW w:type="dxa" w:w="1276"/>
                </w:tcPr>
                <w:p>
                  <w:pPr>
                    <w:pStyle w:val="null3"/>
                  </w:pPr>
                  <w:r>
                    <w:rPr>
                      <w:rFonts w:ascii="仿宋_GB2312" w:hAnsi="仿宋_GB2312" w:cs="仿宋_GB2312" w:eastAsia="仿宋_GB2312"/>
                      <w:sz w:val="19"/>
                    </w:rPr>
                    <w:t>项目进行人员审核，按照机构要求可以根据项目类型提交人遗备案资料。</w:t>
                  </w:r>
                </w:p>
              </w:tc>
            </w:tr>
            <w:tr>
              <w:tc>
                <w:tcPr>
                  <w:tcW w:type="dxa" w:w="1276"/>
                </w:tcPr>
                <w:p>
                  <w:pPr>
                    <w:pStyle w:val="null3"/>
                  </w:pPr>
                  <w:r>
                    <w:rPr>
                      <w:rFonts w:ascii="仿宋_GB2312" w:hAnsi="仿宋_GB2312" w:cs="仿宋_GB2312" w:eastAsia="仿宋_GB2312"/>
                      <w:sz w:val="19"/>
                    </w:rPr>
                    <w:t>统计分析</w:t>
                  </w:r>
                </w:p>
              </w:tc>
              <w:tc>
                <w:tcPr>
                  <w:tcW w:type="dxa" w:w="1276"/>
                </w:tcPr>
                <w:p>
                  <w:pPr>
                    <w:pStyle w:val="null3"/>
                  </w:pPr>
                  <w:r>
                    <w:rPr>
                      <w:rFonts w:ascii="仿宋_GB2312" w:hAnsi="仿宋_GB2312" w:cs="仿宋_GB2312" w:eastAsia="仿宋_GB2312"/>
                      <w:sz w:val="19"/>
                    </w:rPr>
                    <w:t>1、项目报表：从项目不同维度展示统计数据，时间范围，项目类型、项目状态、科室项目类型等；</w:t>
                  </w:r>
                </w:p>
                <w:p>
                  <w:pPr>
                    <w:pStyle w:val="null3"/>
                  </w:pPr>
                  <w:r>
                    <w:rPr>
                      <w:rFonts w:ascii="仿宋_GB2312" w:hAnsi="仿宋_GB2312" w:cs="仿宋_GB2312" w:eastAsia="仿宋_GB2312"/>
                      <w:sz w:val="19"/>
                    </w:rPr>
                    <w:t>2、申办方报表：从企业不同维度展示统计数据；</w:t>
                  </w:r>
                </w:p>
                <w:p>
                  <w:pPr>
                    <w:pStyle w:val="null3"/>
                  </w:pPr>
                  <w:r>
                    <w:rPr>
                      <w:rFonts w:ascii="仿宋_GB2312" w:hAnsi="仿宋_GB2312" w:cs="仿宋_GB2312" w:eastAsia="仿宋_GB2312"/>
                      <w:sz w:val="19"/>
                    </w:rPr>
                    <w:t>3、费用报表：不同维度展示费用统计数据。</w:t>
                  </w:r>
                </w:p>
              </w:tc>
            </w:tr>
            <w:tr>
              <w:tc>
                <w:tcPr>
                  <w:tcW w:type="dxa" w:w="2552"/>
                  <w:gridSpan w:val="2"/>
                </w:tcPr>
                <w:p>
                  <w:pPr>
                    <w:pStyle w:val="null3"/>
                  </w:pPr>
                  <w:r>
                    <w:rPr>
                      <w:rFonts w:ascii="仿宋_GB2312" w:hAnsi="仿宋_GB2312" w:cs="仿宋_GB2312" w:eastAsia="仿宋_GB2312"/>
                      <w:sz w:val="19"/>
                    </w:rPr>
                    <w:t>3.伦理信息管理系统</w:t>
                  </w:r>
                </w:p>
              </w:tc>
            </w:tr>
            <w:tr>
              <w:tc>
                <w:tcPr>
                  <w:tcW w:type="dxa" w:w="1276"/>
                </w:tcPr>
                <w:p>
                  <w:pPr>
                    <w:pStyle w:val="null3"/>
                  </w:pPr>
                  <w:r>
                    <w:rPr>
                      <w:rFonts w:ascii="仿宋_GB2312" w:hAnsi="仿宋_GB2312" w:cs="仿宋_GB2312" w:eastAsia="仿宋_GB2312"/>
                      <w:sz w:val="19"/>
                    </w:rPr>
                    <w:t>模块/子系统</w:t>
                  </w:r>
                </w:p>
                <w:p>
                  <w:pPr>
                    <w:pStyle w:val="null3"/>
                  </w:pPr>
                  <w:r>
                    <w:rPr>
                      <w:rFonts w:ascii="仿宋_GB2312" w:hAnsi="仿宋_GB2312" w:cs="仿宋_GB2312" w:eastAsia="仿宋_GB2312"/>
                      <w:sz w:val="19"/>
                    </w:rPr>
                    <w:t>名称</w:t>
                  </w:r>
                </w:p>
              </w:tc>
              <w:tc>
                <w:tcPr>
                  <w:tcW w:type="dxa" w:w="1276"/>
                </w:tcPr>
                <w:p>
                  <w:pPr>
                    <w:pStyle w:val="null3"/>
                  </w:pPr>
                  <w:r>
                    <w:rPr>
                      <w:rFonts w:ascii="仿宋_GB2312" w:hAnsi="仿宋_GB2312" w:cs="仿宋_GB2312" w:eastAsia="仿宋_GB2312"/>
                      <w:sz w:val="19"/>
                    </w:rPr>
                    <w:t>具体功能参数概述</w:t>
                  </w:r>
                </w:p>
              </w:tc>
            </w:tr>
            <w:tr>
              <w:tc>
                <w:tcPr>
                  <w:tcW w:type="dxa" w:w="1276"/>
                </w:tcPr>
                <w:p>
                  <w:pPr>
                    <w:pStyle w:val="null3"/>
                  </w:pPr>
                  <w:r>
                    <w:rPr>
                      <w:rFonts w:ascii="仿宋_GB2312" w:hAnsi="仿宋_GB2312" w:cs="仿宋_GB2312" w:eastAsia="仿宋_GB2312"/>
                      <w:sz w:val="19"/>
                    </w:rPr>
                    <w:t>角色及权限管理</w:t>
                  </w:r>
                </w:p>
              </w:tc>
              <w:tc>
                <w:tcPr>
                  <w:tcW w:type="dxa" w:w="1276"/>
                </w:tcPr>
                <w:p>
                  <w:pPr>
                    <w:pStyle w:val="null3"/>
                  </w:pPr>
                  <w:r>
                    <w:rPr>
                      <w:rFonts w:ascii="仿宋_GB2312" w:hAnsi="仿宋_GB2312" w:cs="仿宋_GB2312" w:eastAsia="仿宋_GB2312"/>
                      <w:sz w:val="19"/>
                    </w:rPr>
                    <w:t>根据临床试验管理与实施的需要，进行功能操作角色的配置。分管理员、伦理委员、伦理秘书、研究者、申办方、独立顾问等角色，每人分配系统账号，以自己的账号登陆工作，分工明确，相互协作，各尽其职。研究者登陆可查看该科室下所有项目情况，申办方登陆仅可查看该账号下所提交的项目情况。为保障科室项目及各公司项目资料的保密性，防止他人未经授权登陆研究者账号。</w:t>
                  </w:r>
                </w:p>
              </w:tc>
            </w:tr>
            <w:tr>
              <w:tc>
                <w:tcPr>
                  <w:tcW w:type="dxa" w:w="1276"/>
                </w:tcPr>
                <w:p>
                  <w:pPr>
                    <w:pStyle w:val="null3"/>
                  </w:pPr>
                  <w:r>
                    <w:rPr>
                      <w:rFonts w:ascii="仿宋_GB2312" w:hAnsi="仿宋_GB2312" w:cs="仿宋_GB2312" w:eastAsia="仿宋_GB2312"/>
                      <w:sz w:val="19"/>
                    </w:rPr>
                    <w:t>审查项目管理</w:t>
                  </w:r>
                </w:p>
              </w:tc>
              <w:tc>
                <w:tcPr>
                  <w:tcW w:type="dxa" w:w="1276"/>
                </w:tcPr>
                <w:p>
                  <w:pPr>
                    <w:pStyle w:val="null3"/>
                  </w:pPr>
                  <w:r>
                    <w:rPr>
                      <w:rFonts w:ascii="仿宋_GB2312" w:hAnsi="仿宋_GB2312" w:cs="仿宋_GB2312" w:eastAsia="仿宋_GB2312"/>
                      <w:sz w:val="19"/>
                    </w:rPr>
                    <w:t>项目开展后，可安排伦理审查。支持项目跟踪审查提醒（如项目即将进行年审，系统可自动提醒。提醒申办方递交年审资料，提醒秘书、主任安排项目进行年度跟踪审查）</w:t>
                  </w:r>
                </w:p>
              </w:tc>
            </w:tr>
            <w:tr>
              <w:tc>
                <w:tcPr>
                  <w:tcW w:type="dxa" w:w="1276"/>
                </w:tcPr>
                <w:p>
                  <w:pPr>
                    <w:pStyle w:val="null3"/>
                  </w:pPr>
                  <w:r>
                    <w:rPr>
                      <w:rFonts w:ascii="仿宋_GB2312" w:hAnsi="仿宋_GB2312" w:cs="仿宋_GB2312" w:eastAsia="仿宋_GB2312"/>
                      <w:sz w:val="19"/>
                    </w:rPr>
                    <w:t>审查流程管理</w:t>
                  </w:r>
                </w:p>
              </w:tc>
              <w:tc>
                <w:tcPr>
                  <w:tcW w:type="dxa" w:w="1276"/>
                </w:tcPr>
                <w:p>
                  <w:pPr>
                    <w:pStyle w:val="null3"/>
                  </w:pPr>
                  <w:r>
                    <w:rPr>
                      <w:rFonts w:ascii="仿宋_GB2312" w:hAnsi="仿宋_GB2312" w:cs="仿宋_GB2312" w:eastAsia="仿宋_GB2312"/>
                      <w:sz w:val="19"/>
                    </w:rPr>
                    <w:t>1、支持多伦理委员会管理，包括注册类临床试验伦理审查管理、科研项目伦理审查管理；</w:t>
                  </w:r>
                </w:p>
                <w:p>
                  <w:pPr>
                    <w:pStyle w:val="null3"/>
                  </w:pPr>
                  <w:r>
                    <w:rPr>
                      <w:rFonts w:ascii="仿宋_GB2312" w:hAnsi="仿宋_GB2312" w:cs="仿宋_GB2312" w:eastAsia="仿宋_GB2312"/>
                      <w:sz w:val="19"/>
                    </w:rPr>
                    <w:t>2、项目资料递交：</w:t>
                  </w:r>
                </w:p>
                <w:p>
                  <w:pPr>
                    <w:pStyle w:val="null3"/>
                  </w:pPr>
                  <w:r>
                    <w:rPr>
                      <w:rFonts w:ascii="仿宋_GB2312" w:hAnsi="仿宋_GB2312" w:cs="仿宋_GB2312" w:eastAsia="仿宋_GB2312"/>
                      <w:sz w:val="19"/>
                    </w:rPr>
                    <w:t>2.1对项目递交伦理进行节点控制，需药物临床试验机构同意项目立项后才能开展伦理初始审查申请；</w:t>
                  </w:r>
                </w:p>
                <w:p>
                  <w:pPr>
                    <w:pStyle w:val="null3"/>
                  </w:pPr>
                  <w:r>
                    <w:rPr>
                      <w:rFonts w:ascii="仿宋_GB2312" w:hAnsi="仿宋_GB2312" w:cs="仿宋_GB2312" w:eastAsia="仿宋_GB2312"/>
                      <w:sz w:val="19"/>
                    </w:rPr>
                    <w:t>2.2需项目完成伦理初始审查获得批件后才能开展修正案、违背方案理审查申请；</w:t>
                  </w:r>
                </w:p>
                <w:p>
                  <w:pPr>
                    <w:pStyle w:val="null3"/>
                  </w:pPr>
                  <w:r>
                    <w:rPr>
                      <w:rFonts w:ascii="仿宋_GB2312" w:hAnsi="仿宋_GB2312" w:cs="仿宋_GB2312" w:eastAsia="仿宋_GB2312"/>
                      <w:sz w:val="19"/>
                    </w:rPr>
                    <w:t>2.3伦理审查申请需主要研究者审批同意后，才将项目资料递交到伦理委员会；</w:t>
                  </w:r>
                </w:p>
                <w:p>
                  <w:pPr>
                    <w:pStyle w:val="null3"/>
                  </w:pPr>
                  <w:r>
                    <w:rPr>
                      <w:rFonts w:ascii="仿宋_GB2312" w:hAnsi="仿宋_GB2312" w:cs="仿宋_GB2312" w:eastAsia="仿宋_GB2312"/>
                      <w:sz w:val="19"/>
                    </w:rPr>
                    <w:t>3、★审查方式：伦理审查方式需满足免除伦理审查、快速审查、会议审查、紧急会议审查等；</w:t>
                  </w:r>
                </w:p>
                <w:p>
                  <w:pPr>
                    <w:pStyle w:val="null3"/>
                  </w:pPr>
                  <w:r>
                    <w:rPr>
                      <w:rFonts w:ascii="仿宋_GB2312" w:hAnsi="仿宋_GB2312" w:cs="仿宋_GB2312" w:eastAsia="仿宋_GB2312"/>
                      <w:sz w:val="19"/>
                    </w:rPr>
                    <w:t>4、审查受理与处理：</w:t>
                  </w:r>
                </w:p>
                <w:p>
                  <w:pPr>
                    <w:pStyle w:val="null3"/>
                  </w:pPr>
                  <w:r>
                    <w:rPr>
                      <w:rFonts w:ascii="仿宋_GB2312" w:hAnsi="仿宋_GB2312" w:cs="仿宋_GB2312" w:eastAsia="仿宋_GB2312"/>
                      <w:sz w:val="19"/>
                    </w:rPr>
                    <w:t>支持伦理秘书对各类审查申请的在线形式审查、受理、主审委员的指派、独立顾问咨询的发起等伦理审查受理与处理业务，发送受理通知或生成补充/修改材料通知，有常见问题回复选项；</w:t>
                  </w:r>
                </w:p>
                <w:p>
                  <w:pPr>
                    <w:pStyle w:val="null3"/>
                  </w:pPr>
                  <w:r>
                    <w:rPr>
                      <w:rFonts w:ascii="仿宋_GB2312" w:hAnsi="仿宋_GB2312" w:cs="仿宋_GB2312" w:eastAsia="仿宋_GB2312"/>
                      <w:sz w:val="19"/>
                    </w:rPr>
                    <w:t>5、主审审查：</w:t>
                  </w:r>
                </w:p>
                <w:p>
                  <w:pPr>
                    <w:pStyle w:val="null3"/>
                  </w:pPr>
                  <w:r>
                    <w:rPr>
                      <w:rFonts w:ascii="仿宋_GB2312" w:hAnsi="仿宋_GB2312" w:cs="仿宋_GB2312" w:eastAsia="仿宋_GB2312"/>
                      <w:sz w:val="19"/>
                    </w:rPr>
                    <w:t>支持伦理审查的主审审查并实现审查文件的在线审阅与审查工作表的在线填报，电子签名；</w:t>
                  </w:r>
                </w:p>
                <w:p>
                  <w:pPr>
                    <w:pStyle w:val="null3"/>
                  </w:pPr>
                  <w:r>
                    <w:rPr>
                      <w:rFonts w:ascii="仿宋_GB2312" w:hAnsi="仿宋_GB2312" w:cs="仿宋_GB2312" w:eastAsia="仿宋_GB2312"/>
                      <w:sz w:val="19"/>
                    </w:rPr>
                    <w:t>6、独立顾问：</w:t>
                  </w:r>
                </w:p>
                <w:p>
                  <w:pPr>
                    <w:pStyle w:val="null3"/>
                  </w:pPr>
                  <w:r>
                    <w:rPr>
                      <w:rFonts w:ascii="仿宋_GB2312" w:hAnsi="仿宋_GB2312" w:cs="仿宋_GB2312" w:eastAsia="仿宋_GB2312"/>
                      <w:sz w:val="19"/>
                    </w:rPr>
                    <w:t>根据伦理审查的需要，支持添加独立顾问咨询表的咨询事项配置并实现在线咨询填报，电子签名。</w:t>
                  </w:r>
                </w:p>
              </w:tc>
            </w:tr>
            <w:tr>
              <w:tc>
                <w:tcPr>
                  <w:tcW w:type="dxa" w:w="1276"/>
                </w:tcPr>
                <w:p>
                  <w:pPr>
                    <w:pStyle w:val="null3"/>
                  </w:pPr>
                  <w:r>
                    <w:rPr>
                      <w:rFonts w:ascii="仿宋_GB2312" w:hAnsi="仿宋_GB2312" w:cs="仿宋_GB2312" w:eastAsia="仿宋_GB2312"/>
                      <w:sz w:val="19"/>
                    </w:rPr>
                    <w:t>项目审查</w:t>
                  </w:r>
                </w:p>
              </w:tc>
              <w:tc>
                <w:tcPr>
                  <w:tcW w:type="dxa" w:w="1276"/>
                </w:tcPr>
                <w:p>
                  <w:pPr>
                    <w:pStyle w:val="null3"/>
                  </w:pPr>
                  <w:r>
                    <w:rPr>
                      <w:rFonts w:ascii="仿宋_GB2312" w:hAnsi="仿宋_GB2312" w:cs="仿宋_GB2312" w:eastAsia="仿宋_GB2312"/>
                      <w:sz w:val="19"/>
                    </w:rPr>
                    <w:t>1、支持伦理秘书在线安排伦理主审（预审）审查，可选择主审委员或独立顾问在线审查；并可查看主审工作进度；</w:t>
                  </w:r>
                </w:p>
                <w:p>
                  <w:pPr>
                    <w:pStyle w:val="null3"/>
                  </w:pPr>
                  <w:r>
                    <w:rPr>
                      <w:rFonts w:ascii="仿宋_GB2312" w:hAnsi="仿宋_GB2312" w:cs="仿宋_GB2312" w:eastAsia="仿宋_GB2312"/>
                      <w:sz w:val="19"/>
                    </w:rPr>
                    <w:t>2、★伦理审查要点允许根据方案、知情分开设置主审，分开选择工作表，分开来进行审查；</w:t>
                  </w:r>
                </w:p>
                <w:p>
                  <w:pPr>
                    <w:pStyle w:val="null3"/>
                  </w:pPr>
                  <w:r>
                    <w:rPr>
                      <w:rFonts w:ascii="仿宋_GB2312" w:hAnsi="仿宋_GB2312" w:cs="仿宋_GB2312" w:eastAsia="仿宋_GB2312"/>
                      <w:sz w:val="19"/>
                    </w:rPr>
                    <w:t>3、待审查项目，在审查窗口期内为委员提供提前审查材料的窗口，同时，也可以放开修改权限允许被审查项目的递交人在这过程中修改材料；</w:t>
                  </w:r>
                </w:p>
                <w:p>
                  <w:pPr>
                    <w:pStyle w:val="null3"/>
                  </w:pPr>
                  <w:r>
                    <w:rPr>
                      <w:rFonts w:ascii="仿宋_GB2312" w:hAnsi="仿宋_GB2312" w:cs="仿宋_GB2312" w:eastAsia="仿宋_GB2312"/>
                      <w:sz w:val="19"/>
                    </w:rPr>
                    <w:t>4、▲支持委员在线审查资料及投票表决，并自动生成审查意见/批件，并可下载打印；</w:t>
                  </w:r>
                </w:p>
                <w:p>
                  <w:pPr>
                    <w:pStyle w:val="null3"/>
                  </w:pPr>
                  <w:r>
                    <w:rPr>
                      <w:rFonts w:ascii="仿宋_GB2312" w:hAnsi="仿宋_GB2312" w:cs="仿宋_GB2312" w:eastAsia="仿宋_GB2312"/>
                      <w:sz w:val="19"/>
                    </w:rPr>
                    <w:t>5、主审审查时能够看到项目基本信息，项目递交材料，其他主审意见，伦理申请表、主审审查表，主审审查表中项目信息、日期等信息支持自动带入，支持伦理预审查；</w:t>
                  </w:r>
                </w:p>
                <w:p>
                  <w:pPr>
                    <w:pStyle w:val="null3"/>
                  </w:pPr>
                  <w:r>
                    <w:rPr>
                      <w:rFonts w:ascii="仿宋_GB2312" w:hAnsi="仿宋_GB2312" w:cs="仿宋_GB2312" w:eastAsia="仿宋_GB2312"/>
                      <w:sz w:val="19"/>
                    </w:rPr>
                    <w:t>6、秘书可以实现在线催审，发送信息给主审委员，同时能够重新设置主审、打印伦理申请表、伦理批件、审查工作表；秘书下载已经完成的审查表格时，主审表命名格式是：主审姓名+审查表名称；</w:t>
                  </w:r>
                </w:p>
                <w:p>
                  <w:pPr>
                    <w:pStyle w:val="null3"/>
                  </w:pPr>
                  <w:r>
                    <w:rPr>
                      <w:rFonts w:ascii="仿宋_GB2312" w:hAnsi="仿宋_GB2312" w:cs="仿宋_GB2312" w:eastAsia="仿宋_GB2312"/>
                      <w:sz w:val="19"/>
                    </w:rPr>
                    <w:t>7、支持项目伦理跟踪审查，包括修正案 、年度/定期跟踪、SAE（严重不良事件）、研究者不依从/违背方案、暂停/终止研究报告审查、结题报告及相关伦理复审审查类别。</w:t>
                  </w:r>
                </w:p>
              </w:tc>
            </w:tr>
            <w:tr>
              <w:tc>
                <w:tcPr>
                  <w:tcW w:type="dxa" w:w="1276"/>
                </w:tcPr>
                <w:p>
                  <w:pPr>
                    <w:pStyle w:val="null3"/>
                  </w:pPr>
                  <w:r>
                    <w:rPr>
                      <w:rFonts w:ascii="仿宋_GB2312" w:hAnsi="仿宋_GB2312" w:cs="仿宋_GB2312" w:eastAsia="仿宋_GB2312"/>
                      <w:sz w:val="19"/>
                    </w:rPr>
                    <w:t>伦理会议管理</w:t>
                  </w:r>
                </w:p>
              </w:tc>
              <w:tc>
                <w:tcPr>
                  <w:tcW w:type="dxa" w:w="1276"/>
                </w:tcPr>
                <w:p>
                  <w:pPr>
                    <w:pStyle w:val="null3"/>
                  </w:pPr>
                  <w:r>
                    <w:rPr>
                      <w:rFonts w:ascii="仿宋_GB2312" w:hAnsi="仿宋_GB2312" w:cs="仿宋_GB2312" w:eastAsia="仿宋_GB2312"/>
                      <w:sz w:val="19"/>
                    </w:rPr>
                    <w:t>1、支持伦理秘书在线安排伦理会议日程和议程，并通知参会委员，可设置会议时间会议地点；</w:t>
                  </w:r>
                </w:p>
                <w:p>
                  <w:pPr>
                    <w:pStyle w:val="null3"/>
                  </w:pPr>
                  <w:r>
                    <w:rPr>
                      <w:rFonts w:ascii="仿宋_GB2312" w:hAnsi="仿宋_GB2312" w:cs="仿宋_GB2312" w:eastAsia="仿宋_GB2312"/>
                      <w:sz w:val="19"/>
                    </w:rPr>
                    <w:t>2、支持伦理会议管理，可一键获取报告型事务和添加审查型事务；</w:t>
                  </w:r>
                </w:p>
                <w:p>
                  <w:pPr>
                    <w:pStyle w:val="null3"/>
                  </w:pPr>
                  <w:r>
                    <w:rPr>
                      <w:rFonts w:ascii="仿宋_GB2312" w:hAnsi="仿宋_GB2312" w:cs="仿宋_GB2312" w:eastAsia="仿宋_GB2312"/>
                      <w:sz w:val="19"/>
                    </w:rPr>
                    <w:t>3、支持参会委员可直接通过系统下载或在线查看审查材料；</w:t>
                  </w:r>
                </w:p>
                <w:p>
                  <w:pPr>
                    <w:pStyle w:val="null3"/>
                  </w:pPr>
                  <w:r>
                    <w:rPr>
                      <w:rFonts w:ascii="仿宋_GB2312" w:hAnsi="仿宋_GB2312" w:cs="仿宋_GB2312" w:eastAsia="仿宋_GB2312"/>
                      <w:sz w:val="19"/>
                    </w:rPr>
                    <w:t>4、支持伦理委员在线投票填写审查意见和统计功能；</w:t>
                  </w:r>
                </w:p>
                <w:p>
                  <w:pPr>
                    <w:pStyle w:val="null3"/>
                  </w:pPr>
                  <w:r>
                    <w:rPr>
                      <w:rFonts w:ascii="仿宋_GB2312" w:hAnsi="仿宋_GB2312" w:cs="仿宋_GB2312" w:eastAsia="仿宋_GB2312"/>
                      <w:sz w:val="19"/>
                    </w:rPr>
                    <w:t>5、支持伦理审查意见汇总，按模板审查伦理批件或意见函。</w:t>
                  </w:r>
                </w:p>
              </w:tc>
            </w:tr>
            <w:tr>
              <w:tc>
                <w:tcPr>
                  <w:tcW w:type="dxa" w:w="1276"/>
                </w:tcPr>
                <w:p>
                  <w:pPr>
                    <w:pStyle w:val="null3"/>
                  </w:pPr>
                  <w:r>
                    <w:rPr>
                      <w:rFonts w:ascii="仿宋_GB2312" w:hAnsi="仿宋_GB2312" w:cs="仿宋_GB2312" w:eastAsia="仿宋_GB2312"/>
                      <w:sz w:val="19"/>
                    </w:rPr>
                    <w:t>伦理备案管理</w:t>
                  </w:r>
                </w:p>
              </w:tc>
              <w:tc>
                <w:tcPr>
                  <w:tcW w:type="dxa" w:w="1276"/>
                </w:tcPr>
                <w:p>
                  <w:pPr>
                    <w:pStyle w:val="null3"/>
                  </w:pPr>
                  <w:r>
                    <w:rPr>
                      <w:rFonts w:ascii="仿宋_GB2312" w:hAnsi="仿宋_GB2312" w:cs="仿宋_GB2312" w:eastAsia="仿宋_GB2312"/>
                      <w:sz w:val="19"/>
                    </w:rPr>
                    <w:t>提供针对多中心临床试验项目，按照本中心伦理SOP的要求，其他中心的伦理审查结果需在本中心完成备案登记，至少包括SAE、违背方案。</w:t>
                  </w:r>
                </w:p>
              </w:tc>
            </w:tr>
            <w:tr>
              <w:tc>
                <w:tcPr>
                  <w:tcW w:type="dxa" w:w="1276"/>
                </w:tcPr>
                <w:p>
                  <w:pPr>
                    <w:pStyle w:val="null3"/>
                  </w:pPr>
                  <w:r>
                    <w:rPr>
                      <w:rFonts w:ascii="仿宋_GB2312" w:hAnsi="仿宋_GB2312" w:cs="仿宋_GB2312" w:eastAsia="仿宋_GB2312"/>
                      <w:sz w:val="19"/>
                    </w:rPr>
                    <w:t>伦理委员管理</w:t>
                  </w:r>
                </w:p>
              </w:tc>
              <w:tc>
                <w:tcPr>
                  <w:tcW w:type="dxa" w:w="1276"/>
                </w:tcPr>
                <w:p>
                  <w:pPr>
                    <w:pStyle w:val="null3"/>
                  </w:pPr>
                  <w:r>
                    <w:rPr>
                      <w:rFonts w:ascii="仿宋_GB2312" w:hAnsi="仿宋_GB2312" w:cs="仿宋_GB2312" w:eastAsia="仿宋_GB2312"/>
                      <w:sz w:val="19"/>
                    </w:rPr>
                    <w:t>1、提供伦理委员管理功能，委员资料、委任日期更新的提醒功能。（基本信息更新，短信提醒）；</w:t>
                  </w:r>
                </w:p>
                <w:p>
                  <w:pPr>
                    <w:pStyle w:val="null3"/>
                  </w:pPr>
                  <w:r>
                    <w:rPr>
                      <w:rFonts w:ascii="仿宋_GB2312" w:hAnsi="仿宋_GB2312" w:cs="仿宋_GB2312" w:eastAsia="仿宋_GB2312"/>
                      <w:sz w:val="19"/>
                    </w:rPr>
                    <w:t>2、提供可对伦理委员年度审查项目数、 伦理会议出勤统计功能。</w:t>
                  </w:r>
                </w:p>
              </w:tc>
            </w:tr>
            <w:tr>
              <w:tc>
                <w:tcPr>
                  <w:tcW w:type="dxa" w:w="1276"/>
                </w:tcPr>
                <w:p>
                  <w:pPr>
                    <w:pStyle w:val="null3"/>
                  </w:pPr>
                  <w:r>
                    <w:rPr>
                      <w:rFonts w:ascii="仿宋_GB2312" w:hAnsi="仿宋_GB2312" w:cs="仿宋_GB2312" w:eastAsia="仿宋_GB2312"/>
                      <w:sz w:val="19"/>
                    </w:rPr>
                    <w:t>电子签名</w:t>
                  </w:r>
                </w:p>
              </w:tc>
              <w:tc>
                <w:tcPr>
                  <w:tcW w:type="dxa" w:w="1276"/>
                </w:tcPr>
                <w:p>
                  <w:pPr>
                    <w:pStyle w:val="null3"/>
                  </w:pPr>
                  <w:r>
                    <w:rPr>
                      <w:rFonts w:ascii="仿宋_GB2312" w:hAnsi="仿宋_GB2312" w:cs="仿宋_GB2312" w:eastAsia="仿宋_GB2312"/>
                      <w:sz w:val="19"/>
                    </w:rPr>
                    <w:t>主审委员填写审查工作表时直接电子签名，而无需传统的纸质签名</w:t>
                  </w:r>
                </w:p>
              </w:tc>
            </w:tr>
            <w:tr>
              <w:tc>
                <w:tcPr>
                  <w:tcW w:type="dxa" w:w="1276"/>
                </w:tcPr>
                <w:p>
                  <w:pPr>
                    <w:pStyle w:val="null3"/>
                  </w:pPr>
                  <w:r>
                    <w:rPr>
                      <w:rFonts w:ascii="仿宋_GB2312" w:hAnsi="仿宋_GB2312" w:cs="仿宋_GB2312" w:eastAsia="仿宋_GB2312"/>
                      <w:sz w:val="19"/>
                    </w:rPr>
                    <w:t>IIT伦理审查独立部署</w:t>
                  </w:r>
                </w:p>
              </w:tc>
              <w:tc>
                <w:tcPr>
                  <w:tcW w:type="dxa" w:w="1276"/>
                </w:tcPr>
                <w:p>
                  <w:pPr>
                    <w:pStyle w:val="null3"/>
                  </w:pPr>
                  <w:r>
                    <w:rPr>
                      <w:rFonts w:ascii="仿宋_GB2312" w:hAnsi="仿宋_GB2312" w:cs="仿宋_GB2312" w:eastAsia="仿宋_GB2312"/>
                      <w:sz w:val="19"/>
                    </w:rPr>
                    <w:t>IIT项目伦理系统独立部署，系统角色和审查流程独立配置。项目审查单独管理。</w:t>
                  </w:r>
                </w:p>
              </w:tc>
            </w:tr>
            <w:tr>
              <w:tc>
                <w:tcPr>
                  <w:tcW w:type="dxa" w:w="1276"/>
                </w:tcPr>
                <w:p>
                  <w:pPr>
                    <w:pStyle w:val="null3"/>
                  </w:pPr>
                  <w:r>
                    <w:rPr>
                      <w:rFonts w:ascii="仿宋_GB2312" w:hAnsi="仿宋_GB2312" w:cs="仿宋_GB2312" w:eastAsia="仿宋_GB2312"/>
                      <w:sz w:val="19"/>
                    </w:rPr>
                    <w:t>查询统计</w:t>
                  </w:r>
                </w:p>
              </w:tc>
              <w:tc>
                <w:tcPr>
                  <w:tcW w:type="dxa" w:w="1276"/>
                </w:tcPr>
                <w:p>
                  <w:pPr>
                    <w:pStyle w:val="null3"/>
                  </w:pPr>
                  <w:r>
                    <w:rPr>
                      <w:rFonts w:ascii="仿宋_GB2312" w:hAnsi="仿宋_GB2312" w:cs="仿宋_GB2312" w:eastAsia="仿宋_GB2312"/>
                      <w:sz w:val="19"/>
                    </w:rPr>
                    <w:t>1、支持查询项目的全部审查信息，包括伦理初审、复审、修正案和SAE（严重不良事件）审查类别，以及伦理报表的分类查询统计；</w:t>
                  </w:r>
                </w:p>
                <w:p>
                  <w:pPr>
                    <w:pStyle w:val="null3"/>
                  </w:pPr>
                  <w:r>
                    <w:rPr>
                      <w:rFonts w:ascii="仿宋_GB2312" w:hAnsi="仿宋_GB2312" w:cs="仿宋_GB2312" w:eastAsia="仿宋_GB2312"/>
                      <w:sz w:val="19"/>
                    </w:rPr>
                    <w:t>2、根据伦理委员会的需要，可自动生成月度、季度、年度或者任意时间范围、任意内容（包括审查委员处理时效、研究类别、研究科室、主要研究者、审查结果等）的伦理审查工作状况统计报告。项目信息数据分析多种统计分析模型以图+表形式展现，简洁明了。</w:t>
                  </w:r>
                </w:p>
              </w:tc>
            </w:tr>
          </w:tbl>
          <w:p>
            <w:pPr>
              <w:pStyle w:val="null3"/>
            </w:pPr>
            <w:r>
              <w:rPr>
                <w:rFonts w:ascii="仿宋_GB2312" w:hAnsi="仿宋_GB2312" w:cs="仿宋_GB2312" w:eastAsia="仿宋_GB2312"/>
              </w:rPr>
              <w:t>二、商务参数</w:t>
            </w:r>
          </w:p>
          <w:p>
            <w:pPr>
              <w:pStyle w:val="null3"/>
            </w:pPr>
            <w:r>
              <w:rPr>
                <w:rFonts w:ascii="仿宋_GB2312" w:hAnsi="仿宋_GB2312" w:cs="仿宋_GB2312" w:eastAsia="仿宋_GB2312"/>
              </w:rPr>
              <w:t>1.实施范围：本项目所有招标采购内容，需覆盖采购人同一法人下的所有院区中所有涉及的业务科室，并且不限制终端使用数量。</w:t>
            </w:r>
          </w:p>
          <w:p>
            <w:pPr>
              <w:pStyle w:val="null3"/>
            </w:pPr>
            <w:r>
              <w:rPr>
                <w:rFonts w:ascii="仿宋_GB2312" w:hAnsi="仿宋_GB2312" w:cs="仿宋_GB2312" w:eastAsia="仿宋_GB2312"/>
              </w:rPr>
              <w:t>2.实施及运营方案：合同签订后，投标人需现场详细调研，根据调研报告出具包含但不限于施工计划、倒排工期的工作任务分解计划等内容的实施方案以及包含但不限于推广、宣传、关注度、使用量等内容的运营方案。</w:t>
            </w:r>
          </w:p>
          <w:p>
            <w:pPr>
              <w:pStyle w:val="null3"/>
            </w:pPr>
            <w:r>
              <w:rPr>
                <w:rFonts w:ascii="仿宋_GB2312" w:hAnsi="仿宋_GB2312" w:cs="仿宋_GB2312" w:eastAsia="仿宋_GB2312"/>
              </w:rPr>
              <w:t>3.若相关评级对该项目有要求，投标人需配合采购人完成电子病历系统应用水平分级评价、医院信息互联互通标准化成熟度测评、智慧医院评估工作，包括：协助评价/测评/评估标准的解读、数据填报、实证/文审材料准备、现场迎评以及评审后功能整改等技术支持。</w:t>
            </w:r>
          </w:p>
          <w:p>
            <w:pPr>
              <w:pStyle w:val="null3"/>
            </w:pPr>
            <w:r>
              <w:rPr>
                <w:rFonts w:ascii="仿宋_GB2312" w:hAnsi="仿宋_GB2312" w:cs="仿宋_GB2312" w:eastAsia="仿宋_GB2312"/>
              </w:rPr>
              <w:t>4.若对该项目有要求，投标人需提供和协助采购人通过信息安全等级保护测评工作。</w:t>
            </w:r>
          </w:p>
          <w:p>
            <w:pPr>
              <w:pStyle w:val="null3"/>
            </w:pPr>
            <w:r>
              <w:rPr>
                <w:rFonts w:ascii="仿宋_GB2312" w:hAnsi="仿宋_GB2312" w:cs="仿宋_GB2312" w:eastAsia="仿宋_GB2312"/>
              </w:rPr>
              <w:t>5.接口集成：原则上，投标人需与采购人集成平台进行对接，并负责承建软件数据在集成平台数据的补全。所有涉及改造与对接费用需自行进行评估（采购人不额外支付费用）。</w:t>
            </w:r>
          </w:p>
          <w:p>
            <w:pPr>
              <w:pStyle w:val="null3"/>
            </w:pPr>
            <w:r>
              <w:rPr>
                <w:rFonts w:ascii="仿宋_GB2312" w:hAnsi="仿宋_GB2312" w:cs="仿宋_GB2312" w:eastAsia="仿宋_GB2312"/>
              </w:rPr>
              <w:t>6.使用要求：界面友好，操作方便，结果清晰明了。</w:t>
            </w:r>
          </w:p>
          <w:p>
            <w:pPr>
              <w:pStyle w:val="null3"/>
            </w:pPr>
            <w:r>
              <w:rPr>
                <w:rFonts w:ascii="仿宋_GB2312" w:hAnsi="仿宋_GB2312" w:cs="仿宋_GB2312" w:eastAsia="仿宋_GB2312"/>
              </w:rPr>
              <w:t>7.须提供最新版本，包括但不限于数据库层面、应用层面的多种安全技术和安全策略，提供安全权限控制、日志审计、关键数据加密、防攻击等功能，能够被目前的主流防病毒软件和工具所兼容。</w:t>
            </w:r>
          </w:p>
          <w:p>
            <w:pPr>
              <w:pStyle w:val="null3"/>
            </w:pPr>
            <w:r>
              <w:rPr>
                <w:rFonts w:ascii="仿宋_GB2312" w:hAnsi="仿宋_GB2312" w:cs="仿宋_GB2312" w:eastAsia="仿宋_GB2312"/>
              </w:rPr>
              <w:t>8.若国家政策、相关法律法规等有要求，须免费配合采购人实现国产化/信创改造升级，包含但不限于软/硬件、数据库、接口等方面升级。升级后应完全符合该采购项目的国产化/信创化；须按照政策、法规等要求，免费配合采购人以升级，迁移等形式实现相关要求；</w:t>
            </w:r>
          </w:p>
          <w:p>
            <w:pPr>
              <w:pStyle w:val="null3"/>
            </w:pPr>
            <w:r>
              <w:rPr>
                <w:rFonts w:ascii="仿宋_GB2312" w:hAnsi="仿宋_GB2312" w:cs="仿宋_GB2312" w:eastAsia="仿宋_GB2312"/>
              </w:rPr>
              <w:t>9.投标人履约过程中所获悉的国家秘密、工作秘密、商业秘密或者其他应当保密的信息，均有保密义务且不受合同有效期所限，软件及软件产生数据的所有权归采购人所有。</w:t>
            </w:r>
          </w:p>
          <w:p>
            <w:pPr>
              <w:pStyle w:val="null3"/>
            </w:pPr>
            <w:r>
              <w:rPr>
                <w:rFonts w:ascii="仿宋_GB2312" w:hAnsi="仿宋_GB2312" w:cs="仿宋_GB2312" w:eastAsia="仿宋_GB2312"/>
              </w:rPr>
              <w:t>三、项目实施团队要求：</w:t>
            </w:r>
          </w:p>
          <w:p>
            <w:pPr>
              <w:pStyle w:val="null3"/>
            </w:pPr>
            <w:r>
              <w:rPr>
                <w:rFonts w:ascii="仿宋_GB2312" w:hAnsi="仿宋_GB2312" w:cs="仿宋_GB2312" w:eastAsia="仿宋_GB2312"/>
              </w:rPr>
              <w:t>1.须具备同类项目实施经验以确保项目在实施交付过程顺利进行，须提供关键技术人员的社保证明和技术能力有效证明材料等。</w:t>
            </w:r>
          </w:p>
          <w:p>
            <w:pPr>
              <w:pStyle w:val="null3"/>
            </w:pPr>
            <w:r>
              <w:rPr>
                <w:rFonts w:ascii="仿宋_GB2312" w:hAnsi="仿宋_GB2312" w:cs="仿宋_GB2312" w:eastAsia="仿宋_GB2312"/>
              </w:rPr>
              <w:t>2.一经确定的项目组成员在实施过程中如因投标人单方面需更换，须提供书面说明，经采购人同意后方可进行调换，项目实施过程中，投标人按照项目所处阶段按需委派相应数量的专业工程师参与项目实施，采购人保留要求和建议的权利。</w:t>
            </w:r>
          </w:p>
          <w:p>
            <w:pPr>
              <w:pStyle w:val="null3"/>
            </w:pPr>
            <w:r>
              <w:rPr>
                <w:rFonts w:ascii="仿宋_GB2312" w:hAnsi="仿宋_GB2312" w:cs="仿宋_GB2312" w:eastAsia="仿宋_GB2312"/>
              </w:rPr>
              <w:t>四、培训：</w:t>
            </w:r>
          </w:p>
          <w:p>
            <w:pPr>
              <w:pStyle w:val="null3"/>
            </w:pPr>
            <w:r>
              <w:rPr>
                <w:rFonts w:ascii="仿宋_GB2312" w:hAnsi="仿宋_GB2312" w:cs="仿宋_GB2312" w:eastAsia="仿宋_GB2312"/>
              </w:rPr>
              <w:t>1.系统上线后，投标人不但向采购人用户提供系统使用培训，还需提供技术人员培训，以保证采购人工程师能够掌握软件表结构、数据业务流等技术信息。</w:t>
            </w:r>
          </w:p>
          <w:p>
            <w:pPr>
              <w:pStyle w:val="null3"/>
            </w:pPr>
            <w:r>
              <w:rPr>
                <w:rFonts w:ascii="仿宋_GB2312" w:hAnsi="仿宋_GB2312" w:cs="仿宋_GB2312" w:eastAsia="仿宋_GB2312"/>
              </w:rPr>
              <w:t>2.投标人需提供完整的培训方案，能够针对不同的系统使用角色提供不同的培训课程内容和计划。培训的内容、次数和方式由采购人提出。</w:t>
            </w:r>
          </w:p>
          <w:p>
            <w:pPr>
              <w:pStyle w:val="null3"/>
            </w:pPr>
            <w:r>
              <w:rPr>
                <w:rFonts w:ascii="仿宋_GB2312" w:hAnsi="仿宋_GB2312" w:cs="仿宋_GB2312" w:eastAsia="仿宋_GB2312"/>
              </w:rPr>
              <w:t>3.培训内容包括但不限于：</w:t>
            </w:r>
          </w:p>
          <w:p>
            <w:pPr>
              <w:pStyle w:val="null3"/>
            </w:pPr>
            <w:r>
              <w:rPr>
                <w:rFonts w:ascii="仿宋_GB2312" w:hAnsi="仿宋_GB2312" w:cs="仿宋_GB2312" w:eastAsia="仿宋_GB2312"/>
              </w:rPr>
              <w:t>①系统软件的用户使用培训，应用软件操作培训；</w:t>
            </w:r>
          </w:p>
          <w:p>
            <w:pPr>
              <w:pStyle w:val="null3"/>
            </w:pPr>
            <w:r>
              <w:rPr>
                <w:rFonts w:ascii="仿宋_GB2312" w:hAnsi="仿宋_GB2312" w:cs="仿宋_GB2312" w:eastAsia="仿宋_GB2312"/>
              </w:rPr>
              <w:t>②系统管理培训、采购人技术人员维护培训；</w:t>
            </w:r>
          </w:p>
          <w:p>
            <w:pPr>
              <w:pStyle w:val="null3"/>
            </w:pPr>
            <w:r>
              <w:rPr>
                <w:rFonts w:ascii="仿宋_GB2312" w:hAnsi="仿宋_GB2312" w:cs="仿宋_GB2312" w:eastAsia="仿宋_GB2312"/>
              </w:rPr>
              <w:t>③应用软件操作疑难问题解答；</w:t>
            </w:r>
          </w:p>
          <w:p>
            <w:pPr>
              <w:pStyle w:val="null3"/>
            </w:pPr>
            <w:r>
              <w:rPr>
                <w:rFonts w:ascii="仿宋_GB2312" w:hAnsi="仿宋_GB2312" w:cs="仿宋_GB2312" w:eastAsia="仿宋_GB2312"/>
              </w:rPr>
              <w:t>④项目所需的运营方案培训。</w:t>
            </w:r>
          </w:p>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1.投标人须保证采购人在使用该货物或其任何一部分时，不受第三方侵权指控。</w:t>
            </w:r>
          </w:p>
          <w:p>
            <w:pPr>
              <w:pStyle w:val="null3"/>
            </w:pPr>
            <w:r>
              <w:rPr>
                <w:rFonts w:ascii="仿宋_GB2312" w:hAnsi="仿宋_GB2312" w:cs="仿宋_GB2312" w:eastAsia="仿宋_GB2312"/>
              </w:rPr>
              <w:t>2.所投产品须满足但不局限于以下规范要求：</w:t>
            </w:r>
          </w:p>
          <w:p>
            <w:pPr>
              <w:pStyle w:val="null3"/>
            </w:pPr>
            <w:r>
              <w:rPr>
                <w:rFonts w:ascii="仿宋_GB2312" w:hAnsi="仿宋_GB2312" w:cs="仿宋_GB2312" w:eastAsia="仿宋_GB2312"/>
              </w:rPr>
              <w:t>（1）满足及遵循《全国医院信息化建设标准与规范（试行）》（2018年版）相关要求。</w:t>
            </w:r>
          </w:p>
          <w:p>
            <w:pPr>
              <w:pStyle w:val="null3"/>
            </w:pPr>
            <w:r>
              <w:rPr>
                <w:rFonts w:ascii="仿宋_GB2312" w:hAnsi="仿宋_GB2312" w:cs="仿宋_GB2312" w:eastAsia="仿宋_GB2312"/>
              </w:rPr>
              <w:t>（2）满足及遵循《电子病历系统功能应用水平分级评价方法及标准》（最新版）6级标准相关要求。</w:t>
            </w:r>
          </w:p>
          <w:p>
            <w:pPr>
              <w:pStyle w:val="null3"/>
            </w:pPr>
            <w:r>
              <w:rPr>
                <w:rFonts w:ascii="仿宋_GB2312" w:hAnsi="仿宋_GB2312" w:cs="仿宋_GB2312" w:eastAsia="仿宋_GB2312"/>
              </w:rPr>
              <w:t>（3）满足及遵循《国家医疗健康信息医院信息互联互通标准化成熟度测评方案》（2020年版）五级乙等相关要求。</w:t>
            </w:r>
          </w:p>
          <w:p>
            <w:pPr>
              <w:pStyle w:val="null3"/>
            </w:pPr>
            <w:r>
              <w:rPr>
                <w:rFonts w:ascii="仿宋_GB2312" w:hAnsi="仿宋_GB2312" w:cs="仿宋_GB2312" w:eastAsia="仿宋_GB2312"/>
              </w:rPr>
              <w:t>（4）满足及遵循《医院智慧服务分级评估标准体系（试行）》（2019年版）四级相关要求。</w:t>
            </w:r>
          </w:p>
          <w:p>
            <w:pPr>
              <w:pStyle w:val="null3"/>
            </w:pPr>
            <w:r>
              <w:rPr>
                <w:rFonts w:ascii="仿宋_GB2312" w:hAnsi="仿宋_GB2312" w:cs="仿宋_GB2312" w:eastAsia="仿宋_GB2312"/>
              </w:rPr>
              <w:t>（5）满足及遵循《医院智慧管理分级评估标准体系（试行）》四级相关要求。</w:t>
            </w:r>
          </w:p>
          <w:p>
            <w:pPr>
              <w:pStyle w:val="null3"/>
            </w:pPr>
            <w:r>
              <w:rPr>
                <w:rFonts w:ascii="仿宋_GB2312" w:hAnsi="仿宋_GB2312" w:cs="仿宋_GB2312" w:eastAsia="仿宋_GB2312"/>
              </w:rPr>
              <w:t>（6）满足及遵循《国务院办公厅关于推动公立医院高质量发展的意见》。</w:t>
            </w:r>
          </w:p>
          <w:p>
            <w:pPr>
              <w:pStyle w:val="null3"/>
            </w:pPr>
            <w:r>
              <w:rPr>
                <w:rFonts w:ascii="仿宋_GB2312" w:hAnsi="仿宋_GB2312" w:cs="仿宋_GB2312" w:eastAsia="仿宋_GB2312"/>
              </w:rPr>
              <w:t>（7）满足及遵循《国家三级公立医院绩效考核操作手册》（2020版）相关条款。</w:t>
            </w:r>
          </w:p>
          <w:p>
            <w:pPr>
              <w:pStyle w:val="null3"/>
            </w:pPr>
            <w:r>
              <w:rPr>
                <w:rFonts w:ascii="仿宋_GB2312" w:hAnsi="仿宋_GB2312" w:cs="仿宋_GB2312" w:eastAsia="仿宋_GB2312"/>
              </w:rPr>
              <w:t>（8）满足及遵循国家卫健委关于进一步改善医疗服务行动计划相关要求。</w:t>
            </w:r>
          </w:p>
          <w:p>
            <w:pPr>
              <w:pStyle w:val="null3"/>
            </w:pPr>
            <w:r>
              <w:rPr>
                <w:rFonts w:ascii="仿宋_GB2312" w:hAnsi="仿宋_GB2312" w:cs="仿宋_GB2312" w:eastAsia="仿宋_GB2312"/>
              </w:rPr>
              <w:t>（9）满足及遵循《三级医院评审标准实施细则》和《三级妇幼保健院评审标准实施细则》要求。</w:t>
            </w:r>
          </w:p>
          <w:p>
            <w:pPr>
              <w:pStyle w:val="null3"/>
            </w:pPr>
            <w:r>
              <w:rPr>
                <w:rFonts w:ascii="仿宋_GB2312" w:hAnsi="仿宋_GB2312" w:cs="仿宋_GB2312" w:eastAsia="仿宋_GB2312"/>
              </w:rPr>
              <w:t>（10）满足及遵循《关于加快药学服务高质量发展的意见》国卫医发〔2018〕45号相关要求。</w:t>
            </w:r>
          </w:p>
          <w:p>
            <w:pPr>
              <w:pStyle w:val="null3"/>
            </w:pPr>
            <w:r>
              <w:rPr>
                <w:rFonts w:ascii="仿宋_GB2312" w:hAnsi="仿宋_GB2312" w:cs="仿宋_GB2312" w:eastAsia="仿宋_GB2312"/>
              </w:rPr>
              <w:t>3.投标人应确保交付软件的安全性，并提供符合行业标准的安全评估报告，须包含但不限于代码安全审计报告、漏洞扫描报告、渗透测试报告等。若涉及APP须提供APP端数据安全与合规性评估报告、APP业务安全及反欺诈测试报告。</w:t>
            </w:r>
          </w:p>
          <w:p>
            <w:pPr>
              <w:pStyle w:val="null3"/>
            </w:pPr>
            <w:r>
              <w:rPr>
                <w:rFonts w:ascii="仿宋_GB2312" w:hAnsi="仿宋_GB2312" w:cs="仿宋_GB2312" w:eastAsia="仿宋_GB2312"/>
              </w:rPr>
              <w:t>投标人须对采购人提供或自行提供的系统资产（包括物理/云服务器、网络及存储设备）承担全生命周期的安全管理责任，配置符合等保2.0三级安全防护要求和采购人指定的安全基线，确保业务的持续性与安全性。</w:t>
            </w:r>
          </w:p>
          <w:p>
            <w:pPr>
              <w:pStyle w:val="null3"/>
            </w:pPr>
            <w:r>
              <w:rPr>
                <w:rFonts w:ascii="仿宋_GB2312" w:hAnsi="仿宋_GB2312" w:cs="仿宋_GB2312" w:eastAsia="仿宋_GB2312"/>
              </w:rPr>
              <w:t>投标人应积极无条件配合采购人开展（包括但不限于物理/云服务器、网络及存储设备、中间件、数据库、操作系统等）的安全审计、安全加固、渗透测试、应急响应等安全工作，并提供必要的权限支持，且在 48 小时内提交书面整改计划，发生重大安全事件时，投标人应立即响应并协助取证，确保事件快速处置并将影响降到最低。</w:t>
            </w:r>
          </w:p>
          <w:p>
            <w:pPr>
              <w:pStyle w:val="null3"/>
            </w:pPr>
            <w:r>
              <w:rPr>
                <w:rFonts w:ascii="仿宋_GB2312" w:hAnsi="仿宋_GB2312" w:cs="仿宋_GB2312" w:eastAsia="仿宋_GB2312"/>
              </w:rPr>
              <w:t>4.如投标人拒绝配合安全合规工作或因其行为导致安全事件，采购人有权解除合同，一切损失由投标人承担，并追究法律责任。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合同签订后，30个日历日内完成安装、调试、培训、上线工作，投标人自报项目交货期。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完成合同及招标文件规定的全部内容,采购人确认系统上线试运行初步验收合格后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采购人确认系统完全正式上线运行正式验收合格后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1.投标人完成项目建设功能清单中功能模块试运行，由投标人提出试运行验收申请，采购人组织相关人员（必要时组成院外专家组）进行项目验收，出具项目验收报告，开始计算维保期。 2.在项目验收时，投标人须提供但不限于项目实施方案、需求说明书、使用人员签字的培训记录、系统操作说明、系统维护说明、验收申请、数据业务流、接口方案及文档、数据字典及表结构说明、用户手册、数据库用户名及密码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（1）项目验收后，投标人提供不低于3年免费服务，各投标人自报最长免费维保期。维保期满后，若为有偿维护，年维护费用原则上不高于成交金额的8%，各投标人自报最低年维护费用标准。 （2）投标人在系统维保期内产品故障报修的响应时间：≤1小时，若电话中无法解决，24小时内到达现场进行维护。如因不可抗力因素不能在规定时间内到达的，双方另行商定。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采购人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3.5.1、为顺利推进政府采购电子化交易平台应用工作，供应商需要在线提交所有通过电子化交易平台实施的政府采购项目的投标文件，同时，线下提交纸质版响应文件贰份。若线上电子投标文件与纸质投标文件不一致的，以线上电子投标文件为准。线下递交文件时间：详见本项目采购公告提交响应文件截止时间；线下递交文件地点：西安市高新区都市之门C座9层评标三室。 3.5.2、成交供应商无正当理由拒签合同的，或在接到成交通知书规定的时间内，借故拖延、拒签合同者，采购人取消其成交资格，其投标保证金不予退还；给采购人造成的损失超过投标保证金数额的，成交供应商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开标一览表及分项报价表.docx 投标函 中小企业声明函 残疾人福利性单位声明函 法定代表人证明书与法定代表人授权书.docx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参数负偏离一项扣1分，非“▲”参数负偏离一项扣0.5分，扣完为止。投标人应提供相关技术参数佐证材料（包括但不限于产品彩页、测试报告、官网、功能截图等技术支持性文件资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需求分析；②总体建设目标及功能设计方案；③系统部署方案及实施方案；④测试、试运行方案；⑤重点、难点分析并给出相应的解决方案；⑥验收方案。满分12分。每有一项缺项扣2分，每有一项内容中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项目管理控制方案</w:t>
            </w:r>
          </w:p>
        </w:tc>
        <w:tc>
          <w:tcPr>
            <w:tcW w:type="dxa" w:w="2492"/>
          </w:tcPr>
          <w:p>
            <w:pPr>
              <w:pStyle w:val="null3"/>
            </w:pPr>
            <w:r>
              <w:rPr>
                <w:rFonts w:ascii="仿宋_GB2312" w:hAnsi="仿宋_GB2312" w:cs="仿宋_GB2312" w:eastAsia="仿宋_GB2312"/>
              </w:rPr>
              <w:t>投标人提供针对本项目的项目管理控制方案，包括但不限于：①质量保障措施；②进度安排及进度保障措施；③项目管理规范及手段；④风险管控方案；满分8分。每有一项缺项扣2分，每有一项内容中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网点的设定；②拟投入售后服务人员配置情况；③日常维护保养；④项目交付用户后出现故障响应时间及措施。评审标准：方案各部分内容全面详细、阐述条例清晰详尽、符合本项目采购需求得8分；每有一项缺项扣2分，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结合项目实际情况提供针对本项目的团队人员配备方案，内容包括：①人员配备完善、结构科学合理，提供详尽的安排计划及工作分配情况表；②人员配备能力完备，具备相关工作经验；③具有管理组织机构监督机制、自查制度等。满分3分。每有一项缺项扣1分；每有一处有缺陷扣0.5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时间、培训人数、培训方式；②培训内容应包括所提供产品的原理和技术性能、操作维护方法、安装调试、排除故障等各个方面。评审标准：方案各部分内容全面详细、阐述条例清晰详尽、符合本项目采购需求得4分；每有一项缺项扣2分；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提供投标人2022年1月1日至今同类项目业绩（以合同签订日期为准），须提供合同复印件加盖公章，提供不全不计分，每提供一份计1分，此项共计5分。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单价合计报价为评标基准价，其价格分为满分。其他投标人的价格分统一按照下列公式计算：投标报价得分=(评标基准价／投标报价)×30。计算分数时四舍五入取小数点后两位。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