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版本号：RH采字【20260104】号20260113001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智慧教学及先进技术设备更新项目可研报告编制服务采购项目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RH采字【20260104】号</w:t>
      </w:r>
      <w:r>
        <w:br/>
      </w:r>
      <w:r>
        <w:br/>
      </w:r>
      <w:r>
        <w:br/>
      </w:r>
    </w:p>
    <w:p>
      <w:pPr>
        <w:pStyle w:val="null3"/>
        <w:jc w:val="center"/>
        <w:outlineLvl w:val="2"/>
      </w:pPr>
      <w:r>
        <w:rPr>
          <w:rFonts w:ascii="仿宋_GB2312" w:hAnsi="仿宋_GB2312" w:cs="仿宋_GB2312" w:eastAsia="仿宋_GB2312"/>
          <w:sz w:val="28"/>
          <w:b/>
        </w:rPr>
        <w:t>西北大学</w:t>
      </w:r>
    </w:p>
    <w:p>
      <w:pPr>
        <w:pStyle w:val="null3"/>
        <w:jc w:val="center"/>
        <w:outlineLvl w:val="2"/>
      </w:pPr>
      <w:r>
        <w:rPr>
          <w:rFonts w:ascii="仿宋_GB2312" w:hAnsi="仿宋_GB2312" w:cs="仿宋_GB2312" w:eastAsia="仿宋_GB2312"/>
          <w:sz w:val="28"/>
          <w:b/>
        </w:rPr>
        <w:t>瑞恒项目管理有限公司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2026年01月13日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瑞恒项目管理有限公司</w:t>
      </w:r>
      <w:r>
        <w:rPr>
          <w:rFonts w:ascii="仿宋_GB2312" w:hAnsi="仿宋_GB2312" w:cs="仿宋_GB2312" w:eastAsia="仿宋_GB2312"/>
        </w:rPr>
        <w:t>（以下简称“代理机构”）受</w:t>
      </w:r>
      <w:r>
        <w:rPr>
          <w:rFonts w:ascii="仿宋_GB2312" w:hAnsi="仿宋_GB2312" w:cs="仿宋_GB2312" w:eastAsia="仿宋_GB2312"/>
        </w:rPr>
        <w:t>西北大学</w:t>
      </w:r>
      <w:r>
        <w:rPr>
          <w:rFonts w:ascii="仿宋_GB2312" w:hAnsi="仿宋_GB2312" w:cs="仿宋_GB2312" w:eastAsia="仿宋_GB2312"/>
        </w:rPr>
        <w:t>委托，拟对</w:t>
      </w:r>
      <w:r>
        <w:rPr>
          <w:rFonts w:ascii="仿宋_GB2312" w:hAnsi="仿宋_GB2312" w:cs="仿宋_GB2312" w:eastAsia="仿宋_GB2312"/>
        </w:rPr>
        <w:t>智慧教学及先进技术设备更新项目可研报告编制服务采购项目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RH采字【20260104】号</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智慧教学及先进技术设备更新项目可研报告编制服务采购项目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西北大学智慧教学及先进技术设备更新项目可研报告编制服务采购项目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1、具有独立承担民事责任的能力：具有独立承担民事责任能力的法人、其他组织或自然人，提供合法有效的统一社会信用代码营业执照（事业单位提供法人证书，自然人提供身份证）。</w:t>
      </w:r>
    </w:p>
    <w:p>
      <w:pPr>
        <w:pStyle w:val="null3"/>
      </w:pPr>
      <w:r>
        <w:rPr>
          <w:rFonts w:ascii="仿宋_GB2312" w:hAnsi="仿宋_GB2312" w:cs="仿宋_GB2312" w:eastAsia="仿宋_GB2312"/>
        </w:rPr>
        <w:t>2、具有良好的商业信誉和健全的财务会计制度：法人提供经审计的2024年度财务报告（成立时间至响应文件递交截止时间不足一年的可提供成立后任意时段的资产负债表）或响应文件递交截止时间前六个月内银行出具的资信证明；其他组织和自然人提供银行出具的资信证明或财务报表。注：①提供财务报告的，内容至少包括审计报告、附注。根据《财政部关于注册会计师行业统一监管平台上线运行的通知》财办〔2022〕32号文件要求，审计报告须有清晰可扫描查询的二维码，若审计报告未赋码视为无效。②提供资信证明的，必须提供资信证明全部页以及基本户信息（提供开户许可证或提供基本银行账户信息），银行出具的存款证明不能代替资信证明，存款证明无效。</w:t>
      </w:r>
    </w:p>
    <w:p>
      <w:pPr>
        <w:pStyle w:val="null3"/>
      </w:pPr>
      <w:r>
        <w:rPr>
          <w:rFonts w:ascii="仿宋_GB2312" w:hAnsi="仿宋_GB2312" w:cs="仿宋_GB2312" w:eastAsia="仿宋_GB2312"/>
        </w:rPr>
        <w:t>3、有依法缴纳税收的良好记录：法人提供响应文件递交截止时间前一年内至少一个月依法缴纳税收的相关凭据（时间以税款所属日期为准，凭据应有税务机关或代收机关的公章或业务专用章）；其他组织和自然人提供缴纳税收的凭据；依法免税的供应商应提供相关文件证明。</w:t>
      </w:r>
    </w:p>
    <w:p>
      <w:pPr>
        <w:pStyle w:val="null3"/>
      </w:pPr>
      <w:r>
        <w:rPr>
          <w:rFonts w:ascii="仿宋_GB2312" w:hAnsi="仿宋_GB2312" w:cs="仿宋_GB2312" w:eastAsia="仿宋_GB2312"/>
        </w:rPr>
        <w:t>4、有依法缴纳社会保障资金的良好记录：提供响应文件递交截止时间前一年内至少一个月已缴纳的社会保障资金的凭据（社会保障资金缴存单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5、具有履行合同所必需的设备和专业技术能力：提供具有履行合同所必需的设备和专业技术能力的承诺。</w:t>
      </w:r>
    </w:p>
    <w:p>
      <w:pPr>
        <w:pStyle w:val="null3"/>
      </w:pPr>
      <w:r>
        <w:rPr>
          <w:rFonts w:ascii="仿宋_GB2312" w:hAnsi="仿宋_GB2312" w:cs="仿宋_GB2312" w:eastAsia="仿宋_GB2312"/>
        </w:rPr>
        <w:t>6、参加政府采购活动前三年内，在经营活动中没有重大违法记录：提供参加政府采购活动前三年内，在经营活动中没有重大违法记录的书面声明。</w:t>
      </w:r>
    </w:p>
    <w:p>
      <w:pPr>
        <w:pStyle w:val="null3"/>
      </w:pPr>
      <w:r>
        <w:rPr>
          <w:rFonts w:ascii="仿宋_GB2312" w:hAnsi="仿宋_GB2312" w:cs="仿宋_GB2312" w:eastAsia="仿宋_GB2312"/>
        </w:rPr>
        <w:t>7、法定代表人授权书、法定代表人身份证明合格：提供合格的法定代表人授权书（附法定代表人、被授权人身份证复印件）或法定代表人身份证明（法定代表人直接参加的）。</w:t>
      </w:r>
    </w:p>
    <w:p>
      <w:pPr>
        <w:pStyle w:val="null3"/>
      </w:pPr>
      <w:r>
        <w:rPr>
          <w:rFonts w:ascii="仿宋_GB2312" w:hAnsi="仿宋_GB2312" w:cs="仿宋_GB2312" w:eastAsia="仿宋_GB2312"/>
        </w:rPr>
        <w:t>8、信用承诺：提供未被“信用中国”网站（www.creditchina.gov.cn）列入失信被执行人或重大税收违法失信主体名单，未被财政部门在中国政府采购网（www.ccgp.gov.cn）政府采购严重违法失信行为记录名单中禁止参加政府采购活动的承诺。</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西北大学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西安市长安区郭杜教育科技产业区学府大道1号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赵老师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029-88302595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瑞恒项目管理有限公司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陕西省西安市曲江新区雁翔路3269号旺座曲江D座30层3001号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石雨鑫、张丰利、刘菲、王倩倩</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15091632950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采购包1保证金金额：5,000.00元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开户名称：瑞恒项目管理有限公司</w:t>
            </w:r>
          </w:p>
          <w:p>
            <w:pPr>
              <w:pStyle w:val="null3"/>
            </w:pPr>
            <w:r>
              <w:rPr>
                <w:rFonts w:ascii="仿宋_GB2312" w:hAnsi="仿宋_GB2312" w:cs="仿宋_GB2312" w:eastAsia="仿宋_GB2312"/>
              </w:rPr>
              <w:t>开户银行：工行西安城南科技支行</w:t>
            </w:r>
          </w:p>
          <w:p>
            <w:pPr>
              <w:pStyle w:val="null3"/>
            </w:pPr>
            <w:r>
              <w:rPr>
                <w:rFonts w:ascii="仿宋_GB2312" w:hAnsi="仿宋_GB2312" w:cs="仿宋_GB2312" w:eastAsia="仿宋_GB2312"/>
              </w:rPr>
              <w:t>银行账号：3700024819200044620</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说明：成交供应商在与采购人签订合同前，须缴纳履约保证金；履约保证金金额为成交金额的5%。 缴纳方式：银行转账、支票/汇票/本票、保函/保险； 说明：成交供应商于合同签订前缴纳，缴纳金额为合同金额的5%。 缴纳方式：银行转账、支票/汇票/本票、保函/保险；履约保证金汇款账户： 户 名：西北大学 开户银行：交通银行太白路支行 账 号：611301015018001145006 履约保证金缴纳后，可持银行回执到西北大学换取收据。退还方式：待验收合格后凭收据和验收单复印件无息退还。 如遇下列情况之一者，合同履约保证金不予退还，作为对采购人的赔偿： （1）合同签订后不能按合同时限要求提供服务的； （2）所提供的服务与合同不符或验收不合格的； （3）不能按合同履约的。</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采购代理服务收费管理暂行办法的通知》（计价格[2002]1980号）及《国家发展改革委办公厅关于招标代理服务收费有关问题的通知》（发改办价格[2003]857号）规定的收费标准下浮20%收取。户名：瑞恒项目管理有限公司 开户行：工行西安城南科技支行 账号：3700024819200044620。</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西北大学</w:t>
      </w:r>
      <w:r>
        <w:rPr>
          <w:rFonts w:ascii="仿宋_GB2312" w:hAnsi="仿宋_GB2312" w:cs="仿宋_GB2312" w:eastAsia="仿宋_GB2312"/>
        </w:rPr>
        <w:t>和</w:t>
      </w:r>
      <w:r>
        <w:rPr>
          <w:rFonts w:ascii="仿宋_GB2312" w:hAnsi="仿宋_GB2312" w:cs="仿宋_GB2312" w:eastAsia="仿宋_GB2312"/>
        </w:rPr>
        <w:t>瑞恒项目管理有限公司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西北大学</w:t>
      </w:r>
      <w:r>
        <w:rPr>
          <w:rFonts w:ascii="仿宋_GB2312" w:hAnsi="仿宋_GB2312" w:cs="仿宋_GB2312" w:eastAsia="仿宋_GB2312"/>
        </w:rPr>
        <w:t>负责解释。除上述磋商文件内容，其他内容由</w:t>
      </w:r>
      <w:r>
        <w:rPr>
          <w:rFonts w:ascii="仿宋_GB2312" w:hAnsi="仿宋_GB2312" w:cs="仿宋_GB2312" w:eastAsia="仿宋_GB2312"/>
        </w:rPr>
        <w:t>瑞恒项目管理有限公司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西北大学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瑞恒项目管理有限公司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按采购文件、响应文件及合同约定执行。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瑞恒项目管理有限公司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瑞恒项目管理有限公司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瑞恒项目管理有限公司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联系人：石雨鑫、张丰利、刘菲、王倩倩</w:t>
      </w:r>
    </w:p>
    <w:p>
      <w:pPr>
        <w:pStyle w:val="null3"/>
      </w:pPr>
      <w:r>
        <w:rPr>
          <w:rFonts w:ascii="仿宋_GB2312" w:hAnsi="仿宋_GB2312" w:cs="仿宋_GB2312" w:eastAsia="仿宋_GB2312"/>
        </w:rPr>
        <w:t>联系电话：15091632950</w:t>
      </w:r>
    </w:p>
    <w:p>
      <w:pPr>
        <w:pStyle w:val="null3"/>
      </w:pPr>
      <w:r>
        <w:rPr>
          <w:rFonts w:ascii="仿宋_GB2312" w:hAnsi="仿宋_GB2312" w:cs="仿宋_GB2312" w:eastAsia="仿宋_GB2312"/>
        </w:rPr>
        <w:t>地址：陕西省西安市曲江新区雁翔路3269号旺座曲江D座30层3001号</w:t>
      </w:r>
    </w:p>
    <w:p>
      <w:pPr>
        <w:pStyle w:val="null3"/>
      </w:pPr>
      <w:r>
        <w:rPr>
          <w:rFonts w:ascii="仿宋_GB2312" w:hAnsi="仿宋_GB2312" w:cs="仿宋_GB2312" w:eastAsia="仿宋_GB2312"/>
        </w:rPr>
        <w:t>邮编：710061</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西北大学智慧教学及先进技术设备更新项目可研报告编制服务采购项目</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300,000.00</w:t>
      </w:r>
    </w:p>
    <w:p>
      <w:pPr>
        <w:pStyle w:val="null3"/>
      </w:pPr>
      <w:r>
        <w:rPr>
          <w:rFonts w:ascii="仿宋_GB2312" w:hAnsi="仿宋_GB2312" w:cs="仿宋_GB2312" w:eastAsia="仿宋_GB2312"/>
        </w:rPr>
        <w:t>采购包最高限价（元）: 300,000.00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智慧教学及先进技术设备更新项目可研报告编制服务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标的名称：智慧教学及先进技术设备更新项目可研报告编制服务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0"/>
                <w:b/>
              </w:rPr>
              <w:t>一、项目概况：</w:t>
            </w:r>
          </w:p>
          <w:p>
            <w:pPr>
              <w:pStyle w:val="null3"/>
              <w:jc w:val="left"/>
            </w:pPr>
            <w:r>
              <w:rPr>
                <w:rFonts w:ascii="仿宋_GB2312" w:hAnsi="仿宋_GB2312" w:cs="仿宋_GB2312" w:eastAsia="仿宋_GB2312"/>
                <w:sz w:val="20"/>
              </w:rPr>
              <w:t>西北大学智慧教学及先进技术设备更新项目可行性研究报告编制服务采购项目</w:t>
            </w:r>
          </w:p>
          <w:p>
            <w:pPr>
              <w:pStyle w:val="null3"/>
              <w:jc w:val="left"/>
            </w:pPr>
            <w:r>
              <w:rPr>
                <w:rFonts w:ascii="仿宋_GB2312" w:hAnsi="仿宋_GB2312" w:cs="仿宋_GB2312" w:eastAsia="仿宋_GB2312"/>
                <w:sz w:val="20"/>
              </w:rPr>
              <w:t>项目拟涉及新传、文学、公管、经管、外语、艺术、法学、哲学、国际教育等重点院（系），及学校网络中心、图书馆、档案馆、国资处等实验教学公共基础资源领域，围绕教育领域重大设备更新、支持智慧教学等先进教学科研仪器设备更新，更新采购一批先进设备，提升相关平台的硬件设施水平。</w:t>
            </w:r>
            <w:r>
              <w:rPr>
                <w:rFonts w:ascii="仿宋_GB2312" w:hAnsi="仿宋_GB2312" w:cs="仿宋_GB2312" w:eastAsia="仿宋_GB2312"/>
                <w:sz w:val="20"/>
              </w:rPr>
              <w:t xml:space="preserve">  </w:t>
            </w:r>
          </w:p>
          <w:p>
            <w:pPr>
              <w:pStyle w:val="null3"/>
              <w:jc w:val="both"/>
            </w:pPr>
            <w:r>
              <w:rPr>
                <w:rFonts w:ascii="仿宋_GB2312" w:hAnsi="仿宋_GB2312" w:cs="仿宋_GB2312" w:eastAsia="仿宋_GB2312"/>
                <w:sz w:val="20"/>
              </w:rPr>
              <w:t>通过该项目的设立拟实现对西北大学智慧教学及先进技术设备更新项目的可行性论证，为后续平台建设审批、经费支持、项目申请等工作提供依据。</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sz w:val="20"/>
                <w:b/>
              </w:rPr>
              <w:t>二、</w:t>
            </w:r>
            <w:r>
              <w:rPr>
                <w:rFonts w:ascii="仿宋_GB2312" w:hAnsi="仿宋_GB2312" w:cs="仿宋_GB2312" w:eastAsia="仿宋_GB2312"/>
                <w:sz w:val="20"/>
                <w:b/>
              </w:rPr>
              <w:t>服务内容及要求</w:t>
            </w:r>
          </w:p>
          <w:p>
            <w:pPr>
              <w:pStyle w:val="null3"/>
              <w:jc w:val="left"/>
            </w:pPr>
            <w:r>
              <w:rPr>
                <w:rFonts w:ascii="仿宋_GB2312" w:hAnsi="仿宋_GB2312" w:cs="仿宋_GB2312" w:eastAsia="仿宋_GB2312"/>
                <w:sz w:val="20"/>
              </w:rPr>
              <w:t>完成西北大学智慧教学及先进技术设备更新项目</w:t>
            </w:r>
            <w:r>
              <w:rPr>
                <w:rFonts w:ascii="仿宋_GB2312" w:hAnsi="仿宋_GB2312" w:cs="仿宋_GB2312" w:eastAsia="仿宋_GB2312"/>
                <w:sz w:val="20"/>
              </w:rPr>
              <w:t>可行性研究报告编制</w:t>
            </w:r>
            <w:r>
              <w:rPr>
                <w:rFonts w:ascii="仿宋_GB2312" w:hAnsi="仿宋_GB2312" w:cs="仿宋_GB2312" w:eastAsia="仿宋_GB2312"/>
                <w:sz w:val="20"/>
              </w:rPr>
              <w:t>并配合采购人按照国家相关规定完成建设项目，具体服务内容以批复的初步设计工作量为计算依据，如初步设计发生变更，服务内容无偿做相应变更。</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一</w:t>
            </w:r>
            <w:r>
              <w:rPr>
                <w:rFonts w:ascii="仿宋_GB2312" w:hAnsi="仿宋_GB2312" w:cs="仿宋_GB2312" w:eastAsia="仿宋_GB2312"/>
                <w:sz w:val="20"/>
              </w:rPr>
              <w:t>）</w:t>
            </w:r>
            <w:r>
              <w:rPr>
                <w:rFonts w:ascii="仿宋_GB2312" w:hAnsi="仿宋_GB2312" w:cs="仿宋_GB2312" w:eastAsia="仿宋_GB2312"/>
                <w:sz w:val="20"/>
              </w:rPr>
              <w:t>具体完成以下工作内容</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按照国家和陕西省有关政策法规、规范、标准，编制该项目可行性研究报告。报告包含但不限于如下内容</w:t>
            </w:r>
            <w:r>
              <w:rPr>
                <w:rFonts w:ascii="仿宋_GB2312" w:hAnsi="仿宋_GB2312" w:cs="仿宋_GB2312" w:eastAsia="仿宋_GB2312"/>
                <w:sz w:val="20"/>
              </w:rPr>
              <w:t>:（1）.总论(项目概况、建设单位概况、研究内容和编制依据、绩效目标、建设周期、建设内容及规模、资金筹措及投资估算、技术经济指标）;（2）.项目建设背景和必要性;（3）.项目需求分析与产出方案;（4）.项目选址与要素保障;（5）.项目建设方案(工程方案、设备更新方案、更新原则，建设管理方案);（6）.项目运营方案(运营模式选择、运营组织方案、安全保障方案，绩效管理方案);（7）.项目投资与财务方案(盈利能力分析、融资方案、可持续性分析);（8）.项目影响效果分析(经济影响分析、社会影响分析、生态环境影响分析、资源和能源利用效果分析、碳达峰碳中和分析);（9）.项目风险管控方案;（10）.研究结论及建议。</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配合相关验收工作，达到有关主管部门审批要求，负责配合采购人将成果上报有关主管部门并获得批准通过</w:t>
            </w:r>
          </w:p>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服务人员应不少于</w:t>
            </w:r>
            <w:r>
              <w:rPr>
                <w:rFonts w:ascii="仿宋_GB2312" w:hAnsi="仿宋_GB2312" w:cs="仿宋_GB2312" w:eastAsia="仿宋_GB2312"/>
                <w:sz w:val="20"/>
              </w:rPr>
              <w:t>3人，且至少1人具有中级以上职称</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二</w:t>
            </w:r>
            <w:r>
              <w:rPr>
                <w:rFonts w:ascii="仿宋_GB2312" w:hAnsi="仿宋_GB2312" w:cs="仿宋_GB2312" w:eastAsia="仿宋_GB2312"/>
                <w:sz w:val="20"/>
              </w:rPr>
              <w:t>）</w:t>
            </w:r>
            <w:r>
              <w:rPr>
                <w:rFonts w:ascii="仿宋_GB2312" w:hAnsi="仿宋_GB2312" w:cs="仿宋_GB2312" w:eastAsia="仿宋_GB2312"/>
                <w:sz w:val="20"/>
              </w:rPr>
              <w:t>技术参考依据</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1.国务院关于印发《推动大规模设备更新和消费品以旧换新行动方案》的通知（国发〔2024〕7号）；</w:t>
            </w:r>
          </w:p>
          <w:p>
            <w:pPr>
              <w:pStyle w:val="null3"/>
              <w:jc w:val="left"/>
            </w:pPr>
            <w:r>
              <w:rPr>
                <w:rFonts w:ascii="仿宋_GB2312" w:hAnsi="仿宋_GB2312" w:cs="仿宋_GB2312" w:eastAsia="仿宋_GB2312"/>
                <w:sz w:val="20"/>
              </w:rPr>
              <w:t>2.国家发展改革委、财政部《关于加力支持大规模设备更新和消费品以旧换新的若干措施》（发改环资〔2024〕1104号）；</w:t>
            </w:r>
          </w:p>
          <w:p>
            <w:pPr>
              <w:pStyle w:val="null3"/>
              <w:jc w:val="left"/>
            </w:pPr>
            <w:r>
              <w:rPr>
                <w:rFonts w:ascii="仿宋_GB2312" w:hAnsi="仿宋_GB2312" w:cs="仿宋_GB2312" w:eastAsia="仿宋_GB2312"/>
                <w:sz w:val="20"/>
              </w:rPr>
              <w:t>3.《国家发展改革委教育部关于印发〈教育领域重大设备更新实施方案〉的通知》（发改社会〔2024〕718号）；</w:t>
            </w:r>
          </w:p>
          <w:p>
            <w:pPr>
              <w:pStyle w:val="null3"/>
              <w:jc w:val="left"/>
            </w:pPr>
            <w:r>
              <w:rPr>
                <w:rFonts w:ascii="仿宋_GB2312" w:hAnsi="仿宋_GB2312" w:cs="仿宋_GB2312" w:eastAsia="仿宋_GB2312"/>
                <w:sz w:val="20"/>
              </w:rPr>
              <w:t>4.《陕西省加力支持大规模设备更新和消费品以旧换新实施方案》（陕发改环资〔2024〕1671号）；</w:t>
            </w:r>
          </w:p>
          <w:p>
            <w:pPr>
              <w:pStyle w:val="null3"/>
              <w:jc w:val="left"/>
            </w:pPr>
            <w:r>
              <w:rPr>
                <w:rFonts w:ascii="仿宋_GB2312" w:hAnsi="仿宋_GB2312" w:cs="仿宋_GB2312" w:eastAsia="仿宋_GB2312"/>
                <w:sz w:val="20"/>
              </w:rPr>
              <w:t>5.《陕西省人民政府关于印发推动大规模设备更新和消费品以旧换新若干措施的通知》（陕政发〔2024〕3号）；</w:t>
            </w:r>
          </w:p>
          <w:p>
            <w:pPr>
              <w:pStyle w:val="null3"/>
              <w:jc w:val="left"/>
            </w:pPr>
            <w:r>
              <w:rPr>
                <w:rFonts w:ascii="仿宋_GB2312" w:hAnsi="仿宋_GB2312" w:cs="仿宋_GB2312" w:eastAsia="仿宋_GB2312"/>
                <w:sz w:val="20"/>
              </w:rPr>
              <w:t>6.《陕西省国民经济和社会发展第十四个五年规划和二〇三五年远景目标纲要》；</w:t>
            </w:r>
          </w:p>
          <w:p>
            <w:pPr>
              <w:pStyle w:val="null3"/>
              <w:jc w:val="left"/>
            </w:pPr>
            <w:r>
              <w:rPr>
                <w:rFonts w:ascii="仿宋_GB2312" w:hAnsi="仿宋_GB2312" w:cs="仿宋_GB2312" w:eastAsia="仿宋_GB2312"/>
                <w:sz w:val="20"/>
              </w:rPr>
              <w:t>7.《陕西省教育事业发展“十四五”规划 》；</w:t>
            </w:r>
          </w:p>
          <w:p>
            <w:pPr>
              <w:pStyle w:val="null3"/>
              <w:jc w:val="left"/>
            </w:pPr>
            <w:r>
              <w:rPr>
                <w:rFonts w:ascii="仿宋_GB2312" w:hAnsi="仿宋_GB2312" w:cs="仿宋_GB2312" w:eastAsia="仿宋_GB2312"/>
                <w:sz w:val="20"/>
              </w:rPr>
              <w:t>8.《西北大学“十四五”教育事业发展规划》；</w:t>
            </w:r>
          </w:p>
          <w:p>
            <w:pPr>
              <w:pStyle w:val="null3"/>
              <w:jc w:val="left"/>
            </w:pPr>
            <w:r>
              <w:rPr>
                <w:rFonts w:ascii="仿宋_GB2312" w:hAnsi="仿宋_GB2312" w:cs="仿宋_GB2312" w:eastAsia="仿宋_GB2312"/>
                <w:sz w:val="20"/>
              </w:rPr>
              <w:t>9.《中国共产党西北大学第五次代表大会工作报告》；</w:t>
            </w:r>
          </w:p>
          <w:p>
            <w:pPr>
              <w:pStyle w:val="null3"/>
              <w:jc w:val="left"/>
            </w:pPr>
            <w:r>
              <w:rPr>
                <w:rFonts w:ascii="仿宋_GB2312" w:hAnsi="仿宋_GB2312" w:cs="仿宋_GB2312" w:eastAsia="仿宋_GB2312"/>
                <w:sz w:val="20"/>
              </w:rPr>
              <w:t>10.《国家发展改革委关于印发投资项目可行性研究报告编写大纲及说明的通知》（发改投资规〔2023〕304号）；</w:t>
            </w:r>
          </w:p>
          <w:p>
            <w:pPr>
              <w:pStyle w:val="null3"/>
              <w:jc w:val="left"/>
            </w:pPr>
            <w:r>
              <w:rPr>
                <w:rFonts w:ascii="仿宋_GB2312" w:hAnsi="仿宋_GB2312" w:cs="仿宋_GB2312" w:eastAsia="仿宋_GB2312"/>
                <w:sz w:val="20"/>
              </w:rPr>
              <w:t>11.《政府投资项目可行性研究报告编写参考大纲（2023年版）》；</w:t>
            </w:r>
          </w:p>
          <w:p>
            <w:pPr>
              <w:pStyle w:val="null3"/>
              <w:jc w:val="left"/>
            </w:pPr>
            <w:r>
              <w:rPr>
                <w:rFonts w:ascii="仿宋_GB2312" w:hAnsi="仿宋_GB2312" w:cs="仿宋_GB2312" w:eastAsia="仿宋_GB2312"/>
                <w:sz w:val="20"/>
              </w:rPr>
              <w:t>12.《投资项目可行性研究指南》，中国电力出版社，2002年；</w:t>
            </w:r>
          </w:p>
          <w:p>
            <w:pPr>
              <w:pStyle w:val="null3"/>
              <w:jc w:val="left"/>
            </w:pPr>
            <w:r>
              <w:rPr>
                <w:rFonts w:ascii="仿宋_GB2312" w:hAnsi="仿宋_GB2312" w:cs="仿宋_GB2312" w:eastAsia="仿宋_GB2312"/>
                <w:sz w:val="20"/>
              </w:rPr>
              <w:t>13.建设项目经济评价方法与参数（第三版）；</w:t>
            </w:r>
          </w:p>
          <w:p>
            <w:pPr>
              <w:pStyle w:val="null3"/>
              <w:jc w:val="left"/>
            </w:pPr>
            <w:r>
              <w:rPr>
                <w:rFonts w:ascii="仿宋_GB2312" w:hAnsi="仿宋_GB2312" w:cs="仿宋_GB2312" w:eastAsia="仿宋_GB2312"/>
                <w:sz w:val="20"/>
              </w:rPr>
              <w:t>14.国家颁布的有关政策、法规、法令、规范、定额、税费等文件；</w:t>
            </w:r>
          </w:p>
          <w:p>
            <w:pPr>
              <w:pStyle w:val="null3"/>
              <w:jc w:val="both"/>
            </w:pPr>
            <w:r>
              <w:rPr>
                <w:rFonts w:ascii="仿宋_GB2312" w:hAnsi="仿宋_GB2312" w:cs="仿宋_GB2312" w:eastAsia="仿宋_GB2312"/>
                <w:sz w:val="20"/>
              </w:rPr>
              <w:t>15.建设单位提供的其他相关资料。</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sz w:val="20"/>
                <w:b/>
              </w:rPr>
              <w:t>三、项目使用功能要求</w:t>
            </w:r>
          </w:p>
          <w:p>
            <w:pPr>
              <w:pStyle w:val="null3"/>
              <w:jc w:val="both"/>
            </w:pPr>
            <w:r>
              <w:rPr>
                <w:rFonts w:ascii="仿宋_GB2312" w:hAnsi="仿宋_GB2312" w:cs="仿宋_GB2312" w:eastAsia="仿宋_GB2312"/>
                <w:sz w:val="20"/>
              </w:rPr>
              <w:t>项目拟涉及</w:t>
            </w:r>
            <w:r>
              <w:rPr>
                <w:rFonts w:ascii="仿宋_GB2312" w:hAnsi="仿宋_GB2312" w:cs="仿宋_GB2312" w:eastAsia="仿宋_GB2312"/>
                <w:sz w:val="20"/>
              </w:rPr>
              <w:t>新传</w:t>
            </w:r>
            <w:r>
              <w:rPr>
                <w:rFonts w:ascii="仿宋_GB2312" w:hAnsi="仿宋_GB2312" w:cs="仿宋_GB2312" w:eastAsia="仿宋_GB2312"/>
                <w:sz w:val="20"/>
              </w:rPr>
              <w:t>、</w:t>
            </w:r>
            <w:r>
              <w:rPr>
                <w:rFonts w:ascii="仿宋_GB2312" w:hAnsi="仿宋_GB2312" w:cs="仿宋_GB2312" w:eastAsia="仿宋_GB2312"/>
                <w:sz w:val="20"/>
              </w:rPr>
              <w:t>文</w:t>
            </w:r>
            <w:r>
              <w:rPr>
                <w:rFonts w:ascii="仿宋_GB2312" w:hAnsi="仿宋_GB2312" w:cs="仿宋_GB2312" w:eastAsia="仿宋_GB2312"/>
                <w:sz w:val="20"/>
              </w:rPr>
              <w:t>学、</w:t>
            </w:r>
            <w:r>
              <w:rPr>
                <w:rFonts w:ascii="仿宋_GB2312" w:hAnsi="仿宋_GB2312" w:cs="仿宋_GB2312" w:eastAsia="仿宋_GB2312"/>
                <w:sz w:val="20"/>
              </w:rPr>
              <w:t>公管、经管、外语、艺术、法学、哲学、国际教育等</w:t>
            </w:r>
            <w:r>
              <w:rPr>
                <w:rFonts w:ascii="仿宋_GB2312" w:hAnsi="仿宋_GB2312" w:cs="仿宋_GB2312" w:eastAsia="仿宋_GB2312"/>
                <w:sz w:val="20"/>
              </w:rPr>
              <w:t>重点院（系），及学校网络中心、图书馆、</w:t>
            </w:r>
            <w:r>
              <w:rPr>
                <w:rFonts w:ascii="仿宋_GB2312" w:hAnsi="仿宋_GB2312" w:cs="仿宋_GB2312" w:eastAsia="仿宋_GB2312"/>
                <w:sz w:val="20"/>
              </w:rPr>
              <w:t>档案馆、国资处</w:t>
            </w:r>
            <w:r>
              <w:rPr>
                <w:rFonts w:ascii="仿宋_GB2312" w:hAnsi="仿宋_GB2312" w:cs="仿宋_GB2312" w:eastAsia="仿宋_GB2312"/>
                <w:sz w:val="20"/>
              </w:rPr>
              <w:t>等实验教学公共基础资源领域，围绕教育领域重大设备更新、</w:t>
            </w:r>
            <w:r>
              <w:rPr>
                <w:rFonts w:ascii="仿宋_GB2312" w:hAnsi="仿宋_GB2312" w:cs="仿宋_GB2312" w:eastAsia="仿宋_GB2312"/>
                <w:sz w:val="20"/>
              </w:rPr>
              <w:t>支持</w:t>
            </w:r>
            <w:r>
              <w:rPr>
                <w:rFonts w:ascii="仿宋_GB2312" w:hAnsi="仿宋_GB2312" w:cs="仿宋_GB2312" w:eastAsia="仿宋_GB2312"/>
                <w:sz w:val="20"/>
              </w:rPr>
              <w:t>智慧教学</w:t>
            </w:r>
            <w:r>
              <w:rPr>
                <w:rFonts w:ascii="仿宋_GB2312" w:hAnsi="仿宋_GB2312" w:cs="仿宋_GB2312" w:eastAsia="仿宋_GB2312"/>
                <w:sz w:val="20"/>
              </w:rPr>
              <w:t>等先进教学科研仪器设备更新</w:t>
            </w:r>
            <w:r>
              <w:rPr>
                <w:rFonts w:ascii="仿宋_GB2312" w:hAnsi="仿宋_GB2312" w:cs="仿宋_GB2312" w:eastAsia="仿宋_GB2312"/>
                <w:sz w:val="20"/>
              </w:rPr>
              <w:t>，更新采购一批先进设备，提升</w:t>
            </w:r>
            <w:r>
              <w:rPr>
                <w:rFonts w:ascii="仿宋_GB2312" w:hAnsi="仿宋_GB2312" w:cs="仿宋_GB2312" w:eastAsia="仿宋_GB2312"/>
                <w:sz w:val="20"/>
              </w:rPr>
              <w:t>相关</w:t>
            </w:r>
            <w:r>
              <w:rPr>
                <w:rFonts w:ascii="仿宋_GB2312" w:hAnsi="仿宋_GB2312" w:cs="仿宋_GB2312" w:eastAsia="仿宋_GB2312"/>
                <w:sz w:val="20"/>
              </w:rPr>
              <w:t>平台的硬件设施水平。按相关规范进行该项目的可研编制工作，编制的文件内容、深度需符合国家、陕西可行性研究报告编制和审批的要求，同时符合超长期特别国债项目申请可研编制和审批的要求，精准把握国家政策导向和支持重点包含但不限于如下内容</w:t>
            </w:r>
            <w:r>
              <w:rPr>
                <w:rFonts w:ascii="仿宋_GB2312" w:hAnsi="仿宋_GB2312" w:cs="仿宋_GB2312" w:eastAsia="仿宋_GB2312"/>
                <w:sz w:val="20"/>
              </w:rPr>
              <w:t>:1.总论(项目概况、建设单位概况、研究内容和编制依据、绩效目标、建设周期、建设内容及规模);2.资金筹措及投资估算;3.技术经济指标;4.项目建设背景和必要性;5.项目需求分析与产出方案;6.项目选址与要素;7.项目建设方案(工程方案、设备更新方案、更新原则，建设管理方案);8.项目运营方案(运营模式选择、运营组织方案、安全保障方案，绩效管理方案);9.项目投资与财务方案(盈利能力分析、融资方案、可持续性分析);10.项目影响效果分析(经济影响分析、社会影响分析、生态环境影响分析、资源和能源利用效果分析、碳达峰碳中和分析);11.项目风险管控方案;12.研究结论及建议。对项目投资必要性、可行性、项目建设单位概况、需求分析、建设必要性、总体建设方案、投资估算、项目运营管理、研究结论与建议等方面（包括但不限于）论证项目可行性，为后续平台建设审批、经费支持、项目申请等工作提供依据，争取顺利通过陕西省发改委评审中心评审，纳入国家重大项目库并争取成功申请国家相关支持资</w:t>
            </w:r>
            <w:r>
              <w:rPr>
                <w:rFonts w:ascii="仿宋_GB2312" w:hAnsi="仿宋_GB2312" w:cs="仿宋_GB2312" w:eastAsia="仿宋_GB2312"/>
                <w:sz w:val="20"/>
              </w:rPr>
              <w:t>金。</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sz w:val="20"/>
                <w:b/>
              </w:rPr>
              <w:t>四、</w:t>
            </w:r>
            <w:r>
              <w:rPr>
                <w:rFonts w:ascii="仿宋_GB2312" w:hAnsi="仿宋_GB2312" w:cs="仿宋_GB2312" w:eastAsia="仿宋_GB2312"/>
                <w:sz w:val="20"/>
                <w:b/>
              </w:rPr>
              <w:t>服务成果要求</w:t>
            </w:r>
          </w:p>
          <w:p>
            <w:pPr>
              <w:pStyle w:val="null3"/>
              <w:jc w:val="left"/>
            </w:pPr>
            <w:r>
              <w:rPr>
                <w:rFonts w:ascii="仿宋_GB2312" w:hAnsi="仿宋_GB2312" w:cs="仿宋_GB2312" w:eastAsia="仿宋_GB2312"/>
                <w:sz w:val="20"/>
              </w:rPr>
              <w:t>1.提交西北大学智慧教学及先进技术设备更新项目可行性研究报告纸质版(8份)。</w:t>
            </w:r>
            <w:r>
              <w:rPr>
                <w:rFonts w:ascii="仿宋_GB2312" w:hAnsi="仿宋_GB2312" w:cs="仿宋_GB2312" w:eastAsia="仿宋_GB2312"/>
              </w:rPr>
              <w:t xml:space="preserve"> </w:t>
            </w:r>
          </w:p>
          <w:p>
            <w:pPr>
              <w:pStyle w:val="null3"/>
              <w:jc w:val="left"/>
            </w:pPr>
            <w:r>
              <w:rPr>
                <w:rFonts w:ascii="仿宋_GB2312" w:hAnsi="仿宋_GB2312" w:cs="仿宋_GB2312" w:eastAsia="仿宋_GB2312"/>
                <w:sz w:val="20"/>
              </w:rPr>
              <w:t>2.提交西北大学智慧教学及先进技术设备更新项目可行性研究报告电子版(1份)及过程中产出的相关材料，包括但不限于附表、附图和附件等。相关资料知识产权归采购人所有。</w:t>
            </w:r>
          </w:p>
          <w:p>
            <w:pPr>
              <w:pStyle w:val="null3"/>
              <w:jc w:val="both"/>
            </w:pPr>
            <w:r>
              <w:rPr>
                <w:rFonts w:ascii="仿宋_GB2312" w:hAnsi="仿宋_GB2312" w:cs="仿宋_GB2312" w:eastAsia="仿宋_GB2312"/>
                <w:sz w:val="20"/>
              </w:rPr>
              <w:t>3.满足国家及陕西省现行的有关政策、法律、法规、规程、规范和标准等。</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按项目需求配置。</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按项目需求配置。</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自合同签订之日起60日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西北大学国有资产管理处指定地点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（1）质量标准。乙方保证提供的服务质量应符合中华人民共和国相关标准及相应的技术规范、本次采购相关文件中的全部相关要求及乙方相关服务标准及相应的技术规范中之较高者。 （2）验收组织。甲方负责按规定组织验收工作并出具验收书，涉及向学校师生提供的公共服务项目，验收时须邀请服务对象参与并出具意见。</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【合同生效后，乙方按照甲方要求提供服务，甲方根据乙方服务进度及验收情况，分阶段支付相对应服务费用（以此为准）】</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中标/成交供应商所交付服务不符合其投标承诺，存在偷工减料、以次充好情形的，采购人要求更换一次后仍不符合约定的，采购人有权解除采购合同，没收履约保证金，并将有关情况上报政府采购监管部门处理。</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①为顺利推进政府采购电子化交易平台应用工作，供应商需要在线提交所有通过电子化交易平台实施的政府采购项目的响应文件，同时，线下提交纸质响应文件正本壹份、副本贰份。②纸质响应文件正、副本分别胶装，标明供应商名称密封递交，递交截止时间同在线递交电子响应文件截止时间一致，递交地址：陕西省西安市曲江新区雁翔路3269号旺座曲江D座30层3001号（纸质响应文件可邮寄，邮件发出时间应在递交电子响应文件截止时间之前，邮寄地址：陕西省西安市曲江新区雁翔路3269号旺座曲江D座30层3001号，联系人：王工，联系电话：15091632950）。③若电子响应文件与纸质响应文件不一致的，以电子响应文件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法人提供经审计的2024年度财务报告（成立时间至响应文件递交截止时间不足一年的可提供成立后任意时段的资产负债表）或响应文件递交截止时间前六个月内银行出具的资信证明；其他组织和自然人提供银行出具的资信证明或财务报表。注：①提供财务报告的，内容至少包括审计报告、附注。根据《财政部关于注册会计师行业统一监管平台上线运行的通知》财办〔2022〕32号文件要求，审计报告须有清晰可扫描查询的二维码，若审计报告未赋码视为无效。②提供资信证明的，必须提供资信证明全部页以及基本户信息（提供开户许可证或提供基本银行账户信息），银行出具的存款证明不能代替资信证明，存款证明无效。</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具有独立承担民事责任能力的法人、其他组织或自然人，提供合法有效的统一社会信用代码营业执照（事业单位提供法人证书，自然人提供身份证）。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具有良好的商业信誉和健全的财务会计制度</w:t>
            </w:r>
          </w:p>
        </w:tc>
        <w:tc>
          <w:tcPr>
            <w:tcW w:type="dxa" w:w="3322"/>
          </w:tcPr>
          <w:p>
            <w:pPr>
              <w:pStyle w:val="null3"/>
            </w:pPr>
            <w:r>
              <w:rPr>
                <w:rFonts w:ascii="仿宋_GB2312" w:hAnsi="仿宋_GB2312" w:cs="仿宋_GB2312" w:eastAsia="仿宋_GB2312"/>
              </w:rPr>
              <w:t>法人提供经审计的2024年度财务报告（成立时间至响应文件递交截止时间不足一年的可提供成立后任意时段的资产负债表）或响应文件递交截止时间前六个月内银行出具的资信证明；其他组织和自然人提供银行出具的资信证明或财务报表。注：①提供财务报告的，内容至少包括审计报告、附注。根据《财政部关于注册会计师行业统一监管平台上线运行的通知》财办〔2022〕32号文件要求，审计报告须有清晰可扫描查询的二维码，若审计报告未赋码视为无效。②提供资信证明的，必须提供资信证明全部页以及基本户信息（提供开户许可证或提供基本银行账户信息），银行出具的存款证明不能代替资信证明，存款证明无效。</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有依法缴纳税收的良好记录</w:t>
            </w:r>
          </w:p>
        </w:tc>
        <w:tc>
          <w:tcPr>
            <w:tcW w:type="dxa" w:w="3322"/>
          </w:tcPr>
          <w:p>
            <w:pPr>
              <w:pStyle w:val="null3"/>
            </w:pPr>
            <w:r>
              <w:rPr>
                <w:rFonts w:ascii="仿宋_GB2312" w:hAnsi="仿宋_GB2312" w:cs="仿宋_GB2312" w:eastAsia="仿宋_GB2312"/>
              </w:rPr>
              <w:t>法人提供响应文件递交截止时间前一年内至少一个月依法缴纳税收的相关凭据（时间以税款所属日期为准，凭据应有税务机关或代收机关的公章或业务专用章）；其他组织和自然人提供缴纳税收的凭据；依法免税的供应商应提供相关文件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有依法缴纳社会保障资金的良好记录</w:t>
            </w:r>
          </w:p>
        </w:tc>
        <w:tc>
          <w:tcPr>
            <w:tcW w:type="dxa" w:w="3322"/>
          </w:tcPr>
          <w:p>
            <w:pPr>
              <w:pStyle w:val="null3"/>
            </w:pPr>
            <w:r>
              <w:rPr>
                <w:rFonts w:ascii="仿宋_GB2312" w:hAnsi="仿宋_GB2312" w:cs="仿宋_GB2312" w:eastAsia="仿宋_GB2312"/>
              </w:rPr>
              <w:t>提供响应文件递交截止时间前一年内至少一个月已缴纳的社会保障资金的凭据（社会保障资金缴存单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参加政府采购活动前三年内，在经营活动中没有重大违法记录</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法定代表人授权书、法定代表人身份证明合格</w:t>
            </w:r>
          </w:p>
        </w:tc>
        <w:tc>
          <w:tcPr>
            <w:tcW w:type="dxa" w:w="3322"/>
          </w:tcPr>
          <w:p>
            <w:pPr>
              <w:pStyle w:val="null3"/>
            </w:pPr>
            <w:r>
              <w:rPr>
                <w:rFonts w:ascii="仿宋_GB2312" w:hAnsi="仿宋_GB2312" w:cs="仿宋_GB2312" w:eastAsia="仿宋_GB2312"/>
              </w:rPr>
              <w:t>提供合格的法定代表人授权书（附法定代表人、被授权人身份证复印件）或法定代表人身份证明（法定代表人直接参加的）。</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信用承诺</w:t>
            </w:r>
          </w:p>
        </w:tc>
        <w:tc>
          <w:tcPr>
            <w:tcW w:type="dxa" w:w="3322"/>
          </w:tcPr>
          <w:p>
            <w:pPr>
              <w:pStyle w:val="null3"/>
            </w:pPr>
            <w:r>
              <w:rPr>
                <w:rFonts w:ascii="仿宋_GB2312" w:hAnsi="仿宋_GB2312" w:cs="仿宋_GB2312" w:eastAsia="仿宋_GB2312"/>
              </w:rPr>
              <w:t>提供未被“信用中国”网站（www.creditchina.gov.cn）列入失信被执行人或重大税收违法失信主体名单，未被财政部门在中国政府采购网（www.ccgp.gov.cn）政府采购严重违法失信行为记录名单中禁止参加政府采购活动的承诺。</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供应商名称与营业执照一致</w:t>
            </w:r>
          </w:p>
        </w:tc>
        <w:tc>
          <w:tcPr>
            <w:tcW w:type="dxa" w:w="3322"/>
          </w:tcPr>
          <w:p>
            <w:pPr>
              <w:pStyle w:val="null3"/>
            </w:pPr>
            <w:r>
              <w:rPr>
                <w:rFonts w:ascii="仿宋_GB2312" w:hAnsi="仿宋_GB2312" w:cs="仿宋_GB2312" w:eastAsia="仿宋_GB2312"/>
              </w:rPr>
              <w:t>供应商名称与营业执照一致（合格）供应商名称与营业执照不一致（不合格）</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响应文件按采购文件要求的数量、计量单位、报价货币及签字盖章</w:t>
            </w:r>
          </w:p>
        </w:tc>
        <w:tc>
          <w:tcPr>
            <w:tcW w:type="dxa" w:w="3322"/>
          </w:tcPr>
          <w:p>
            <w:pPr>
              <w:pStyle w:val="null3"/>
            </w:pPr>
            <w:r>
              <w:rPr>
                <w:rFonts w:ascii="仿宋_GB2312" w:hAnsi="仿宋_GB2312" w:cs="仿宋_GB2312" w:eastAsia="仿宋_GB2312"/>
              </w:rPr>
              <w:t>响应文件按采购文件要求的数量、计量单位、报价货币及签字盖章（合格）响应文件未按采购文件要求的数量、计量单位、报价货币及签字盖章（不合格）</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响应有效期满足采购文件要求</w:t>
            </w:r>
          </w:p>
        </w:tc>
        <w:tc>
          <w:tcPr>
            <w:tcW w:type="dxa" w:w="3322"/>
          </w:tcPr>
          <w:p>
            <w:pPr>
              <w:pStyle w:val="null3"/>
            </w:pPr>
            <w:r>
              <w:rPr>
                <w:rFonts w:ascii="仿宋_GB2312" w:hAnsi="仿宋_GB2312" w:cs="仿宋_GB2312" w:eastAsia="仿宋_GB2312"/>
              </w:rPr>
              <w:t>响应有效期满足采购文件要求（合格）响应有效期不满足采购文件要求（不合格）</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商务响应满足实质性要求</w:t>
            </w:r>
          </w:p>
        </w:tc>
        <w:tc>
          <w:tcPr>
            <w:tcW w:type="dxa" w:w="3322"/>
          </w:tcPr>
          <w:p>
            <w:pPr>
              <w:pStyle w:val="null3"/>
            </w:pPr>
            <w:r>
              <w:rPr>
                <w:rFonts w:ascii="仿宋_GB2312" w:hAnsi="仿宋_GB2312" w:cs="仿宋_GB2312" w:eastAsia="仿宋_GB2312"/>
              </w:rPr>
              <w:t>商务响应满足第三章3.3商务要求（合格），任意一条不满足（不合格）</w:t>
            </w:r>
          </w:p>
        </w:tc>
        <w:tc>
          <w:tcPr>
            <w:tcW w:type="dxa" w:w="1661"/>
          </w:tcPr>
          <w:p>
            <w:pPr>
              <w:pStyle w:val="null3"/>
            </w:pPr>
            <w:r>
              <w:rPr>
                <w:rFonts w:ascii="仿宋_GB2312" w:hAnsi="仿宋_GB2312" w:cs="仿宋_GB2312" w:eastAsia="仿宋_GB2312"/>
              </w:rPr>
              <w:t>响应文件封面 服务内容及服务邀请应答表 商务应答表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符合法律、法规和采购文件中规定的其他实质性要求</w:t>
            </w:r>
          </w:p>
        </w:tc>
        <w:tc>
          <w:tcPr>
            <w:tcW w:type="dxa" w:w="3322"/>
          </w:tcPr>
          <w:p>
            <w:pPr>
              <w:pStyle w:val="null3"/>
            </w:pPr>
            <w:r>
              <w:rPr>
                <w:rFonts w:ascii="仿宋_GB2312" w:hAnsi="仿宋_GB2312" w:cs="仿宋_GB2312" w:eastAsia="仿宋_GB2312"/>
              </w:rPr>
              <w:t>符合法律、法规和采购文件中规定的其他实质性要求（合格）不符合法律、法规和采购文件中规定的其他实质性要求（不合格）</w:t>
            </w:r>
          </w:p>
        </w:tc>
        <w:tc>
          <w:tcPr>
            <w:tcW w:type="dxa" w:w="1661"/>
          </w:tcPr>
          <w:p>
            <w:pPr>
              <w:pStyle w:val="null3"/>
            </w:pPr>
            <w:r>
              <w:rPr>
                <w:rFonts w:ascii="仿宋_GB2312" w:hAnsi="仿宋_GB2312" w:cs="仿宋_GB2312" w:eastAsia="仿宋_GB2312"/>
              </w:rPr>
              <w:t>商务应答表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服务响应</w:t>
            </w:r>
          </w:p>
        </w:tc>
        <w:tc>
          <w:tcPr>
            <w:tcW w:type="dxa" w:w="2492"/>
          </w:tcPr>
          <w:p>
            <w:pPr>
              <w:pStyle w:val="null3"/>
            </w:pPr>
            <w:r>
              <w:rPr>
                <w:rFonts w:ascii="仿宋_GB2312" w:hAnsi="仿宋_GB2312" w:cs="仿宋_GB2312" w:eastAsia="仿宋_GB2312"/>
              </w:rPr>
              <w:t>供应商服务响应完全满足采购文件第三章“磋商项目技术、服务、商务及其他要求”第3.2.2条“服务要求”所列内容，没有负偏离的计5分，每有一项负偏离扣1.25分，扣完为止。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服务响应.docx</w:t>
            </w:r>
          </w:p>
        </w:tc>
      </w:tr>
      <w:tr>
        <w:tc>
          <w:tcPr>
            <w:tcW w:type="dxa" w:w="831"/>
            <w:vMerge/>
          </w:tcPr>
          <w:p/>
        </w:tc>
        <w:tc>
          <w:tcPr>
            <w:tcW w:type="dxa" w:w="1661"/>
          </w:tcPr>
          <w:p>
            <w:pPr>
              <w:pStyle w:val="null3"/>
            </w:pPr>
            <w:r>
              <w:rPr>
                <w:rFonts w:ascii="仿宋_GB2312" w:hAnsi="仿宋_GB2312" w:cs="仿宋_GB2312" w:eastAsia="仿宋_GB2312"/>
              </w:rPr>
              <w:t>项目政策背景理解</w:t>
            </w:r>
          </w:p>
        </w:tc>
        <w:tc>
          <w:tcPr>
            <w:tcW w:type="dxa" w:w="2492"/>
          </w:tcPr>
          <w:p>
            <w:pPr>
              <w:pStyle w:val="null3"/>
            </w:pPr>
            <w:r>
              <w:rPr>
                <w:rFonts w:ascii="仿宋_GB2312" w:hAnsi="仿宋_GB2312" w:cs="仿宋_GB2312" w:eastAsia="仿宋_GB2312"/>
              </w:rPr>
              <w:t>一、评审内容 供应商提供针对本项目实施的相关政策及背景的理解。 二、评审标准 1、完整性：完全掌握本项目实施的相关政策及背景，理解全面； 2、科学性：内容紧扣项目实际情况，逻辑完整、科学合理。 三、赋分依据 每完全满足一个评审标准得1分，每基本满足一个评审标准得0.5分，不满足或未提供不得分，满分2分。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项目政策背景理解.docx</w:t>
            </w:r>
          </w:p>
        </w:tc>
      </w:tr>
      <w:tr>
        <w:tc>
          <w:tcPr>
            <w:tcW w:type="dxa" w:w="831"/>
            <w:vMerge/>
          </w:tcPr>
          <w:p/>
        </w:tc>
        <w:tc>
          <w:tcPr>
            <w:tcW w:type="dxa" w:w="1661"/>
          </w:tcPr>
          <w:p>
            <w:pPr>
              <w:pStyle w:val="null3"/>
            </w:pPr>
            <w:r>
              <w:rPr>
                <w:rFonts w:ascii="仿宋_GB2312" w:hAnsi="仿宋_GB2312" w:cs="仿宋_GB2312" w:eastAsia="仿宋_GB2312"/>
              </w:rPr>
              <w:t>整体服务方案</w:t>
            </w:r>
          </w:p>
        </w:tc>
        <w:tc>
          <w:tcPr>
            <w:tcW w:type="dxa" w:w="2492"/>
          </w:tcPr>
          <w:p>
            <w:pPr>
              <w:pStyle w:val="null3"/>
            </w:pPr>
            <w:r>
              <w:rPr>
                <w:rFonts w:ascii="仿宋_GB2312" w:hAnsi="仿宋_GB2312" w:cs="仿宋_GB2312" w:eastAsia="仿宋_GB2312"/>
              </w:rPr>
              <w:t>一、评审内容 供应商针对本项目制定整体服务方案。包括①服务目标、内容及标准②服务方法及策略③人员组织安排④配合验收方案。 二、评审标准 1、完整性：内容须全面，对评审内容中的各项要求描述详细； 2、可实施性：切合本项目实际情况，实施步骤清晰、合理； 3、针对性：能够紧扣项目实际情况，内容科学合理。 三、赋分依据 ①服务目标、内容及标准：每完全满足一个评审标准得1分，每基本满足一个评审标准得0.5分，不满足或未提供不得分，满分3分； ②服务方法及策略：每完全满足一个评审标准得1分，每基本满足一个评审标准得0.5分，不满足或未提供不得分，满分3分； ③人员组织安排：每完全满足一个评审标准得1分，每基本满足一个评审标准得0.5分，不满足或未提供不得分，满分3分； ④配合验收方案：每完全满足一个评审标准得1分，每基本满足一个评审标准得0.5分，不满足或未提供不得分，满分3分。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整体服务方案.docx</w:t>
            </w:r>
          </w:p>
        </w:tc>
      </w:tr>
      <w:tr>
        <w:tc>
          <w:tcPr>
            <w:tcW w:type="dxa" w:w="831"/>
            <w:vMerge/>
          </w:tcPr>
          <w:p/>
        </w:tc>
        <w:tc>
          <w:tcPr>
            <w:tcW w:type="dxa" w:w="1661"/>
          </w:tcPr>
          <w:p>
            <w:pPr>
              <w:pStyle w:val="null3"/>
            </w:pPr>
            <w:r>
              <w:rPr>
                <w:rFonts w:ascii="仿宋_GB2312" w:hAnsi="仿宋_GB2312" w:cs="仿宋_GB2312" w:eastAsia="仿宋_GB2312"/>
              </w:rPr>
              <w:t>工作流程</w:t>
            </w:r>
          </w:p>
        </w:tc>
        <w:tc>
          <w:tcPr>
            <w:tcW w:type="dxa" w:w="2492"/>
          </w:tcPr>
          <w:p>
            <w:pPr>
              <w:pStyle w:val="null3"/>
            </w:pPr>
            <w:r>
              <w:rPr>
                <w:rFonts w:ascii="仿宋_GB2312" w:hAnsi="仿宋_GB2312" w:cs="仿宋_GB2312" w:eastAsia="仿宋_GB2312"/>
              </w:rPr>
              <w:t>一、评审内容 供应商针对本项目制作各阶段工作流程。包括①前期准备②报告编制③报告审核、修改与最终上报。 二、评审标准 1、完整性：内容须全面，对评审内容中的各项要求描述详细； 2、可实施性：切合本项目实际情况，实施步骤清晰、合理； 3、针对性：能够紧扣项目实际情况，内容科学合理。 三、赋分依据 ①前期准备：每完全满足一个评审标准得1分，每基本满足一个评审标准得0.5分，不满足或未提供不得分，满分3分； ②报告编制：每完全满足一个评审标准得1分，每基本满足一个评审标准得0.5分，不满足或未提供不得分，满分3分； ③报告审核、修改与最终上报：每完全满足一个评审标准得1分，每基本满足一个评审标准得0.5分，不满足或未提供不得分，满分3分。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工作流程.docx</w:t>
            </w:r>
          </w:p>
        </w:tc>
      </w:tr>
      <w:tr>
        <w:tc>
          <w:tcPr>
            <w:tcW w:type="dxa" w:w="831"/>
            <w:vMerge/>
          </w:tcPr>
          <w:p/>
        </w:tc>
        <w:tc>
          <w:tcPr>
            <w:tcW w:type="dxa" w:w="1661"/>
          </w:tcPr>
          <w:p>
            <w:pPr>
              <w:pStyle w:val="null3"/>
            </w:pPr>
            <w:r>
              <w:rPr>
                <w:rFonts w:ascii="仿宋_GB2312" w:hAnsi="仿宋_GB2312" w:cs="仿宋_GB2312" w:eastAsia="仿宋_GB2312"/>
              </w:rPr>
              <w:t>进度保障</w:t>
            </w:r>
          </w:p>
        </w:tc>
        <w:tc>
          <w:tcPr>
            <w:tcW w:type="dxa" w:w="2492"/>
          </w:tcPr>
          <w:p>
            <w:pPr>
              <w:pStyle w:val="null3"/>
            </w:pPr>
            <w:r>
              <w:rPr>
                <w:rFonts w:ascii="仿宋_GB2312" w:hAnsi="仿宋_GB2312" w:cs="仿宋_GB2312" w:eastAsia="仿宋_GB2312"/>
              </w:rPr>
              <w:t>一、评审内容 供应商针对本项目制定进度保障方案。包括①编制进度安排及保障措施②突发情况的应急措施。 二、评审标准 1、完整性：内容须全面，对评审内容中的各项要求描述详细； 2、可实施性：切合本项目实际情况，实施步骤清晰、合理； 3、针对性：能够紧扣项目实际情况，内容科学合理。 三、赋分依据 ①编制进度安排及保障措施：每完全满足一个评审标准得1分，每基本满足一个评审标准得0.5分，不满足或未提供不得分，满分3分； ②突发情况的应急措施：每完全满足一个评审标准得1分，每基本满足一个评审标准得0.5分，不满足或未提供不得分，满分3分。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进度保障.docx</w:t>
            </w:r>
          </w:p>
        </w:tc>
      </w:tr>
      <w:tr>
        <w:tc>
          <w:tcPr>
            <w:tcW w:type="dxa" w:w="831"/>
            <w:vMerge/>
          </w:tcPr>
          <w:p/>
        </w:tc>
        <w:tc>
          <w:tcPr>
            <w:tcW w:type="dxa" w:w="1661"/>
          </w:tcPr>
          <w:p>
            <w:pPr>
              <w:pStyle w:val="null3"/>
            </w:pPr>
            <w:r>
              <w:rPr>
                <w:rFonts w:ascii="仿宋_GB2312" w:hAnsi="仿宋_GB2312" w:cs="仿宋_GB2312" w:eastAsia="仿宋_GB2312"/>
              </w:rPr>
              <w:t>质量保障方案</w:t>
            </w:r>
          </w:p>
        </w:tc>
        <w:tc>
          <w:tcPr>
            <w:tcW w:type="dxa" w:w="2492"/>
          </w:tcPr>
          <w:p>
            <w:pPr>
              <w:pStyle w:val="null3"/>
            </w:pPr>
            <w:r>
              <w:rPr>
                <w:rFonts w:ascii="仿宋_GB2312" w:hAnsi="仿宋_GB2312" w:cs="仿宋_GB2312" w:eastAsia="仿宋_GB2312"/>
              </w:rPr>
              <w:t>一、评审内容 供应商针对本项目制定质量保障方案。包括①质量规划、目标②保障措施③未达到质量标准的改进措施。 二、评审标准 1、完整性：内容须全面，对评审内容中的各项要求描述详细； 2、可实施性：切合本项目实际情况，实施步骤清晰、合理； 3、针对性：能够紧扣项目实际情况，内容科学合理。 三、赋分依据 ①质量规划、目标：每完全满足一个评审标准得1分，每基本满足一个评审标准得0.5分，不满足或未提供不得分，满分3分； ②保障措施：每完全满足一个评审标准得1分，每基本满足一个评审标准得0.5分，不满足或未提供不得分，满分3分； ③未达到质量标准的改进措施：每完全满足一个评审标准得1分，每基本满足一个评审标准得0.5分，不满足或未提供不得分，满分3分。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质量保障方案.docx</w:t>
            </w:r>
          </w:p>
        </w:tc>
      </w:tr>
      <w:tr>
        <w:tc>
          <w:tcPr>
            <w:tcW w:type="dxa" w:w="831"/>
            <w:vMerge/>
          </w:tcPr>
          <w:p/>
        </w:tc>
        <w:tc>
          <w:tcPr>
            <w:tcW w:type="dxa" w:w="1661"/>
          </w:tcPr>
          <w:p>
            <w:pPr>
              <w:pStyle w:val="null3"/>
            </w:pPr>
            <w:r>
              <w:rPr>
                <w:rFonts w:ascii="仿宋_GB2312" w:hAnsi="仿宋_GB2312" w:cs="仿宋_GB2312" w:eastAsia="仿宋_GB2312"/>
              </w:rPr>
              <w:t>重难点分析</w:t>
            </w:r>
          </w:p>
        </w:tc>
        <w:tc>
          <w:tcPr>
            <w:tcW w:type="dxa" w:w="2492"/>
          </w:tcPr>
          <w:p>
            <w:pPr>
              <w:pStyle w:val="null3"/>
            </w:pPr>
            <w:r>
              <w:rPr>
                <w:rFonts w:ascii="仿宋_GB2312" w:hAnsi="仿宋_GB2312" w:cs="仿宋_GB2312" w:eastAsia="仿宋_GB2312"/>
              </w:rPr>
              <w:t>一、评审内容 供应商针对本项目报告编制进行重难点分析。包括①重难点分析 ②对应解决方案。 二、评审标准 1、完整性：内容须全面，对评审内容中的各项要求描述详细； 2、可实施性：切合本项目实际情况，实施步骤清晰、合理； 3、针对性：能够紧扣项目实际情况，内容科学合理。 三、赋分依据 ①重难点分析：每完全满足一个评审标准得1分，每基本满足一个评审标准得0.5分，不满足或未提供不得分，满分3分； ②对应解决方案：每完全满足一个评审标准得1分，每基本满足一个评审标准得0.5分，不满足或未提供不得分，满分3分。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重难点分析.docx</w:t>
            </w:r>
          </w:p>
        </w:tc>
      </w:tr>
      <w:tr>
        <w:tc>
          <w:tcPr>
            <w:tcW w:type="dxa" w:w="831"/>
            <w:vMerge/>
          </w:tcPr>
          <w:p/>
        </w:tc>
        <w:tc>
          <w:tcPr>
            <w:tcW w:type="dxa" w:w="1661"/>
          </w:tcPr>
          <w:p>
            <w:pPr>
              <w:pStyle w:val="null3"/>
            </w:pPr>
            <w:r>
              <w:rPr>
                <w:rFonts w:ascii="仿宋_GB2312" w:hAnsi="仿宋_GB2312" w:cs="仿宋_GB2312" w:eastAsia="仿宋_GB2312"/>
              </w:rPr>
              <w:t>保密措施</w:t>
            </w:r>
          </w:p>
        </w:tc>
        <w:tc>
          <w:tcPr>
            <w:tcW w:type="dxa" w:w="2492"/>
          </w:tcPr>
          <w:p>
            <w:pPr>
              <w:pStyle w:val="null3"/>
            </w:pPr>
            <w:r>
              <w:rPr>
                <w:rFonts w:ascii="仿宋_GB2312" w:hAnsi="仿宋_GB2312" w:cs="仿宋_GB2312" w:eastAsia="仿宋_GB2312"/>
              </w:rPr>
              <w:t>一、评审内容 供应商针对本项目获悉的采购人相关信息制定完整可行的保密措施，具备完善的内部保密制度。包括①制度建设②保密措施。 二、评审标准 1、完整性：内容须全面，对评审内容中的各项要求描述详细； 2、可实施性：切合本项目实际情况，实施步骤清晰、合理； 3、针对性：能够紧扣项目实际情况，内容科学合理。 三、赋分依据 ①制度建设：每完全满足一个评审标准得1分，每基本满足一个评审标准得0.5分，不满足或未提供不得分，满分3分； ②保密措施：每完全满足一个评审标准得1分，每基本满足一个评审标准得0.5分，不满足或未提供不得分，满分3分。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保密措施.docx</w:t>
            </w:r>
          </w:p>
        </w:tc>
      </w:tr>
      <w:tr>
        <w:tc>
          <w:tcPr>
            <w:tcW w:type="dxa" w:w="831"/>
            <w:vMerge/>
          </w:tcPr>
          <w:p/>
        </w:tc>
        <w:tc>
          <w:tcPr>
            <w:tcW w:type="dxa" w:w="1661"/>
          </w:tcPr>
          <w:p>
            <w:pPr>
              <w:pStyle w:val="null3"/>
            </w:pPr>
            <w:r>
              <w:rPr>
                <w:rFonts w:ascii="仿宋_GB2312" w:hAnsi="仿宋_GB2312" w:cs="仿宋_GB2312" w:eastAsia="仿宋_GB2312"/>
              </w:rPr>
              <w:t>成果交付资料</w:t>
            </w:r>
          </w:p>
        </w:tc>
        <w:tc>
          <w:tcPr>
            <w:tcW w:type="dxa" w:w="2492"/>
          </w:tcPr>
          <w:p>
            <w:pPr>
              <w:pStyle w:val="null3"/>
            </w:pPr>
            <w:r>
              <w:rPr>
                <w:rFonts w:ascii="仿宋_GB2312" w:hAnsi="仿宋_GB2312" w:cs="仿宋_GB2312" w:eastAsia="仿宋_GB2312"/>
              </w:rPr>
              <w:t>一、评审内容 供应商提供针对本项目的成果交付资料应真实、有效，符合采购人要求。若未达到采购人标准，提供具体的改进措施。 二、评审标准 1、完整性：内容须全面，对评审内容中的各项要求描述详细； 2、可实施性：切合本项目实际情况，实施步骤清晰、合理； 3、针对性：能够紧扣项目实际情况，内容科学合理。 三、赋分依据 每完全满足一个评审标准得1分，每基本满足一个评审标准得0.5分，不满足或未提供不得分，满分3分。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成果交付资料.docx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1、项目团队服务人员在满足采购文件第三章“服务人员应不少于3人，且至少1人具有中级以上职称”的基础上每增加 1 人加 0.5 分，最高加 1.5 分；每增加1个中级以上职称人员加0.5分，最高加1.5分；本项满分3分。供应商需提供相关人员身份证、相关证书，加盖供应商公章。 2、项目团队人员应经验丰富，提供人员工作履历等证明材料，团队经验满足项目需求，资料完整计1分；未提供或资料不齐全或不满足项目需求均不得分。 3、供应商承诺，如若成交，服务团队人员不得随意更换。若因不可抗力因素，aa确需更换，要求至少提前7个工作日以书面形式通知采购人，并将拟更换的人员个人资料一并上报，经采购人审核同意后，方可更换。提供此承诺计1分，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人员配备.docx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供应商承诺①配合相关验收工作，达到有关主管部门审批要求，负责配合采购人将成果上报有关主管部门并获得批准通过。②服务成果的相关资料知识产权归采购人所有。 每提供上述一个承诺计1分，共2分。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服务承诺.docx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供应商从2023年1月1日以来（以合同签订日期为准）同类项目业绩，每提供一个1个计1分，最高得5分。 注：响应文件需要同时提供合同首页、服务内容页、盖章页复印件并加盖供应商公章，时间以合同签订时间为准，否则不得分。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tcPr>
          <w:p>
            <w:pPr>
              <w:pStyle w:val="null3"/>
            </w:pPr>
            <w:r>
              <w:rPr>
                <w:rFonts w:ascii="仿宋_GB2312" w:hAnsi="仿宋_GB2312" w:cs="仿宋_GB2312" w:eastAsia="仿宋_GB2312"/>
              </w:rPr>
              <w:t>价格评审</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有效供应商的最低报价（落实政府采购政策进行价格调整的，以调整后的价格计算）为基准价得30分，其他各供应商的报价得分按下列公式计算：（基准价/投标报价）×30％×100。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中小企业声明函</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详见附件：保密措施.docx</w:t>
      </w:r>
    </w:p>
    <w:p>
      <w:pPr>
        <w:pStyle w:val="null3"/>
        <w:ind w:firstLine="960"/>
      </w:pPr>
      <w:r>
        <w:rPr>
          <w:rFonts w:ascii="仿宋_GB2312" w:hAnsi="仿宋_GB2312" w:cs="仿宋_GB2312" w:eastAsia="仿宋_GB2312"/>
        </w:rPr>
        <w:t>详见附件：成果交付资料.docx</w:t>
      </w:r>
    </w:p>
    <w:p>
      <w:pPr>
        <w:pStyle w:val="null3"/>
        <w:ind w:firstLine="960"/>
      </w:pPr>
      <w:r>
        <w:rPr>
          <w:rFonts w:ascii="仿宋_GB2312" w:hAnsi="仿宋_GB2312" w:cs="仿宋_GB2312" w:eastAsia="仿宋_GB2312"/>
        </w:rPr>
        <w:t>详见附件：服务承诺.docx</w:t>
      </w:r>
    </w:p>
    <w:p>
      <w:pPr>
        <w:pStyle w:val="null3"/>
        <w:ind w:firstLine="960"/>
      </w:pPr>
      <w:r>
        <w:rPr>
          <w:rFonts w:ascii="仿宋_GB2312" w:hAnsi="仿宋_GB2312" w:cs="仿宋_GB2312" w:eastAsia="仿宋_GB2312"/>
        </w:rPr>
        <w:t>详见附件：服务响应.docx</w:t>
      </w:r>
    </w:p>
    <w:p>
      <w:pPr>
        <w:pStyle w:val="null3"/>
        <w:ind w:firstLine="960"/>
      </w:pPr>
      <w:r>
        <w:rPr>
          <w:rFonts w:ascii="仿宋_GB2312" w:hAnsi="仿宋_GB2312" w:cs="仿宋_GB2312" w:eastAsia="仿宋_GB2312"/>
        </w:rPr>
        <w:t>详见附件：工作流程.docx</w:t>
      </w:r>
    </w:p>
    <w:p>
      <w:pPr>
        <w:pStyle w:val="null3"/>
        <w:ind w:firstLine="960"/>
      </w:pPr>
      <w:r>
        <w:rPr>
          <w:rFonts w:ascii="仿宋_GB2312" w:hAnsi="仿宋_GB2312" w:cs="仿宋_GB2312" w:eastAsia="仿宋_GB2312"/>
        </w:rPr>
        <w:t>详见附件：进度保障.docx</w:t>
      </w:r>
    </w:p>
    <w:p>
      <w:pPr>
        <w:pStyle w:val="null3"/>
        <w:ind w:firstLine="960"/>
      </w:pPr>
      <w:r>
        <w:rPr>
          <w:rFonts w:ascii="仿宋_GB2312" w:hAnsi="仿宋_GB2312" w:cs="仿宋_GB2312" w:eastAsia="仿宋_GB2312"/>
        </w:rPr>
        <w:t>详见附件：人员配备.docx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详见附件：整体服务方案.docx</w:t>
      </w:r>
    </w:p>
    <w:p>
      <w:pPr>
        <w:pStyle w:val="null3"/>
        <w:ind w:firstLine="960"/>
      </w:pPr>
      <w:r>
        <w:rPr>
          <w:rFonts w:ascii="仿宋_GB2312" w:hAnsi="仿宋_GB2312" w:cs="仿宋_GB2312" w:eastAsia="仿宋_GB2312"/>
        </w:rPr>
        <w:t>详见附件：质量保障方案.docx</w:t>
      </w:r>
    </w:p>
    <w:p>
      <w:pPr>
        <w:pStyle w:val="null3"/>
        <w:ind w:firstLine="960"/>
      </w:pPr>
      <w:r>
        <w:rPr>
          <w:rFonts w:ascii="仿宋_GB2312" w:hAnsi="仿宋_GB2312" w:cs="仿宋_GB2312" w:eastAsia="仿宋_GB2312"/>
        </w:rPr>
        <w:t>详见附件：重难点分析.docx</w:t>
      </w:r>
    </w:p>
    <w:p>
      <w:pPr>
        <w:pStyle w:val="null3"/>
        <w:ind w:firstLine="960"/>
      </w:pPr>
      <w:r>
        <w:rPr>
          <w:rFonts w:ascii="仿宋_GB2312" w:hAnsi="仿宋_GB2312" w:cs="仿宋_GB2312" w:eastAsia="仿宋_GB2312"/>
        </w:rPr>
        <w:t>详见附件：项目政策背景理解.docx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