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7946F">
      <w:pPr>
        <w:spacing w:line="580" w:lineRule="exact"/>
        <w:ind w:firstLine="723" w:firstLineChars="200"/>
        <w:jc w:val="center"/>
        <w:rPr>
          <w:rFonts w:hint="eastAsia"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拟签订的采购合同文本</w:t>
      </w:r>
    </w:p>
    <w:p w14:paraId="1E73821B">
      <w:pPr>
        <w:spacing w:line="580" w:lineRule="exact"/>
        <w:ind w:firstLine="560" w:firstLineChars="200"/>
        <w:jc w:val="center"/>
        <w:rPr>
          <w:rFonts w:hint="eastAsia" w:asciiTheme="majorEastAsia" w:hAnsiTheme="majorEastAsia" w:eastAsiaTheme="majorEastAsia" w:cstheme="majorEastAsia"/>
          <w:b w:val="0"/>
          <w:bCs w:val="0"/>
          <w:color w:val="auto"/>
          <w:sz w:val="28"/>
          <w:szCs w:val="28"/>
          <w:lang w:eastAsia="zh-CN"/>
        </w:rPr>
      </w:pPr>
      <w:r>
        <w:rPr>
          <w:rFonts w:hint="eastAsia" w:asciiTheme="majorEastAsia" w:hAnsiTheme="majorEastAsia" w:eastAsiaTheme="majorEastAsia" w:cstheme="majorEastAsia"/>
          <w:b w:val="0"/>
          <w:bCs w:val="0"/>
          <w:color w:val="auto"/>
          <w:sz w:val="28"/>
          <w:szCs w:val="28"/>
          <w:lang w:eastAsia="zh-CN"/>
        </w:rPr>
        <w:t>（</w:t>
      </w:r>
      <w:r>
        <w:rPr>
          <w:rFonts w:hint="eastAsia" w:asciiTheme="majorEastAsia" w:hAnsiTheme="majorEastAsia" w:eastAsiaTheme="majorEastAsia" w:cstheme="majorEastAsia"/>
          <w:b w:val="0"/>
          <w:bCs w:val="0"/>
          <w:color w:val="auto"/>
          <w:sz w:val="28"/>
          <w:szCs w:val="28"/>
          <w:lang w:val="en-US" w:eastAsia="zh-CN"/>
        </w:rPr>
        <w:t>参考格式，以双方最终签订协议为准。</w:t>
      </w:r>
      <w:r>
        <w:rPr>
          <w:rFonts w:hint="eastAsia" w:asciiTheme="majorEastAsia" w:hAnsiTheme="majorEastAsia" w:eastAsiaTheme="majorEastAsia" w:cstheme="majorEastAsia"/>
          <w:b w:val="0"/>
          <w:bCs w:val="0"/>
          <w:color w:val="auto"/>
          <w:sz w:val="28"/>
          <w:szCs w:val="28"/>
          <w:lang w:eastAsia="zh-CN"/>
        </w:rPr>
        <w:t>）</w:t>
      </w:r>
    </w:p>
    <w:p w14:paraId="4C18FAB5">
      <w:pPr>
        <w:pStyle w:val="7"/>
        <w:spacing w:before="240" w:beforeLines="100" w:line="360" w:lineRule="auto"/>
        <w:ind w:firstLine="420"/>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 xml:space="preserve">合同编号： </w:t>
      </w:r>
    </w:p>
    <w:p w14:paraId="02EE789C">
      <w:pPr>
        <w:pStyle w:val="7"/>
        <w:spacing w:line="360" w:lineRule="auto"/>
        <w:ind w:firstLine="420"/>
        <w:rPr>
          <w:rFonts w:hint="eastAsia" w:asciiTheme="majorEastAsia" w:hAnsiTheme="majorEastAsia" w:eastAsiaTheme="majorEastAsia" w:cstheme="majorEastAsia"/>
          <w:color w:val="auto"/>
          <w:kern w:val="2"/>
          <w:sz w:val="24"/>
          <w:szCs w:val="24"/>
          <w:lang w:val="en-US" w:eastAsia="zh-CN" w:bidi="ar-SA"/>
        </w:rPr>
      </w:pPr>
      <w:r>
        <w:rPr>
          <w:rFonts w:hint="eastAsia" w:asciiTheme="majorEastAsia" w:hAnsiTheme="majorEastAsia" w:eastAsiaTheme="majorEastAsia" w:cstheme="majorEastAsia"/>
          <w:color w:val="auto"/>
          <w:kern w:val="2"/>
          <w:sz w:val="24"/>
          <w:szCs w:val="24"/>
          <w:lang w:val="en-US" w:eastAsia="zh-CN" w:bidi="ar-SA"/>
        </w:rPr>
        <w:t xml:space="preserve">签订地点： </w:t>
      </w:r>
    </w:p>
    <w:p w14:paraId="2B12B382">
      <w:pPr>
        <w:pStyle w:val="7"/>
        <w:spacing w:line="360" w:lineRule="auto"/>
        <w:ind w:firstLine="42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kern w:val="2"/>
          <w:sz w:val="24"/>
          <w:szCs w:val="24"/>
          <w:lang w:val="en-US" w:eastAsia="zh-CN" w:bidi="ar-SA"/>
        </w:rPr>
        <w:t>签订时间:</w:t>
      </w:r>
    </w:p>
    <w:p w14:paraId="7A39AAF6">
      <w:pPr>
        <w:spacing w:line="580" w:lineRule="exact"/>
        <w:ind w:firstLine="480" w:firstLineChars="200"/>
        <w:rPr>
          <w:rFonts w:hint="eastAsia" w:asciiTheme="majorEastAsia" w:hAnsiTheme="majorEastAsia" w:eastAsiaTheme="majorEastAsia" w:cstheme="majorEastAsia"/>
          <w:color w:val="auto"/>
          <w:sz w:val="24"/>
          <w:szCs w:val="24"/>
        </w:rPr>
      </w:pPr>
    </w:p>
    <w:p w14:paraId="7DAEF421">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甲方 ：</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u w:val="single"/>
          <w:lang w:val="en-US" w:eastAsia="zh-CN"/>
        </w:rPr>
        <w:t>陕西省中医医院</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rPr>
        <w:t xml:space="preserve">   </w:t>
      </w:r>
    </w:p>
    <w:p w14:paraId="158AE245">
      <w:pPr>
        <w:spacing w:line="580" w:lineRule="exact"/>
        <w:ind w:firstLine="480" w:firstLineChars="200"/>
        <w:rPr>
          <w:rFonts w:hint="eastAsia" w:asciiTheme="majorEastAsia" w:hAnsiTheme="majorEastAsia" w:eastAsiaTheme="majorEastAsia" w:cstheme="majorEastAsia"/>
          <w:color w:val="auto"/>
          <w:sz w:val="24"/>
          <w:szCs w:val="24"/>
          <w:u w:val="single"/>
          <w:lang w:val="en-US"/>
        </w:rPr>
      </w:pPr>
      <w:r>
        <w:rPr>
          <w:rFonts w:hint="eastAsia" w:asciiTheme="majorEastAsia" w:hAnsiTheme="majorEastAsia" w:eastAsiaTheme="majorEastAsia" w:cstheme="majorEastAsia"/>
          <w:color w:val="auto"/>
          <w:sz w:val="24"/>
          <w:szCs w:val="24"/>
        </w:rPr>
        <w:t>乙方：</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u w:val="single"/>
        </w:rPr>
        <w:t xml:space="preserve"> </w:t>
      </w:r>
      <w:r>
        <w:rPr>
          <w:rFonts w:hint="eastAsia" w:asciiTheme="majorEastAsia" w:hAnsiTheme="majorEastAsia" w:eastAsiaTheme="majorEastAsia" w:cstheme="majorEastAsia"/>
          <w:color w:val="auto"/>
          <w:sz w:val="24"/>
          <w:szCs w:val="24"/>
          <w:u w:val="single"/>
          <w:lang w:val="en-US" w:eastAsia="zh-CN"/>
        </w:rPr>
        <w:t xml:space="preserve">中标人 </w:t>
      </w:r>
    </w:p>
    <w:p w14:paraId="5A1D2129">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为保障甲乙双方合法权益，规范药品饮片采购、配送与结算，并以契约形式明确双方的职责和义务，根据《中华人民共和国政府采购法》</w:t>
      </w:r>
      <w:r>
        <w:rPr>
          <w:rFonts w:hint="eastAsia" w:asciiTheme="majorEastAsia" w:hAnsiTheme="majorEastAsia" w:eastAsiaTheme="majorEastAsia" w:cstheme="majorEastAsia"/>
          <w:color w:val="auto"/>
          <w:sz w:val="24"/>
          <w:szCs w:val="24"/>
          <w:lang w:val="en-US" w:eastAsia="zh-CN"/>
        </w:rPr>
        <w:t>及其实施条例</w:t>
      </w:r>
      <w:r>
        <w:rPr>
          <w:rFonts w:hint="eastAsia" w:asciiTheme="majorEastAsia" w:hAnsiTheme="majorEastAsia" w:eastAsiaTheme="majorEastAsia" w:cstheme="majorEastAsia"/>
          <w:color w:val="auto"/>
          <w:sz w:val="24"/>
          <w:szCs w:val="24"/>
        </w:rPr>
        <w:t>、《中华人民共和国民法典》</w:t>
      </w:r>
      <w:r>
        <w:rPr>
          <w:rFonts w:hint="eastAsia" w:asciiTheme="majorEastAsia" w:hAnsiTheme="majorEastAsia" w:eastAsiaTheme="majorEastAsia" w:cstheme="majorEastAsia"/>
          <w:color w:val="auto"/>
          <w:sz w:val="24"/>
          <w:szCs w:val="24"/>
          <w:lang w:val="en-US" w:eastAsia="zh-CN"/>
        </w:rPr>
        <w:t>以及</w:t>
      </w:r>
      <w:r>
        <w:rPr>
          <w:rFonts w:hint="eastAsia" w:asciiTheme="majorEastAsia" w:hAnsiTheme="majorEastAsia" w:eastAsiaTheme="majorEastAsia" w:cstheme="majorEastAsia"/>
          <w:color w:val="auto"/>
          <w:sz w:val="24"/>
          <w:szCs w:val="24"/>
        </w:rPr>
        <w:t>甲方</w:t>
      </w:r>
      <w:r>
        <w:rPr>
          <w:rFonts w:hint="eastAsia" w:asciiTheme="majorEastAsia" w:hAnsiTheme="majorEastAsia" w:eastAsiaTheme="majorEastAsia" w:cstheme="majorEastAsia"/>
          <w:color w:val="auto"/>
          <w:sz w:val="24"/>
          <w:szCs w:val="24"/>
          <w:u w:val="single"/>
        </w:rPr>
        <w:t xml:space="preserve"> 陕西省中医医院制剂中药饮片招标采购项目C</w:t>
      </w:r>
      <w:r>
        <w:rPr>
          <w:rFonts w:hint="eastAsia" w:asciiTheme="majorEastAsia" w:hAnsiTheme="majorEastAsia" w:eastAsiaTheme="majorEastAsia" w:cstheme="majorEastAsia"/>
          <w:color w:val="auto"/>
          <w:sz w:val="24"/>
          <w:szCs w:val="24"/>
          <w:u w:val="single"/>
          <w:lang w:val="en-US" w:eastAsia="zh-CN"/>
        </w:rPr>
        <w:t>(二次）</w:t>
      </w:r>
      <w:r>
        <w:rPr>
          <w:rFonts w:hint="eastAsia" w:asciiTheme="majorEastAsia" w:hAnsiTheme="majorEastAsia" w:eastAsiaTheme="majorEastAsia" w:cstheme="majorEastAsia"/>
          <w:color w:val="auto"/>
          <w:sz w:val="24"/>
          <w:szCs w:val="24"/>
          <w:u w:val="single"/>
        </w:rPr>
        <w:t>（项目编号：YC25101034(CGP)</w:t>
      </w:r>
      <w:r>
        <w:rPr>
          <w:rFonts w:hint="eastAsia" w:asciiTheme="majorEastAsia" w:hAnsiTheme="majorEastAsia" w:eastAsiaTheme="majorEastAsia" w:cstheme="majorEastAsia"/>
          <w:color w:val="auto"/>
          <w:sz w:val="24"/>
          <w:szCs w:val="24"/>
          <w:u w:val="single"/>
          <w:lang w:val="en-US" w:eastAsia="zh-CN"/>
        </w:rPr>
        <w:t>-2</w:t>
      </w:r>
      <w:r>
        <w:rPr>
          <w:rFonts w:hint="eastAsia" w:asciiTheme="majorEastAsia" w:hAnsiTheme="majorEastAsia" w:eastAsiaTheme="majorEastAsia" w:cstheme="majorEastAsia"/>
          <w:color w:val="auto"/>
          <w:sz w:val="24"/>
          <w:szCs w:val="24"/>
          <w:u w:val="single"/>
        </w:rPr>
        <w:t>）</w:t>
      </w:r>
      <w:r>
        <w:rPr>
          <w:rFonts w:hint="eastAsia" w:asciiTheme="majorEastAsia" w:hAnsiTheme="majorEastAsia" w:eastAsiaTheme="majorEastAsia" w:cstheme="majorEastAsia"/>
          <w:color w:val="auto"/>
          <w:sz w:val="24"/>
          <w:szCs w:val="24"/>
        </w:rPr>
        <w:t>的招标文件、投标文件等有关规定等规定，在平等、自愿、协商的基础上，签订本合同</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并共同遵守如下条款。</w:t>
      </w:r>
    </w:p>
    <w:p w14:paraId="6D0DA12B">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第一条  合同内容</w:t>
      </w:r>
    </w:p>
    <w:tbl>
      <w:tblPr>
        <w:tblStyle w:val="5"/>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95"/>
        <w:gridCol w:w="1567"/>
        <w:gridCol w:w="1752"/>
        <w:gridCol w:w="3245"/>
        <w:gridCol w:w="1991"/>
      </w:tblGrid>
      <w:tr w14:paraId="77023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01" w:type="pct"/>
            <w:tcBorders>
              <w:top w:val="single" w:color="000000" w:sz="8" w:space="0"/>
              <w:left w:val="single" w:color="000000" w:sz="8" w:space="0"/>
              <w:bottom w:val="single" w:color="000000" w:sz="8" w:space="0"/>
              <w:right w:val="single" w:color="000000" w:sz="8" w:space="0"/>
            </w:tcBorders>
            <w:noWrap w:val="0"/>
            <w:vAlign w:val="center"/>
          </w:tcPr>
          <w:p w14:paraId="7A000CA1">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sz w:val="22"/>
                <w:szCs w:val="22"/>
                <w:u w:val="none"/>
              </w:rPr>
            </w:pPr>
            <w:r>
              <w:rPr>
                <w:rFonts w:hint="eastAsia" w:asciiTheme="majorEastAsia" w:hAnsiTheme="majorEastAsia" w:eastAsiaTheme="majorEastAsia" w:cstheme="majorEastAsia"/>
                <w:i w:val="0"/>
                <w:iCs w:val="0"/>
                <w:color w:val="auto"/>
                <w:kern w:val="0"/>
                <w:sz w:val="22"/>
                <w:szCs w:val="22"/>
                <w:u w:val="none"/>
                <w:lang w:val="en-US" w:eastAsia="zh-CN" w:bidi="ar"/>
              </w:rPr>
              <w:t>序号</w:t>
            </w:r>
          </w:p>
        </w:tc>
        <w:tc>
          <w:tcPr>
            <w:tcW w:w="787" w:type="pct"/>
            <w:tcBorders>
              <w:top w:val="single" w:color="000000" w:sz="8" w:space="0"/>
              <w:left w:val="single" w:color="000000" w:sz="8" w:space="0"/>
              <w:bottom w:val="single" w:color="000000" w:sz="8" w:space="0"/>
              <w:right w:val="single" w:color="000000" w:sz="8" w:space="0"/>
            </w:tcBorders>
            <w:noWrap w:val="0"/>
            <w:vAlign w:val="center"/>
          </w:tcPr>
          <w:p w14:paraId="2B4EA18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sz w:val="22"/>
                <w:szCs w:val="22"/>
                <w:u w:val="none"/>
              </w:rPr>
            </w:pPr>
            <w:r>
              <w:rPr>
                <w:rFonts w:hint="eastAsia" w:asciiTheme="majorEastAsia" w:hAnsiTheme="majorEastAsia" w:eastAsiaTheme="majorEastAsia" w:cstheme="majorEastAsia"/>
                <w:i w:val="0"/>
                <w:iCs w:val="0"/>
                <w:color w:val="auto"/>
                <w:kern w:val="0"/>
                <w:sz w:val="22"/>
                <w:szCs w:val="22"/>
                <w:u w:val="none"/>
                <w:lang w:val="en-US" w:eastAsia="zh-CN" w:bidi="ar"/>
              </w:rPr>
              <w:t>饮片名称</w:t>
            </w:r>
          </w:p>
        </w:tc>
        <w:tc>
          <w:tcPr>
            <w:tcW w:w="880" w:type="pct"/>
            <w:tcBorders>
              <w:top w:val="single" w:color="000000" w:sz="8" w:space="0"/>
              <w:left w:val="single" w:color="000000" w:sz="8" w:space="0"/>
              <w:bottom w:val="single" w:color="000000" w:sz="8" w:space="0"/>
              <w:right w:val="single" w:color="000000" w:sz="8" w:space="0"/>
            </w:tcBorders>
            <w:noWrap w:val="0"/>
            <w:vAlign w:val="center"/>
          </w:tcPr>
          <w:p w14:paraId="20C8934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sz w:val="22"/>
                <w:szCs w:val="22"/>
                <w:u w:val="none"/>
              </w:rPr>
            </w:pPr>
            <w:r>
              <w:rPr>
                <w:rFonts w:hint="eastAsia" w:asciiTheme="majorEastAsia" w:hAnsiTheme="majorEastAsia" w:eastAsiaTheme="majorEastAsia" w:cstheme="majorEastAsia"/>
                <w:i w:val="0"/>
                <w:iCs w:val="0"/>
                <w:color w:val="auto"/>
                <w:kern w:val="0"/>
                <w:sz w:val="22"/>
                <w:szCs w:val="22"/>
                <w:u w:val="none"/>
                <w:lang w:val="en-US" w:eastAsia="zh-CN" w:bidi="ar"/>
              </w:rPr>
              <w:t>规格</w:t>
            </w:r>
          </w:p>
        </w:tc>
        <w:tc>
          <w:tcPr>
            <w:tcW w:w="1630" w:type="pct"/>
            <w:tcBorders>
              <w:top w:val="single" w:color="000000" w:sz="8" w:space="0"/>
              <w:left w:val="single" w:color="000000" w:sz="8" w:space="0"/>
              <w:bottom w:val="single" w:color="000000" w:sz="8" w:space="0"/>
              <w:right w:val="single" w:color="000000" w:sz="8" w:space="0"/>
            </w:tcBorders>
            <w:noWrap w:val="0"/>
            <w:vAlign w:val="center"/>
          </w:tcPr>
          <w:p w14:paraId="523BEEB1">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sz w:val="22"/>
                <w:szCs w:val="22"/>
                <w:u w:val="none"/>
              </w:rPr>
            </w:pPr>
            <w:r>
              <w:rPr>
                <w:rFonts w:hint="eastAsia" w:asciiTheme="majorEastAsia" w:hAnsiTheme="majorEastAsia" w:eastAsiaTheme="majorEastAsia" w:cstheme="majorEastAsia"/>
                <w:i w:val="0"/>
                <w:iCs w:val="0"/>
                <w:color w:val="auto"/>
                <w:kern w:val="0"/>
                <w:sz w:val="22"/>
                <w:szCs w:val="22"/>
                <w:u w:val="none"/>
                <w:lang w:val="en-US" w:eastAsia="zh-CN" w:bidi="ar"/>
              </w:rPr>
              <w:t>产地</w:t>
            </w: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70DA5E44">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sz w:val="22"/>
                <w:szCs w:val="22"/>
                <w:u w:val="none"/>
              </w:rPr>
            </w:pPr>
            <w:r>
              <w:rPr>
                <w:rFonts w:hint="eastAsia" w:asciiTheme="majorEastAsia" w:hAnsiTheme="majorEastAsia" w:eastAsiaTheme="majorEastAsia" w:cstheme="majorEastAsia"/>
                <w:i w:val="0"/>
                <w:iCs w:val="0"/>
                <w:color w:val="auto"/>
                <w:kern w:val="0"/>
                <w:sz w:val="22"/>
                <w:szCs w:val="22"/>
                <w:u w:val="none"/>
                <w:lang w:val="en-US" w:eastAsia="zh-CN" w:bidi="ar"/>
              </w:rPr>
              <w:t>单价(元/kg)</w:t>
            </w:r>
          </w:p>
        </w:tc>
      </w:tr>
      <w:tr w14:paraId="1247D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01" w:type="pct"/>
            <w:tcBorders>
              <w:top w:val="single" w:color="000000" w:sz="8" w:space="0"/>
              <w:left w:val="single" w:color="000000" w:sz="8" w:space="0"/>
              <w:bottom w:val="single" w:color="000000" w:sz="8" w:space="0"/>
              <w:right w:val="single" w:color="000000" w:sz="8" w:space="0"/>
            </w:tcBorders>
            <w:noWrap w:val="0"/>
            <w:vAlign w:val="center"/>
          </w:tcPr>
          <w:p w14:paraId="2E50DB8D">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787" w:type="pct"/>
            <w:tcBorders>
              <w:top w:val="single" w:color="000000" w:sz="8" w:space="0"/>
              <w:left w:val="single" w:color="000000" w:sz="8" w:space="0"/>
              <w:bottom w:val="single" w:color="000000" w:sz="8" w:space="0"/>
              <w:right w:val="single" w:color="000000" w:sz="8" w:space="0"/>
            </w:tcBorders>
            <w:noWrap w:val="0"/>
            <w:vAlign w:val="center"/>
          </w:tcPr>
          <w:p w14:paraId="341CA4FE">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880" w:type="pct"/>
            <w:tcBorders>
              <w:top w:val="single" w:color="000000" w:sz="8" w:space="0"/>
              <w:left w:val="single" w:color="000000" w:sz="8" w:space="0"/>
              <w:bottom w:val="single" w:color="000000" w:sz="8" w:space="0"/>
              <w:right w:val="single" w:color="000000" w:sz="8" w:space="0"/>
            </w:tcBorders>
            <w:noWrap w:val="0"/>
            <w:vAlign w:val="center"/>
          </w:tcPr>
          <w:p w14:paraId="2DD34795">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630" w:type="pct"/>
            <w:tcBorders>
              <w:top w:val="single" w:color="000000" w:sz="8" w:space="0"/>
              <w:left w:val="single" w:color="000000" w:sz="8" w:space="0"/>
              <w:bottom w:val="single" w:color="000000" w:sz="8" w:space="0"/>
              <w:right w:val="single" w:color="000000" w:sz="8" w:space="0"/>
            </w:tcBorders>
            <w:noWrap w:val="0"/>
            <w:vAlign w:val="center"/>
          </w:tcPr>
          <w:p w14:paraId="5ABC8120">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1462D1C0">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r>
      <w:tr w14:paraId="44309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01" w:type="pct"/>
            <w:tcBorders>
              <w:top w:val="single" w:color="000000" w:sz="8" w:space="0"/>
              <w:left w:val="single" w:color="000000" w:sz="8" w:space="0"/>
              <w:bottom w:val="single" w:color="000000" w:sz="8" w:space="0"/>
              <w:right w:val="single" w:color="000000" w:sz="8" w:space="0"/>
            </w:tcBorders>
            <w:noWrap w:val="0"/>
            <w:vAlign w:val="center"/>
          </w:tcPr>
          <w:p w14:paraId="07841634">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787" w:type="pct"/>
            <w:tcBorders>
              <w:top w:val="single" w:color="000000" w:sz="8" w:space="0"/>
              <w:left w:val="single" w:color="000000" w:sz="8" w:space="0"/>
              <w:bottom w:val="single" w:color="000000" w:sz="8" w:space="0"/>
              <w:right w:val="single" w:color="000000" w:sz="8" w:space="0"/>
            </w:tcBorders>
            <w:noWrap w:val="0"/>
            <w:vAlign w:val="center"/>
          </w:tcPr>
          <w:p w14:paraId="65A537E2">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880" w:type="pct"/>
            <w:tcBorders>
              <w:top w:val="single" w:color="000000" w:sz="8" w:space="0"/>
              <w:left w:val="single" w:color="000000" w:sz="8" w:space="0"/>
              <w:bottom w:val="single" w:color="000000" w:sz="8" w:space="0"/>
              <w:right w:val="single" w:color="000000" w:sz="8" w:space="0"/>
            </w:tcBorders>
            <w:noWrap w:val="0"/>
            <w:vAlign w:val="center"/>
          </w:tcPr>
          <w:p w14:paraId="7BED1768">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630" w:type="pct"/>
            <w:tcBorders>
              <w:top w:val="single" w:color="000000" w:sz="8" w:space="0"/>
              <w:left w:val="single" w:color="000000" w:sz="8" w:space="0"/>
              <w:bottom w:val="single" w:color="000000" w:sz="8" w:space="0"/>
              <w:right w:val="single" w:color="000000" w:sz="8" w:space="0"/>
            </w:tcBorders>
            <w:noWrap w:val="0"/>
            <w:vAlign w:val="center"/>
          </w:tcPr>
          <w:p w14:paraId="3F034F2D">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3D4BF0C6">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r>
      <w:tr w14:paraId="1036C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01" w:type="pct"/>
            <w:tcBorders>
              <w:top w:val="single" w:color="000000" w:sz="8" w:space="0"/>
              <w:left w:val="single" w:color="000000" w:sz="8" w:space="0"/>
              <w:bottom w:val="single" w:color="000000" w:sz="8" w:space="0"/>
              <w:right w:val="single" w:color="000000" w:sz="8" w:space="0"/>
            </w:tcBorders>
            <w:noWrap w:val="0"/>
            <w:vAlign w:val="center"/>
          </w:tcPr>
          <w:p w14:paraId="7B8EA6B6">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787" w:type="pct"/>
            <w:tcBorders>
              <w:top w:val="single" w:color="000000" w:sz="8" w:space="0"/>
              <w:left w:val="single" w:color="000000" w:sz="8" w:space="0"/>
              <w:bottom w:val="single" w:color="000000" w:sz="8" w:space="0"/>
              <w:right w:val="single" w:color="000000" w:sz="8" w:space="0"/>
            </w:tcBorders>
            <w:noWrap w:val="0"/>
            <w:vAlign w:val="center"/>
          </w:tcPr>
          <w:p w14:paraId="62C37427">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880" w:type="pct"/>
            <w:tcBorders>
              <w:top w:val="single" w:color="000000" w:sz="8" w:space="0"/>
              <w:left w:val="single" w:color="000000" w:sz="8" w:space="0"/>
              <w:bottom w:val="single" w:color="000000" w:sz="8" w:space="0"/>
              <w:right w:val="single" w:color="000000" w:sz="8" w:space="0"/>
            </w:tcBorders>
            <w:noWrap w:val="0"/>
            <w:vAlign w:val="center"/>
          </w:tcPr>
          <w:p w14:paraId="0FEDE3F4">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630" w:type="pct"/>
            <w:tcBorders>
              <w:top w:val="single" w:color="000000" w:sz="8" w:space="0"/>
              <w:left w:val="single" w:color="000000" w:sz="8" w:space="0"/>
              <w:bottom w:val="single" w:color="000000" w:sz="8" w:space="0"/>
              <w:right w:val="single" w:color="000000" w:sz="8" w:space="0"/>
            </w:tcBorders>
            <w:noWrap w:val="0"/>
            <w:vAlign w:val="center"/>
          </w:tcPr>
          <w:p w14:paraId="2212A717">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2D58575E">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r>
      <w:tr w14:paraId="38AAA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01" w:type="pct"/>
            <w:tcBorders>
              <w:top w:val="single" w:color="000000" w:sz="8" w:space="0"/>
              <w:left w:val="single" w:color="000000" w:sz="8" w:space="0"/>
              <w:bottom w:val="single" w:color="000000" w:sz="8" w:space="0"/>
              <w:right w:val="single" w:color="000000" w:sz="8" w:space="0"/>
            </w:tcBorders>
            <w:noWrap w:val="0"/>
            <w:vAlign w:val="center"/>
          </w:tcPr>
          <w:p w14:paraId="1AD3BDD3">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787" w:type="pct"/>
            <w:tcBorders>
              <w:top w:val="single" w:color="000000" w:sz="8" w:space="0"/>
              <w:left w:val="single" w:color="000000" w:sz="8" w:space="0"/>
              <w:bottom w:val="single" w:color="000000" w:sz="8" w:space="0"/>
              <w:right w:val="single" w:color="000000" w:sz="8" w:space="0"/>
            </w:tcBorders>
            <w:noWrap w:val="0"/>
            <w:vAlign w:val="center"/>
          </w:tcPr>
          <w:p w14:paraId="7F07CA04">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880" w:type="pct"/>
            <w:tcBorders>
              <w:top w:val="single" w:color="000000" w:sz="8" w:space="0"/>
              <w:left w:val="single" w:color="000000" w:sz="8" w:space="0"/>
              <w:bottom w:val="single" w:color="000000" w:sz="8" w:space="0"/>
              <w:right w:val="single" w:color="000000" w:sz="8" w:space="0"/>
            </w:tcBorders>
            <w:noWrap w:val="0"/>
            <w:vAlign w:val="center"/>
          </w:tcPr>
          <w:p w14:paraId="130138F9">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630" w:type="pct"/>
            <w:tcBorders>
              <w:top w:val="single" w:color="000000" w:sz="8" w:space="0"/>
              <w:left w:val="single" w:color="000000" w:sz="8" w:space="0"/>
              <w:bottom w:val="single" w:color="000000" w:sz="8" w:space="0"/>
              <w:right w:val="single" w:color="000000" w:sz="8" w:space="0"/>
            </w:tcBorders>
            <w:noWrap w:val="0"/>
            <w:vAlign w:val="center"/>
          </w:tcPr>
          <w:p w14:paraId="3CB17DBB">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c>
          <w:tcPr>
            <w:tcW w:w="1000" w:type="pct"/>
            <w:tcBorders>
              <w:top w:val="single" w:color="000000" w:sz="8" w:space="0"/>
              <w:left w:val="single" w:color="000000" w:sz="8" w:space="0"/>
              <w:bottom w:val="single" w:color="000000" w:sz="8" w:space="0"/>
              <w:right w:val="single" w:color="000000" w:sz="8" w:space="0"/>
            </w:tcBorders>
            <w:noWrap w:val="0"/>
            <w:vAlign w:val="center"/>
          </w:tcPr>
          <w:p w14:paraId="0CCFA4CF">
            <w:pPr>
              <w:keepNext w:val="0"/>
              <w:keepLines w:val="0"/>
              <w:widowControl/>
              <w:suppressLineNumbers w:val="0"/>
              <w:jc w:val="left"/>
              <w:textAlignment w:val="center"/>
              <w:rPr>
                <w:rFonts w:hint="eastAsia" w:asciiTheme="majorEastAsia" w:hAnsiTheme="majorEastAsia" w:eastAsiaTheme="majorEastAsia" w:cstheme="majorEastAsia"/>
                <w:i w:val="0"/>
                <w:iCs w:val="0"/>
                <w:color w:val="auto"/>
                <w:kern w:val="0"/>
                <w:sz w:val="22"/>
                <w:szCs w:val="22"/>
                <w:u w:val="none"/>
                <w:lang w:val="en-US" w:eastAsia="zh-CN" w:bidi="ar"/>
              </w:rPr>
            </w:pPr>
          </w:p>
        </w:tc>
      </w:tr>
    </w:tbl>
    <w:p w14:paraId="4A3E985D">
      <w:pPr>
        <w:spacing w:line="295" w:lineRule="auto"/>
        <w:rPr>
          <w:rFonts w:hint="eastAsia" w:asciiTheme="majorEastAsia" w:hAnsiTheme="majorEastAsia" w:eastAsiaTheme="majorEastAsia" w:cstheme="majorEastAsia"/>
          <w:color w:val="auto"/>
          <w:sz w:val="21"/>
        </w:rPr>
      </w:pPr>
    </w:p>
    <w:p w14:paraId="5FCA5A24">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第二条 合同期限：</w:t>
      </w:r>
      <w:r>
        <w:rPr>
          <w:rFonts w:hint="eastAsia" w:asciiTheme="majorEastAsia" w:hAnsiTheme="majorEastAsia" w:eastAsiaTheme="majorEastAsia" w:cstheme="majorEastAsia"/>
          <w:color w:val="auto"/>
          <w:sz w:val="24"/>
          <w:szCs w:val="24"/>
          <w:lang w:val="en-US" w:eastAsia="zh-CN"/>
        </w:rPr>
        <w:t>自签订之日起1年</w:t>
      </w:r>
      <w:r>
        <w:rPr>
          <w:rFonts w:hint="eastAsia" w:asciiTheme="majorEastAsia" w:hAnsiTheme="majorEastAsia" w:eastAsiaTheme="majorEastAsia" w:cstheme="majorEastAsia"/>
          <w:snapToGrid/>
          <w:color w:val="auto"/>
          <w:kern w:val="2"/>
          <w:sz w:val="24"/>
          <w:szCs w:val="24"/>
          <w:highlight w:val="none"/>
          <w:lang w:val="en-US" w:eastAsia="zh-CN" w:bidi="ar-SA"/>
        </w:rPr>
        <w:t>。</w:t>
      </w:r>
    </w:p>
    <w:p w14:paraId="32663869">
      <w:pPr>
        <w:spacing w:line="580" w:lineRule="exact"/>
        <w:ind w:firstLine="475" w:firstLineChars="198"/>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第三条 购销方式</w:t>
      </w:r>
    </w:p>
    <w:p w14:paraId="4A42781B">
      <w:pPr>
        <w:spacing w:line="580" w:lineRule="exact"/>
        <w:ind w:firstLine="40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pacing w:val="-20"/>
          <w:sz w:val="24"/>
          <w:szCs w:val="24"/>
        </w:rPr>
        <w:t>（一）</w:t>
      </w:r>
      <w:r>
        <w:rPr>
          <w:rFonts w:hint="eastAsia" w:asciiTheme="majorEastAsia" w:hAnsiTheme="majorEastAsia" w:eastAsiaTheme="majorEastAsia" w:cstheme="majorEastAsia"/>
          <w:color w:val="auto"/>
          <w:spacing w:val="-10"/>
          <w:sz w:val="24"/>
          <w:szCs w:val="24"/>
        </w:rPr>
        <w:t>甲方通过政府</w:t>
      </w:r>
      <w:r>
        <w:rPr>
          <w:rFonts w:hint="eastAsia" w:asciiTheme="majorEastAsia" w:hAnsiTheme="majorEastAsia" w:eastAsiaTheme="majorEastAsia" w:cstheme="majorEastAsia"/>
          <w:color w:val="auto"/>
          <w:sz w:val="24"/>
          <w:szCs w:val="24"/>
        </w:rPr>
        <w:t>采购确定购买的药品。有下列情形之一的除外：</w:t>
      </w:r>
    </w:p>
    <w:p w14:paraId="041C8EC3">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1、因战争、自然灾害等，需进行紧急采购的；</w:t>
      </w:r>
    </w:p>
    <w:p w14:paraId="11E18FF0">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2、发生重大疫情、重大事故等，需进行紧急采购的；</w:t>
      </w:r>
    </w:p>
    <w:p w14:paraId="5669F2EE">
      <w:pPr>
        <w:spacing w:line="58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3、国务院、省级人民政府另有规定的。</w:t>
      </w:r>
    </w:p>
    <w:p w14:paraId="2DCA4C9D">
      <w:pPr>
        <w:spacing w:line="580" w:lineRule="exact"/>
        <w:ind w:firstLine="480" w:firstLineChars="200"/>
        <w:rPr>
          <w:rFonts w:hint="eastAsia" w:asciiTheme="majorEastAsia" w:hAnsiTheme="majorEastAsia" w:eastAsiaTheme="majorEastAsia" w:cstheme="majorEastAsia"/>
          <w:color w:val="auto"/>
          <w:sz w:val="24"/>
          <w:szCs w:val="24"/>
          <w:lang w:eastAsia="zh-CN"/>
        </w:rPr>
      </w:pPr>
      <w:r>
        <w:rPr>
          <w:rFonts w:hint="eastAsia" w:asciiTheme="majorEastAsia" w:hAnsiTheme="majorEastAsia" w:eastAsiaTheme="majorEastAsia" w:cstheme="majorEastAsia"/>
          <w:color w:val="auto"/>
          <w:sz w:val="24"/>
          <w:szCs w:val="24"/>
        </w:rPr>
        <w:t>（二）甲方将定单发送给乙方，乙方确认订单并按照约定配送药品。甲乙双方确认的订单为本合同的重要组成部分。</w:t>
      </w:r>
    </w:p>
    <w:p w14:paraId="2E5DAEFF">
      <w:pPr>
        <w:spacing w:line="58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甲方指定联系人：</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lang w:val="en-US" w:eastAsia="zh-CN"/>
        </w:rPr>
        <w:t xml:space="preserve">电话 </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lang w:val="en-US" w:eastAsia="zh-CN"/>
        </w:rPr>
        <w:t>；</w:t>
      </w:r>
    </w:p>
    <w:p w14:paraId="63B51A01">
      <w:pPr>
        <w:spacing w:line="58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乙方指定联系人：</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lang w:val="en-US" w:eastAsia="zh-CN"/>
        </w:rPr>
        <w:t xml:space="preserve">电话 </w:t>
      </w:r>
      <w:r>
        <w:rPr>
          <w:rFonts w:hint="eastAsia" w:asciiTheme="majorEastAsia" w:hAnsiTheme="majorEastAsia" w:eastAsiaTheme="majorEastAsia" w:cstheme="majorEastAsia"/>
          <w:color w:val="auto"/>
          <w:sz w:val="24"/>
          <w:szCs w:val="24"/>
          <w:u w:val="single"/>
          <w:lang w:val="en-US" w:eastAsia="zh-CN"/>
        </w:rPr>
        <w:t xml:space="preserve">             </w:t>
      </w:r>
      <w:r>
        <w:rPr>
          <w:rFonts w:hint="eastAsia" w:asciiTheme="majorEastAsia" w:hAnsiTheme="majorEastAsia" w:eastAsiaTheme="majorEastAsia" w:cstheme="majorEastAsia"/>
          <w:color w:val="auto"/>
          <w:sz w:val="24"/>
          <w:szCs w:val="24"/>
          <w:lang w:val="en-US" w:eastAsia="zh-CN"/>
        </w:rPr>
        <w:t>。</w:t>
      </w:r>
    </w:p>
    <w:p w14:paraId="67228735">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（三）甲方收到乙方配送的药品，经验收合格后进行确认，并按约定方式及时间向乙方付款。</w:t>
      </w:r>
    </w:p>
    <w:p w14:paraId="6C286BD9">
      <w:pPr>
        <w:spacing w:line="560" w:lineRule="exact"/>
        <w:ind w:firstLine="475" w:firstLineChars="198"/>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四</w:t>
      </w:r>
      <w:r>
        <w:rPr>
          <w:rFonts w:hint="eastAsia" w:asciiTheme="majorEastAsia" w:hAnsiTheme="majorEastAsia" w:eastAsiaTheme="majorEastAsia" w:cstheme="majorEastAsia"/>
          <w:color w:val="auto"/>
          <w:sz w:val="24"/>
          <w:szCs w:val="24"/>
        </w:rPr>
        <w:t>条  质量要求</w:t>
      </w:r>
    </w:p>
    <w:p w14:paraId="741CEBCE">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（一）乙方应按照《药品生产质量管理规范》要求，建立药品质量管理体系，设置质量管理机构，制定质量管理制度，对配送药品质量负全责。</w:t>
      </w:r>
    </w:p>
    <w:p w14:paraId="737AFFAD">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（二）乙方提供的药品必须符合国家药品质量标准和有关要求，并提供其配送药品的合法有效证件。乙方提供的中药饮片必须符合《中华人民共和国药典》（</w:t>
      </w:r>
      <w:r>
        <w:rPr>
          <w:rFonts w:hint="eastAsia" w:asciiTheme="majorEastAsia" w:hAnsiTheme="majorEastAsia" w:eastAsiaTheme="majorEastAsia" w:cstheme="majorEastAsia"/>
          <w:color w:val="auto"/>
          <w:sz w:val="24"/>
          <w:szCs w:val="24"/>
          <w:lang w:eastAsia="zh-CN"/>
        </w:rPr>
        <w:t>现行</w:t>
      </w:r>
      <w:r>
        <w:rPr>
          <w:rFonts w:hint="eastAsia" w:asciiTheme="majorEastAsia" w:hAnsiTheme="majorEastAsia" w:eastAsiaTheme="majorEastAsia" w:cstheme="majorEastAsia"/>
          <w:color w:val="auto"/>
          <w:sz w:val="24"/>
          <w:szCs w:val="24"/>
        </w:rPr>
        <w:t>版）、省级中药材标准或地方炮制规范及招标文件规定的技术参数与性能指标等其他相关的中药饮片标准，经检验质量合格。应随货附加盖乙方单位公章的检验报告书（按要求全检），对特许生产和经营的中药饮片应符合国家相关文件要求。</w:t>
      </w:r>
    </w:p>
    <w:p w14:paraId="6168BB0D">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（三）乙方应当确保与甲方成交的药品，不存在第三方提出的侵犯其专利权、商标权或保护期、以及侵犯第三方权利的其他情形。</w:t>
      </w:r>
    </w:p>
    <w:p w14:paraId="4CFFFC37">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（四）如遇第三方查扣或抽检，乙方对查扣或抽检药品负全责。</w:t>
      </w:r>
    </w:p>
    <w:p w14:paraId="1C8AD6A7">
      <w:pPr>
        <w:spacing w:line="560" w:lineRule="exact"/>
        <w:ind w:firstLine="475" w:firstLineChars="198"/>
        <w:rPr>
          <w:rFonts w:hint="default"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五）药品有效期≥9个月。</w:t>
      </w:r>
    </w:p>
    <w:p w14:paraId="49A3E88A">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五</w:t>
      </w:r>
      <w:r>
        <w:rPr>
          <w:rFonts w:hint="eastAsia" w:asciiTheme="majorEastAsia" w:hAnsiTheme="majorEastAsia" w:eastAsiaTheme="majorEastAsia" w:cstheme="majorEastAsia"/>
          <w:color w:val="auto"/>
          <w:sz w:val="24"/>
          <w:szCs w:val="24"/>
        </w:rPr>
        <w:t>条 药品包装标准</w:t>
      </w:r>
      <w:r>
        <w:rPr>
          <w:rFonts w:hint="eastAsia" w:asciiTheme="majorEastAsia" w:hAnsiTheme="majorEastAsia" w:eastAsiaTheme="majorEastAsia" w:cstheme="majorEastAsia"/>
          <w:color w:val="auto"/>
          <w:sz w:val="24"/>
          <w:szCs w:val="24"/>
          <w:lang w:val="zh-CN"/>
        </w:rPr>
        <w:t xml:space="preserve"> </w:t>
      </w:r>
    </w:p>
    <w:p w14:paraId="7CD34BC4">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（一）除非对包装另有规定，乙方提供全部药品应按国家标准保护措施进行包装，防止药品在转运中损坏或变质，确保药品安全无损运抵指定地点。</w:t>
      </w:r>
    </w:p>
    <w:p w14:paraId="259E8DB2">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（二）包装标记和包装箱内外的单据应符合相关要求。所供应的中药饮片的包装及包装材料必须符合国家有关规定的要求，</w:t>
      </w:r>
      <w:r>
        <w:rPr>
          <w:rFonts w:hint="eastAsia" w:asciiTheme="majorEastAsia" w:hAnsiTheme="majorEastAsia" w:eastAsiaTheme="majorEastAsia" w:cstheme="majorEastAsia"/>
          <w:color w:val="auto"/>
          <w:sz w:val="24"/>
          <w:szCs w:val="24"/>
          <w:lang w:eastAsia="zh-CN"/>
        </w:rPr>
        <w:t>并与甲方协商按照甲方要求制定包装规格，</w:t>
      </w:r>
      <w:r>
        <w:rPr>
          <w:rFonts w:hint="eastAsia" w:asciiTheme="majorEastAsia" w:hAnsiTheme="majorEastAsia" w:eastAsiaTheme="majorEastAsia" w:cstheme="majorEastAsia"/>
          <w:color w:val="auto"/>
          <w:sz w:val="24"/>
          <w:szCs w:val="24"/>
        </w:rPr>
        <w:t>且产品外包装标签上必须标示有品名、规格、产地、等级、生产企业、执行标准、生产批号、生产日期并附质量合格标志。</w:t>
      </w:r>
    </w:p>
    <w:p w14:paraId="609070D9">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三）</w:t>
      </w:r>
      <w:r>
        <w:rPr>
          <w:rFonts w:hint="eastAsia" w:asciiTheme="majorEastAsia" w:hAnsiTheme="majorEastAsia" w:eastAsiaTheme="majorEastAsia" w:cstheme="majorEastAsia"/>
          <w:color w:val="auto"/>
          <w:sz w:val="24"/>
          <w:szCs w:val="24"/>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Theme="majorEastAsia" w:hAnsiTheme="majorEastAsia" w:eastAsiaTheme="majorEastAsia" w:cstheme="majorEastAsia"/>
          <w:color w:val="auto"/>
          <w:sz w:val="24"/>
          <w:szCs w:val="24"/>
          <w:lang w:eastAsia="zh-CN"/>
        </w:rPr>
        <w:t>。</w:t>
      </w:r>
    </w:p>
    <w:p w14:paraId="3101629E">
      <w:pPr>
        <w:spacing w:line="560" w:lineRule="exact"/>
        <w:ind w:firstLine="475" w:firstLineChars="198"/>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六</w:t>
      </w:r>
      <w:r>
        <w:rPr>
          <w:rFonts w:hint="eastAsia" w:asciiTheme="majorEastAsia" w:hAnsiTheme="majorEastAsia" w:eastAsiaTheme="majorEastAsia" w:cstheme="majorEastAsia"/>
          <w:color w:val="auto"/>
          <w:sz w:val="24"/>
          <w:szCs w:val="24"/>
        </w:rPr>
        <w:t>条 药品验收管理</w:t>
      </w:r>
    </w:p>
    <w:p w14:paraId="6944ADBA">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一）甲方（采购人）在接收饮片时，应对饮片数量及质量进行严格的验收确认，以确保饮片安全有效；投标时投标人提供的样品作为该企业供货质量的比对依据，且作为供货验收的唯一性状鉴别标准，对不符合质量要求的，甲方有权拒绝接收，乙方（中标人）应在3天内进行更换、补充、并不得影响甲方的临床用药。否则，甲方有权终止合同并要求乙方对其所造成的损失进行赔偿。</w:t>
      </w:r>
    </w:p>
    <w:p w14:paraId="6C459A53">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二）甲方设有中药饮片质量控制小组，会定期对饮片进行全面质量检查。发现乙方配送假药一次者，则取消其配送资格，并报送当地食品药品监督管理局；单品种二次配送不合格者，取消其该品种的配送资格三个月。同品种三次出现不合格者，取消其配送资格。</w:t>
      </w:r>
    </w:p>
    <w:p w14:paraId="24478AB2">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三）如果甲方在临床使用中发现药品不符合质量要求（含出现严重的临床、反应时），需要进行药品质量检验，应及时以书面形式把质量检验要求通知乙方。如果检验证明药品存在质量问题，则检验费用由乙方承担，乙方应在3天内进行更换、并不得影响甲方的临床用药。否则，甲方有权终止合同并要求乙方对其所造成的损失进行赔偿。药品质量检验在甲方所在地药检部门进行。</w:t>
      </w:r>
    </w:p>
    <w:p w14:paraId="7427F674">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四）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w:t>
      </w:r>
    </w:p>
    <w:p w14:paraId="52916FBC">
      <w:pPr>
        <w:spacing w:line="560" w:lineRule="exact"/>
        <w:ind w:firstLine="475" w:firstLineChars="198"/>
        <w:rPr>
          <w:rFonts w:hint="default" w:asciiTheme="majorEastAsia" w:hAnsiTheme="majorEastAsia" w:eastAsiaTheme="majorEastAsia" w:cstheme="majorEastAsia"/>
          <w:color w:val="auto"/>
          <w:sz w:val="24"/>
          <w:szCs w:val="24"/>
          <w:highlight w:val="yellow"/>
          <w:lang w:val="en-US" w:eastAsia="zh-CN"/>
        </w:rPr>
      </w:pPr>
      <w:r>
        <w:rPr>
          <w:rFonts w:hint="eastAsia" w:asciiTheme="majorEastAsia" w:hAnsiTheme="majorEastAsia" w:eastAsiaTheme="majorEastAsia" w:cstheme="majorEastAsia"/>
          <w:color w:val="auto"/>
          <w:sz w:val="24"/>
          <w:szCs w:val="24"/>
          <w:highlight w:val="none"/>
          <w:lang w:eastAsia="zh-CN"/>
        </w:rPr>
        <w:t>（</w:t>
      </w:r>
      <w:r>
        <w:rPr>
          <w:rFonts w:hint="eastAsia" w:asciiTheme="majorEastAsia" w:hAnsiTheme="majorEastAsia" w:eastAsiaTheme="majorEastAsia" w:cstheme="majorEastAsia"/>
          <w:color w:val="auto"/>
          <w:sz w:val="24"/>
          <w:szCs w:val="24"/>
          <w:highlight w:val="none"/>
          <w:lang w:val="en-US" w:eastAsia="zh-CN"/>
        </w:rPr>
        <w:t>五）</w:t>
      </w:r>
      <w:bookmarkStart w:id="0" w:name="_GoBack"/>
      <w:r>
        <w:rPr>
          <w:rFonts w:hint="eastAsia" w:asciiTheme="majorEastAsia" w:hAnsiTheme="majorEastAsia" w:eastAsiaTheme="majorEastAsia" w:cstheme="majorEastAsia"/>
          <w:color w:val="auto"/>
          <w:sz w:val="24"/>
          <w:szCs w:val="24"/>
          <w:highlight w:val="none"/>
          <w:lang w:val="en-US" w:eastAsia="zh-CN"/>
        </w:rPr>
        <w:t>若乙方供货时出现未按照招标文件（附件制剂中药</w:t>
      </w:r>
      <w:bookmarkEnd w:id="0"/>
      <w:r>
        <w:rPr>
          <w:rFonts w:hint="eastAsia" w:asciiTheme="majorEastAsia" w:hAnsiTheme="majorEastAsia" w:eastAsiaTheme="majorEastAsia" w:cstheme="majorEastAsia"/>
          <w:color w:val="auto"/>
          <w:sz w:val="24"/>
          <w:szCs w:val="24"/>
          <w:highlight w:val="none"/>
          <w:lang w:val="en-US" w:eastAsia="zh-CN"/>
        </w:rPr>
        <w:t>饮片项目C(二次）明细表）“说明”内容中的要求提供相关物种行政许可文件或饮片合法来源的渠道证明文件的情况，甲方有权拒绝收货，由此引发的不利后果及相应的法律责任全部由乙方承担。</w:t>
      </w:r>
    </w:p>
    <w:p w14:paraId="04B0008F">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七</w:t>
      </w:r>
      <w:r>
        <w:rPr>
          <w:rFonts w:hint="eastAsia" w:asciiTheme="majorEastAsia" w:hAnsiTheme="majorEastAsia" w:eastAsiaTheme="majorEastAsia" w:cstheme="majorEastAsia"/>
          <w:color w:val="auto"/>
          <w:sz w:val="24"/>
          <w:szCs w:val="24"/>
        </w:rPr>
        <w:t>条  交货时间及地点</w:t>
      </w:r>
      <w:r>
        <w:rPr>
          <w:rFonts w:hint="eastAsia" w:asciiTheme="majorEastAsia" w:hAnsiTheme="majorEastAsia" w:eastAsiaTheme="majorEastAsia" w:cstheme="majorEastAsia"/>
          <w:color w:val="auto"/>
          <w:sz w:val="24"/>
          <w:szCs w:val="24"/>
          <w:lang w:val="zh-CN"/>
        </w:rPr>
        <w:t xml:space="preserve"> </w:t>
      </w:r>
    </w:p>
    <w:p w14:paraId="63AF9B27">
      <w:pPr>
        <w:spacing w:line="560" w:lineRule="exact"/>
        <w:ind w:firstLine="480" w:firstLineChars="200"/>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rPr>
        <w:t>（一）</w:t>
      </w:r>
      <w:r>
        <w:rPr>
          <w:rFonts w:hint="eastAsia" w:asciiTheme="majorEastAsia" w:hAnsiTheme="majorEastAsia" w:eastAsiaTheme="majorEastAsia" w:cstheme="majorEastAsia"/>
          <w:color w:val="auto"/>
          <w:sz w:val="24"/>
          <w:szCs w:val="24"/>
          <w:highlight w:val="none"/>
          <w:lang w:val="en-US" w:eastAsia="zh-CN"/>
        </w:rPr>
        <w:t>交货时间：接到甲方通知后，5个工作日内完成交货。</w:t>
      </w:r>
    </w:p>
    <w:p w14:paraId="4D718E2F">
      <w:pPr>
        <w:spacing w:line="560" w:lineRule="exact"/>
        <w:ind w:firstLine="480" w:firstLineChars="200"/>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（二）交货地点：</w:t>
      </w:r>
      <w:r>
        <w:rPr>
          <w:rFonts w:hint="eastAsia" w:asciiTheme="majorEastAsia" w:hAnsiTheme="majorEastAsia" w:eastAsiaTheme="majorEastAsia" w:cstheme="majorEastAsia"/>
          <w:color w:val="auto"/>
          <w:sz w:val="24"/>
          <w:szCs w:val="24"/>
          <w:lang w:val="en-US" w:eastAsia="zh-CN"/>
        </w:rPr>
        <w:t>甲方指定的交货地点</w:t>
      </w:r>
      <w:r>
        <w:rPr>
          <w:rFonts w:hint="eastAsia" w:asciiTheme="majorEastAsia" w:hAnsiTheme="majorEastAsia" w:eastAsiaTheme="majorEastAsia" w:cstheme="majorEastAsia"/>
          <w:color w:val="auto"/>
          <w:sz w:val="24"/>
          <w:szCs w:val="24"/>
          <w:lang w:val="zh-CN"/>
        </w:rPr>
        <w:t xml:space="preserve"> </w:t>
      </w:r>
    </w:p>
    <w:p w14:paraId="6F5F42EE">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八</w:t>
      </w:r>
      <w:r>
        <w:rPr>
          <w:rFonts w:hint="eastAsia" w:asciiTheme="majorEastAsia" w:hAnsiTheme="majorEastAsia" w:eastAsiaTheme="majorEastAsia" w:cstheme="majorEastAsia"/>
          <w:color w:val="auto"/>
          <w:sz w:val="24"/>
          <w:szCs w:val="24"/>
        </w:rPr>
        <w:t>条  结算方式及时间</w:t>
      </w:r>
      <w:r>
        <w:rPr>
          <w:rFonts w:hint="eastAsia" w:asciiTheme="majorEastAsia" w:hAnsiTheme="majorEastAsia" w:eastAsiaTheme="majorEastAsia" w:cstheme="majorEastAsia"/>
          <w:color w:val="auto"/>
          <w:sz w:val="24"/>
          <w:szCs w:val="24"/>
          <w:lang w:val="zh-CN"/>
        </w:rPr>
        <w:t xml:space="preserve"> </w:t>
      </w:r>
    </w:p>
    <w:p w14:paraId="6842D04E">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 xml:space="preserve">（一）乙方应按有关要求向甲方提交对已交易药品的发票等相关单据，以及合同规定的其他义务已经履行的证明。 </w:t>
      </w:r>
    </w:p>
    <w:p w14:paraId="1B8A3A7E">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（二）乙方向甲方提供的发票和有关单据不得违反国家税务机关等相关部门的规定，否则甲方有权拒付相应货款，乙方承担由此给甲方带来的一切损失。</w:t>
      </w:r>
    </w:p>
    <w:p w14:paraId="50CCCC2B">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（三）甲方验货确认后，核对交易单据及明细无误后，在收到乙方正式发票之日起按约定方式和时间向乙方付款。</w:t>
      </w:r>
    </w:p>
    <w:p w14:paraId="44DE9D54">
      <w:pPr>
        <w:spacing w:line="560" w:lineRule="exact"/>
        <w:ind w:firstLine="480" w:firstLineChars="200"/>
        <w:rPr>
          <w:rFonts w:hint="eastAsia" w:asciiTheme="majorEastAsia" w:hAnsiTheme="majorEastAsia" w:eastAsiaTheme="majorEastAsia" w:cstheme="majorEastAsia"/>
          <w:color w:val="auto"/>
          <w:sz w:val="24"/>
          <w:szCs w:val="24"/>
          <w:lang w:val="zh-CN" w:eastAsia="zh-CN"/>
        </w:rPr>
      </w:pPr>
      <w:r>
        <w:rPr>
          <w:rFonts w:hint="eastAsia" w:asciiTheme="majorEastAsia" w:hAnsiTheme="majorEastAsia" w:eastAsiaTheme="majorEastAsia" w:cstheme="majorEastAsia"/>
          <w:color w:val="auto"/>
          <w:sz w:val="24"/>
          <w:szCs w:val="24"/>
          <w:lang w:val="en-US" w:eastAsia="zh-CN"/>
        </w:rPr>
        <w:t>（四）待饮片送达采购人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w:t>
      </w:r>
    </w:p>
    <w:p w14:paraId="2A7C0AA8">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九</w:t>
      </w:r>
      <w:r>
        <w:rPr>
          <w:rFonts w:hint="eastAsia" w:asciiTheme="majorEastAsia" w:hAnsiTheme="majorEastAsia" w:eastAsiaTheme="majorEastAsia" w:cstheme="majorEastAsia"/>
          <w:color w:val="auto"/>
          <w:sz w:val="24"/>
          <w:szCs w:val="24"/>
        </w:rPr>
        <w:t>条  合同解除条件及处理方式</w:t>
      </w:r>
      <w:r>
        <w:rPr>
          <w:rFonts w:hint="eastAsia" w:asciiTheme="majorEastAsia" w:hAnsiTheme="majorEastAsia" w:eastAsiaTheme="majorEastAsia" w:cstheme="majorEastAsia"/>
          <w:color w:val="auto"/>
          <w:sz w:val="24"/>
          <w:szCs w:val="24"/>
          <w:lang w:val="zh-CN"/>
        </w:rPr>
        <w:t xml:space="preserve"> </w:t>
      </w:r>
    </w:p>
    <w:p w14:paraId="4C6E552D">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（一）违约解除合同 </w:t>
      </w:r>
    </w:p>
    <w:p w14:paraId="4D9374A6">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发生下列情况，甲方可向乙方发出书面通知书，提出部分或全部解除合同。</w:t>
      </w:r>
    </w:p>
    <w:p w14:paraId="27423B42">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1、乙方未能在合同规定的限期或甲方同意延长的限期内提供部分或全部药品；</w:t>
      </w:r>
    </w:p>
    <w:p w14:paraId="4F57B78E">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2、乙方未能履行合同规定的义务；</w:t>
      </w:r>
    </w:p>
    <w:p w14:paraId="00C729E9">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3、乙方在本合同的实施过程中有违法、违规行为。 </w:t>
      </w:r>
    </w:p>
    <w:p w14:paraId="4F15A094">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（二）乙方破产终止合同</w:t>
      </w:r>
    </w:p>
    <w:p w14:paraId="5DA5418C">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如果乙方破产，甲方可在任何时候以书面形式通知乙方，提出终止合同而不给乙方补偿。该终止合同将不损害或影响甲方已经采取或将要采取的任何行动或补救措施的权利。</w:t>
      </w:r>
    </w:p>
    <w:p w14:paraId="6EAE3149">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rPr>
        <w:t>（三）</w:t>
      </w:r>
      <w:r>
        <w:rPr>
          <w:rFonts w:hint="eastAsia" w:asciiTheme="majorEastAsia" w:hAnsiTheme="majorEastAsia" w:eastAsiaTheme="majorEastAsia" w:cstheme="majorEastAsia"/>
          <w:color w:val="auto"/>
          <w:sz w:val="24"/>
          <w:szCs w:val="24"/>
          <w:lang w:val="en-US" w:eastAsia="zh-CN"/>
        </w:rPr>
        <w:t>甲方因实际需要向乙方发出书面解除通知后可解除合同。</w:t>
      </w:r>
    </w:p>
    <w:p w14:paraId="501EE8E9">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四</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解除合同后的处理方式</w:t>
      </w:r>
    </w:p>
    <w:p w14:paraId="6DEB041B">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甲方根据上述规定，甲方解除部分合同后，乙方需按照约定继续</w:t>
      </w:r>
      <w:r>
        <w:rPr>
          <w:rFonts w:hint="eastAsia" w:asciiTheme="majorEastAsia" w:hAnsiTheme="majorEastAsia" w:eastAsiaTheme="majorEastAsia" w:cstheme="majorEastAsia"/>
          <w:color w:val="auto"/>
          <w:sz w:val="24"/>
          <w:szCs w:val="24"/>
          <w:lang w:val="en-US" w:eastAsia="zh-CN"/>
        </w:rPr>
        <w:t>履</w:t>
      </w:r>
      <w:r>
        <w:rPr>
          <w:rFonts w:hint="eastAsia" w:asciiTheme="majorEastAsia" w:hAnsiTheme="majorEastAsia" w:eastAsiaTheme="majorEastAsia" w:cstheme="majorEastAsia"/>
          <w:color w:val="auto"/>
          <w:sz w:val="24"/>
          <w:szCs w:val="24"/>
        </w:rPr>
        <w:t xml:space="preserve">行合同中未解除部分的义务。 </w:t>
      </w:r>
    </w:p>
    <w:p w14:paraId="7BEC622E">
      <w:pPr>
        <w:spacing w:line="560" w:lineRule="exact"/>
        <w:ind w:firstLine="475" w:firstLineChars="198"/>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十</w:t>
      </w:r>
      <w:r>
        <w:rPr>
          <w:rFonts w:hint="eastAsia" w:asciiTheme="majorEastAsia" w:hAnsiTheme="majorEastAsia" w:eastAsiaTheme="majorEastAsia" w:cstheme="majorEastAsia"/>
          <w:color w:val="auto"/>
          <w:sz w:val="24"/>
          <w:szCs w:val="24"/>
        </w:rPr>
        <w:t xml:space="preserve">条 违约责任 </w:t>
      </w:r>
    </w:p>
    <w:p w14:paraId="4FC44358">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zh-CN"/>
        </w:rPr>
        <w:t>（一）按《</w:t>
      </w:r>
      <w:r>
        <w:rPr>
          <w:rFonts w:hint="eastAsia" w:asciiTheme="majorEastAsia" w:hAnsiTheme="majorEastAsia" w:eastAsiaTheme="majorEastAsia" w:cstheme="majorEastAsia"/>
          <w:color w:val="auto"/>
          <w:sz w:val="24"/>
          <w:szCs w:val="24"/>
        </w:rPr>
        <w:t>中华人民共和国民法典</w:t>
      </w:r>
      <w:r>
        <w:rPr>
          <w:rFonts w:hint="eastAsia" w:asciiTheme="majorEastAsia" w:hAnsiTheme="majorEastAsia" w:eastAsiaTheme="majorEastAsia" w:cstheme="majorEastAsia"/>
          <w:color w:val="auto"/>
          <w:sz w:val="24"/>
          <w:szCs w:val="24"/>
          <w:lang w:val="zh-CN"/>
        </w:rPr>
        <w:t>》中的相关条款执行。乙方未按合同要求提供产品质量不能满足相关要求的，甲方有权解除合同，乙方按照</w:t>
      </w:r>
      <w:r>
        <w:rPr>
          <w:rFonts w:hint="eastAsia" w:asciiTheme="majorEastAsia" w:hAnsiTheme="majorEastAsia" w:eastAsiaTheme="majorEastAsia" w:cstheme="majorEastAsia"/>
          <w:color w:val="auto"/>
          <w:sz w:val="24"/>
          <w:szCs w:val="24"/>
        </w:rPr>
        <w:t>第</w:t>
      </w:r>
      <w:r>
        <w:rPr>
          <w:rFonts w:hint="eastAsia" w:asciiTheme="majorEastAsia" w:hAnsiTheme="majorEastAsia" w:eastAsiaTheme="majorEastAsia" w:cstheme="majorEastAsia"/>
          <w:color w:val="auto"/>
          <w:sz w:val="24"/>
          <w:szCs w:val="24"/>
          <w:lang w:val="en-US" w:eastAsia="zh-CN"/>
        </w:rPr>
        <w:t>六</w:t>
      </w:r>
      <w:r>
        <w:rPr>
          <w:rFonts w:hint="eastAsia" w:asciiTheme="majorEastAsia" w:hAnsiTheme="majorEastAsia" w:eastAsiaTheme="majorEastAsia" w:cstheme="majorEastAsia"/>
          <w:color w:val="auto"/>
          <w:sz w:val="24"/>
          <w:szCs w:val="24"/>
        </w:rPr>
        <w:t>条</w:t>
      </w:r>
      <w:r>
        <w:rPr>
          <w:rFonts w:hint="eastAsia" w:asciiTheme="majorEastAsia" w:hAnsiTheme="majorEastAsia" w:eastAsiaTheme="majorEastAsia" w:cstheme="majorEastAsia"/>
          <w:color w:val="auto"/>
          <w:sz w:val="24"/>
          <w:szCs w:val="24"/>
          <w:lang w:val="zh-CN"/>
        </w:rPr>
        <w:t>约定承担违约责任。</w:t>
      </w:r>
    </w:p>
    <w:p w14:paraId="36D8E65C">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zh-CN"/>
        </w:rPr>
        <w:t>（</w:t>
      </w:r>
      <w:r>
        <w:rPr>
          <w:rFonts w:hint="eastAsia" w:asciiTheme="majorEastAsia" w:hAnsiTheme="majorEastAsia" w:eastAsiaTheme="majorEastAsia" w:cstheme="majorEastAsia"/>
          <w:color w:val="auto"/>
          <w:sz w:val="24"/>
          <w:szCs w:val="24"/>
          <w:lang w:val="en-US" w:eastAsia="zh-CN"/>
        </w:rPr>
        <w:t>二）</w:t>
      </w:r>
      <w:r>
        <w:rPr>
          <w:rFonts w:hint="eastAsia" w:asciiTheme="majorEastAsia" w:hAnsiTheme="majorEastAsia" w:eastAsiaTheme="majorEastAsia" w:cstheme="majorEastAsia"/>
          <w:color w:val="auto"/>
          <w:sz w:val="24"/>
          <w:szCs w:val="24"/>
          <w:lang w:val="zh-CN"/>
        </w:rPr>
        <w:t>甲方及乙方双方必须遵守本合同并执行合同中的各项规定，保证本合同的正常履行。</w:t>
      </w:r>
    </w:p>
    <w:p w14:paraId="1C308614">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zh-CN"/>
        </w:rPr>
        <w:t>（</w:t>
      </w:r>
      <w:r>
        <w:rPr>
          <w:rFonts w:hint="eastAsia" w:asciiTheme="majorEastAsia" w:hAnsiTheme="majorEastAsia" w:eastAsiaTheme="majorEastAsia" w:cstheme="majorEastAsia"/>
          <w:color w:val="auto"/>
          <w:sz w:val="24"/>
          <w:szCs w:val="24"/>
          <w:lang w:val="en-US" w:eastAsia="zh-CN"/>
        </w:rPr>
        <w:t>三）</w:t>
      </w:r>
      <w:r>
        <w:rPr>
          <w:rFonts w:hint="eastAsia" w:asciiTheme="majorEastAsia" w:hAnsiTheme="majorEastAsia" w:eastAsiaTheme="majorEastAsia" w:cstheme="majorEastAsia"/>
          <w:color w:val="auto"/>
          <w:sz w:val="24"/>
          <w:szCs w:val="24"/>
          <w:lang w:val="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37DAC72">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zh-CN"/>
        </w:rPr>
        <w:t>（</w:t>
      </w:r>
      <w:r>
        <w:rPr>
          <w:rFonts w:hint="eastAsia" w:asciiTheme="majorEastAsia" w:hAnsiTheme="majorEastAsia" w:eastAsiaTheme="majorEastAsia" w:cstheme="majorEastAsia"/>
          <w:color w:val="auto"/>
          <w:sz w:val="24"/>
          <w:szCs w:val="24"/>
          <w:lang w:val="en-US" w:eastAsia="zh-CN"/>
        </w:rPr>
        <w:t>四</w:t>
      </w:r>
      <w:r>
        <w:rPr>
          <w:rFonts w:hint="eastAsia" w:asciiTheme="majorEastAsia" w:hAnsiTheme="majorEastAsia" w:eastAsiaTheme="majorEastAsia" w:cstheme="majorEastAsia"/>
          <w:color w:val="auto"/>
          <w:sz w:val="24"/>
          <w:szCs w:val="24"/>
          <w:lang w:val="zh-CN"/>
        </w:rPr>
        <w:t>）甲方发出订单通知后乙方拒绝供货的，乙方应向甲方支付拒绝供货部分货款</w:t>
      </w:r>
      <w:r>
        <w:rPr>
          <w:rFonts w:hint="eastAsia" w:asciiTheme="majorEastAsia" w:hAnsiTheme="majorEastAsia" w:eastAsiaTheme="majorEastAsia" w:cstheme="majorEastAsia"/>
          <w:color w:val="auto"/>
          <w:sz w:val="24"/>
          <w:szCs w:val="24"/>
          <w:lang w:val="en-US" w:eastAsia="zh-CN"/>
        </w:rPr>
        <w:t>2</w:t>
      </w:r>
      <w:r>
        <w:rPr>
          <w:rFonts w:hint="eastAsia" w:asciiTheme="majorEastAsia" w:hAnsiTheme="majorEastAsia" w:eastAsiaTheme="majorEastAsia" w:cstheme="majorEastAsia"/>
          <w:color w:val="auto"/>
          <w:sz w:val="24"/>
          <w:szCs w:val="24"/>
          <w:lang w:val="zh-CN"/>
        </w:rPr>
        <w:t>0%的违约金，还应继续履行供货义务，甲方因上述原因而通过其他途径购买药品所产生的费用及其他损失，乙方应按甲方的实际损失赔偿。</w:t>
      </w:r>
    </w:p>
    <w:p w14:paraId="374F96D4">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zh-CN"/>
        </w:rPr>
        <w:t>（</w:t>
      </w:r>
      <w:r>
        <w:rPr>
          <w:rFonts w:hint="eastAsia" w:asciiTheme="majorEastAsia" w:hAnsiTheme="majorEastAsia" w:eastAsiaTheme="majorEastAsia" w:cstheme="majorEastAsia"/>
          <w:color w:val="auto"/>
          <w:sz w:val="24"/>
          <w:szCs w:val="24"/>
          <w:lang w:val="en-US" w:eastAsia="zh-CN"/>
        </w:rPr>
        <w:t>五</w:t>
      </w:r>
      <w:r>
        <w:rPr>
          <w:rFonts w:hint="eastAsia" w:asciiTheme="majorEastAsia" w:hAnsiTheme="majorEastAsia" w:eastAsiaTheme="majorEastAsia" w:cstheme="majorEastAsia"/>
          <w:color w:val="auto"/>
          <w:sz w:val="24"/>
          <w:szCs w:val="24"/>
          <w:lang w:val="zh-CN"/>
        </w:rPr>
        <w:t>）乙方除不可抗力原因外逾期供货的，按逾期供货部分货款计算，每延误一周须向甲方支付5%的违约金，直至提供货物服务为止，一周按七天计算，不足七天按一周计算，违约金最高限额为合同总价的10%，一旦达到最高限额，甲方可以终止合同。</w:t>
      </w:r>
    </w:p>
    <w:p w14:paraId="620899AE">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（四）不可抗力违约的约定</w:t>
      </w:r>
    </w:p>
    <w:p w14:paraId="18BFE1BB">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1、本条所述的“不可抗力”是指受影响方无法控制、不可预见的事件，包括战争、严重火灾、洪水、台风、地震及其他三方认可的事件，不包括故意违约或疏忽。</w:t>
      </w:r>
    </w:p>
    <w:p w14:paraId="1AB0F089">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464F8E1D">
      <w:pPr>
        <w:tabs>
          <w:tab w:val="left" w:pos="5245"/>
        </w:tabs>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132F01F8">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一</w:t>
      </w:r>
      <w:r>
        <w:rPr>
          <w:rFonts w:hint="eastAsia" w:asciiTheme="majorEastAsia" w:hAnsiTheme="majorEastAsia" w:eastAsiaTheme="majorEastAsia" w:cstheme="majorEastAsia"/>
          <w:color w:val="auto"/>
          <w:sz w:val="24"/>
          <w:szCs w:val="24"/>
        </w:rPr>
        <w:t xml:space="preserve">条 合同争议解决方式 </w:t>
      </w:r>
    </w:p>
    <w:p w14:paraId="5AACC4D3">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一）</w:t>
      </w:r>
      <w:r>
        <w:rPr>
          <w:rFonts w:hint="eastAsia" w:asciiTheme="majorEastAsia" w:hAnsiTheme="majorEastAsia" w:eastAsiaTheme="majorEastAsia" w:cstheme="majorEastAsia"/>
          <w:color w:val="auto"/>
          <w:sz w:val="24"/>
          <w:szCs w:val="24"/>
        </w:rPr>
        <w:t>本合同在履行过程中发生违约行为或争议，由双方协商解决，30天内协商不成时，可依法向甲方所在地人民法院起诉。</w:t>
      </w:r>
    </w:p>
    <w:p w14:paraId="5FCB1C49">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 xml:space="preserve">（二）因中药饮片质量问题引起医疗事故或纠纷，视同严重违约并追究相关责任，同时由此造成的一切经济及法律责任由乙方负责。 </w:t>
      </w:r>
    </w:p>
    <w:p w14:paraId="15EA6F0E">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（三）乙方应按照国家有关法律、法规、规章和“三包”规定提供售后服务。售后服务及质保条件等不得低于国家和行业主管部门制定的有关标准。</w:t>
      </w:r>
    </w:p>
    <w:p w14:paraId="0492CB73">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lang w:val="en-US" w:eastAsia="zh-CN"/>
        </w:rPr>
        <w:t>（四）在合同执行期间，因国家政策发生变化，要求本项目采购标的部分或全部通过药品集中采购平台阳光采购、网上交易等采购的，按照国家及省市最新政策执行，本项目采购合同部分终止或全部自动终止；双方互不承担违约责任。</w:t>
      </w:r>
    </w:p>
    <w:p w14:paraId="42797702">
      <w:pPr>
        <w:spacing w:line="560" w:lineRule="exact"/>
        <w:ind w:firstLine="480" w:firstLineChars="200"/>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lang w:val="en-US" w:eastAsia="zh-CN"/>
        </w:rPr>
        <w:t>（五）总价已包含应向知识产权所有权人支付的所有相关税费，并保证甲方在中国使用乙方提供的货物时，如有第三方提出侵犯其知识产权主张的，责任由乙方承担。</w:t>
      </w:r>
    </w:p>
    <w:p w14:paraId="757B48FE">
      <w:pPr>
        <w:spacing w:line="560" w:lineRule="exact"/>
        <w:ind w:firstLine="475" w:firstLineChars="198"/>
        <w:rPr>
          <w:rFonts w:hint="eastAsia" w:asciiTheme="majorEastAsia" w:hAnsiTheme="majorEastAsia" w:eastAsiaTheme="majorEastAsia" w:cstheme="majorEastAsia"/>
          <w:color w:val="auto"/>
          <w:sz w:val="24"/>
          <w:szCs w:val="24"/>
          <w:lang w:val="zh-CN"/>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二</w:t>
      </w:r>
      <w:r>
        <w:rPr>
          <w:rFonts w:hint="eastAsia" w:asciiTheme="majorEastAsia" w:hAnsiTheme="majorEastAsia" w:eastAsiaTheme="majorEastAsia" w:cstheme="majorEastAsia"/>
          <w:color w:val="auto"/>
          <w:sz w:val="24"/>
          <w:szCs w:val="24"/>
        </w:rPr>
        <w:t>条 其它约定事项</w:t>
      </w:r>
      <w:r>
        <w:rPr>
          <w:rFonts w:hint="eastAsia" w:asciiTheme="majorEastAsia" w:hAnsiTheme="majorEastAsia" w:eastAsiaTheme="majorEastAsia" w:cstheme="majorEastAsia"/>
          <w:color w:val="auto"/>
          <w:sz w:val="24"/>
          <w:szCs w:val="24"/>
          <w:lang w:val="zh-CN"/>
        </w:rPr>
        <w:t xml:space="preserve"> </w:t>
      </w:r>
    </w:p>
    <w:p w14:paraId="415A512A">
      <w:pPr>
        <w:spacing w:line="580" w:lineRule="exact"/>
        <w:ind w:firstLine="475" w:firstLineChars="198"/>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rPr>
        <w:t>（一）供货价格在合同期内执行中标价格，原则上不得变更。针对中药饮片月均销量≥100kg的品种，若市场价格涨幅超过中标价的2倍或跌至中标价的1/2时启动动态调价机制。</w:t>
      </w:r>
      <w:r>
        <w:rPr>
          <w:rFonts w:hint="eastAsia" w:asciiTheme="majorEastAsia" w:hAnsiTheme="majorEastAsia" w:eastAsiaTheme="majorEastAsia" w:cstheme="majorEastAsia"/>
          <w:color w:val="auto"/>
          <w:sz w:val="24"/>
          <w:szCs w:val="24"/>
          <w:lang w:val="en-US" w:eastAsia="zh-CN"/>
        </w:rPr>
        <w:t>根据招标总价折扣率×市场价进行动态价格调节。</w:t>
      </w:r>
    </w:p>
    <w:p w14:paraId="52A257CD">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（二）其他义务 </w:t>
      </w:r>
    </w:p>
    <w:p w14:paraId="45C770A9">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乙方需履行的附随服务义务：乙方负责配送药品上门。（1）药品现场搬运或入库</w:t>
      </w:r>
      <w:r>
        <w:rPr>
          <w:rFonts w:hint="eastAsia" w:asciiTheme="majorEastAsia" w:hAnsiTheme="majorEastAsia" w:eastAsiaTheme="majorEastAsia" w:cstheme="majorEastAsia"/>
          <w:color w:val="auto"/>
          <w:sz w:val="24"/>
          <w:szCs w:val="24"/>
          <w:lang w:eastAsia="zh-CN"/>
        </w:rPr>
        <w:t>上斗</w:t>
      </w:r>
      <w:r>
        <w:rPr>
          <w:rFonts w:hint="eastAsia" w:asciiTheme="majorEastAsia" w:hAnsiTheme="majorEastAsia" w:eastAsiaTheme="majorEastAsia" w:cstheme="majorEastAsia"/>
          <w:color w:val="auto"/>
          <w:sz w:val="24"/>
          <w:szCs w:val="24"/>
        </w:rPr>
        <w:t>；（2）提供药品开箱或分装用具；（3）对开箱和使用时发现的破损或其他不合格包装药品及时更换；（4）积极配合甲方做好临床出现不良反应药品退换货及后续服务工作；（5）</w:t>
      </w:r>
      <w:r>
        <w:rPr>
          <w:rFonts w:hint="eastAsia" w:asciiTheme="majorEastAsia" w:hAnsiTheme="majorEastAsia" w:eastAsiaTheme="majorEastAsia" w:cstheme="majorEastAsia"/>
          <w:color w:val="auto"/>
          <w:sz w:val="24"/>
          <w:szCs w:val="24"/>
          <w:lang w:val="en-US" w:eastAsia="zh-CN"/>
        </w:rPr>
        <w:t>与陕西省中药追溯平台对接，满足我院中药服务全流程的质量管控和追溯体系的要求。</w:t>
      </w:r>
      <w:r>
        <w:rPr>
          <w:rFonts w:hint="eastAsia" w:asciiTheme="majorEastAsia" w:hAnsiTheme="majorEastAsia" w:eastAsiaTheme="majorEastAsia" w:cstheme="majorEastAsia"/>
          <w:color w:val="auto"/>
          <w:sz w:val="24"/>
          <w:szCs w:val="24"/>
        </w:rPr>
        <w:t>（</w:t>
      </w:r>
      <w:r>
        <w:rPr>
          <w:rFonts w:hint="eastAsia" w:asciiTheme="majorEastAsia" w:hAnsiTheme="majorEastAsia" w:eastAsiaTheme="majorEastAsia" w:cstheme="majorEastAsia"/>
          <w:color w:val="auto"/>
          <w:sz w:val="24"/>
          <w:szCs w:val="24"/>
          <w:lang w:val="en-US" w:eastAsia="zh-CN"/>
        </w:rPr>
        <w:t>6</w:t>
      </w:r>
      <w:r>
        <w:rPr>
          <w:rFonts w:hint="eastAsia" w:asciiTheme="majorEastAsia" w:hAnsiTheme="majorEastAsia" w:eastAsiaTheme="majorEastAsia" w:cstheme="majorEastAsia"/>
          <w:color w:val="auto"/>
          <w:sz w:val="24"/>
          <w:szCs w:val="24"/>
        </w:rPr>
        <w:t xml:space="preserve">）其他乙方应提供的相关服务项目。 </w:t>
      </w:r>
    </w:p>
    <w:p w14:paraId="65E3B170">
      <w:pPr>
        <w:tabs>
          <w:tab w:val="left" w:pos="5245"/>
        </w:tabs>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三</w:t>
      </w:r>
      <w:r>
        <w:rPr>
          <w:rFonts w:hint="eastAsia" w:asciiTheme="majorEastAsia" w:hAnsiTheme="majorEastAsia" w:eastAsiaTheme="majorEastAsia" w:cstheme="majorEastAsia"/>
          <w:color w:val="auto"/>
          <w:sz w:val="24"/>
          <w:szCs w:val="24"/>
        </w:rPr>
        <w:t>条 甲乙双方在药品采购、配送、结算过程中，必须严格遵守国家法律、法规和有关反商业贿赂的规定，自觉服从行政管理部门的监督管理。</w:t>
      </w:r>
    </w:p>
    <w:p w14:paraId="5C063F19">
      <w:pPr>
        <w:spacing w:line="560" w:lineRule="exact"/>
        <w:ind w:firstLine="480" w:firstLineChars="200"/>
        <w:jc w:val="lef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四</w:t>
      </w:r>
      <w:r>
        <w:rPr>
          <w:rFonts w:hint="eastAsia" w:asciiTheme="majorEastAsia" w:hAnsiTheme="majorEastAsia" w:eastAsiaTheme="majorEastAsia" w:cstheme="majorEastAsia"/>
          <w:color w:val="auto"/>
          <w:sz w:val="24"/>
          <w:szCs w:val="24"/>
        </w:rPr>
        <w:t>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291FB4E4">
      <w:pPr>
        <w:spacing w:line="560" w:lineRule="exact"/>
        <w:ind w:firstLine="480" w:firstLineChars="200"/>
        <w:jc w:val="lef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五</w:t>
      </w:r>
      <w:r>
        <w:rPr>
          <w:rFonts w:hint="eastAsia" w:asciiTheme="majorEastAsia" w:hAnsiTheme="majorEastAsia" w:eastAsiaTheme="majorEastAsia" w:cstheme="majorEastAsia"/>
          <w:color w:val="auto"/>
          <w:sz w:val="24"/>
          <w:szCs w:val="24"/>
        </w:rPr>
        <w:t>条 除本合同的约定外，本合同未尽事项，可由双方另行协商并签订补充协议，</w:t>
      </w:r>
      <w:r>
        <w:rPr>
          <w:rFonts w:hint="eastAsia" w:asciiTheme="majorEastAsia" w:hAnsiTheme="majorEastAsia" w:eastAsiaTheme="majorEastAsia" w:cstheme="majorEastAsia"/>
          <w:color w:val="auto"/>
          <w:sz w:val="24"/>
          <w:szCs w:val="24"/>
          <w:lang w:val="en-US" w:eastAsia="zh-CN"/>
        </w:rPr>
        <w:t>招标文件及投标文件、</w:t>
      </w:r>
      <w:r>
        <w:rPr>
          <w:rFonts w:hint="eastAsia" w:asciiTheme="majorEastAsia" w:hAnsiTheme="majorEastAsia" w:eastAsiaTheme="majorEastAsia" w:cstheme="majorEastAsia"/>
          <w:color w:val="auto"/>
          <w:sz w:val="24"/>
          <w:szCs w:val="24"/>
        </w:rPr>
        <w:t>补充协议成为本合同不可分割的一部分，补充协议与本合同具有同等法律效力。</w:t>
      </w:r>
    </w:p>
    <w:p w14:paraId="1C20AD82">
      <w:pPr>
        <w:spacing w:line="560" w:lineRule="exact"/>
        <w:ind w:firstLine="480" w:firstLineChars="200"/>
        <w:jc w:val="left"/>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第十</w:t>
      </w:r>
      <w:r>
        <w:rPr>
          <w:rFonts w:hint="eastAsia" w:asciiTheme="majorEastAsia" w:hAnsiTheme="majorEastAsia" w:eastAsiaTheme="majorEastAsia" w:cstheme="majorEastAsia"/>
          <w:color w:val="auto"/>
          <w:sz w:val="24"/>
          <w:szCs w:val="24"/>
          <w:lang w:val="en-US" w:eastAsia="zh-CN"/>
        </w:rPr>
        <w:t>六</w:t>
      </w:r>
      <w:r>
        <w:rPr>
          <w:rFonts w:hint="eastAsia" w:asciiTheme="majorEastAsia" w:hAnsiTheme="majorEastAsia" w:eastAsiaTheme="majorEastAsia" w:cstheme="majorEastAsia"/>
          <w:color w:val="auto"/>
          <w:sz w:val="24"/>
          <w:szCs w:val="24"/>
        </w:rPr>
        <w:t>条 本合同一式伍份，具有相同法律效力,甲方执肆份，乙方执一份。本合同自双方签字盖章后生效。</w:t>
      </w:r>
    </w:p>
    <w:p w14:paraId="4BCCCC9C">
      <w:pPr>
        <w:pStyle w:val="2"/>
        <w:keepNext w:val="0"/>
        <w:keepLines w:val="0"/>
        <w:pageBreakBefore w:val="0"/>
        <w:wordWrap/>
        <w:overflowPunct/>
        <w:topLinePunct w:val="0"/>
        <w:bidi w:val="0"/>
        <w:spacing w:line="560" w:lineRule="exact"/>
        <w:jc w:val="both"/>
        <w:rPr>
          <w:rFonts w:hint="eastAsia" w:asciiTheme="majorEastAsia" w:hAnsiTheme="majorEastAsia" w:eastAsiaTheme="majorEastAsia" w:cstheme="majorEastAsia"/>
          <w:snapToGrid/>
          <w:color w:val="auto"/>
          <w:kern w:val="2"/>
          <w:sz w:val="28"/>
          <w:szCs w:val="28"/>
          <w:lang w:val="en-US" w:eastAsia="zh-CN" w:bidi="ar-SA"/>
        </w:rPr>
      </w:pPr>
    </w:p>
    <w:p w14:paraId="0D15C5E2">
      <w:pPr>
        <w:pStyle w:val="2"/>
        <w:keepNext w:val="0"/>
        <w:keepLines w:val="0"/>
        <w:pageBreakBefore w:val="0"/>
        <w:wordWrap/>
        <w:overflowPunct/>
        <w:topLinePunct w:val="0"/>
        <w:bidi w:val="0"/>
        <w:spacing w:line="560" w:lineRule="exact"/>
        <w:ind w:firstLine="562" w:firstLineChars="200"/>
        <w:jc w:val="both"/>
        <w:rPr>
          <w:rFonts w:hint="eastAsia" w:asciiTheme="majorEastAsia" w:hAnsiTheme="majorEastAsia" w:eastAsiaTheme="majorEastAsia" w:cstheme="majorEastAsia"/>
          <w:snapToGrid/>
          <w:color w:val="auto"/>
          <w:kern w:val="2"/>
          <w:sz w:val="28"/>
          <w:szCs w:val="28"/>
          <w:lang w:val="en-US" w:eastAsia="zh-CN" w:bidi="ar-SA"/>
        </w:rPr>
      </w:pPr>
      <w:r>
        <w:rPr>
          <w:rFonts w:hint="eastAsia" w:asciiTheme="majorEastAsia" w:hAnsiTheme="majorEastAsia" w:eastAsiaTheme="majorEastAsia" w:cstheme="majorEastAsia"/>
          <w:snapToGrid/>
          <w:color w:val="auto"/>
          <w:kern w:val="2"/>
          <w:sz w:val="28"/>
          <w:szCs w:val="28"/>
          <w:lang w:val="en-US" w:eastAsia="zh-CN" w:bidi="ar-SA"/>
        </w:rPr>
        <w:t>附件1：陕西省中医医院药品廉洁购销协议</w:t>
      </w:r>
    </w:p>
    <w:p w14:paraId="361AF816">
      <w:pPr>
        <w:pStyle w:val="2"/>
        <w:keepNext w:val="0"/>
        <w:keepLines w:val="0"/>
        <w:pageBreakBefore w:val="0"/>
        <w:wordWrap/>
        <w:overflowPunct/>
        <w:topLinePunct w:val="0"/>
        <w:bidi w:val="0"/>
        <w:spacing w:line="560" w:lineRule="exact"/>
        <w:ind w:firstLine="562" w:firstLineChars="200"/>
        <w:jc w:val="both"/>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snapToGrid/>
          <w:color w:val="auto"/>
          <w:kern w:val="2"/>
          <w:sz w:val="28"/>
          <w:szCs w:val="28"/>
          <w:lang w:val="en-US" w:eastAsia="zh-CN" w:bidi="ar-SA"/>
        </w:rPr>
        <w:t>附件2：药品质量保证协议书</w:t>
      </w:r>
    </w:p>
    <w:p w14:paraId="4ACE22FD">
      <w:pPr>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br w:type="page"/>
      </w:r>
    </w:p>
    <w:p w14:paraId="6DFF5BAE">
      <w:pPr>
        <w:spacing w:line="560" w:lineRule="exact"/>
        <w:ind w:firstLine="480" w:firstLineChars="2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4"/>
          <w:szCs w:val="24"/>
        </w:rPr>
        <w:t>甲方：陕西省中医医院               乙方：</w:t>
      </w:r>
      <w:r>
        <w:rPr>
          <w:rFonts w:hint="eastAsia" w:asciiTheme="majorEastAsia" w:hAnsiTheme="majorEastAsia" w:eastAsiaTheme="majorEastAsia" w:cstheme="majorEastAsia"/>
          <w:color w:val="auto"/>
          <w:sz w:val="21"/>
          <w:szCs w:val="21"/>
        </w:rPr>
        <w:t xml:space="preserve">  </w:t>
      </w:r>
    </w:p>
    <w:p w14:paraId="29247465">
      <w:pPr>
        <w:spacing w:line="560" w:lineRule="exact"/>
        <w:ind w:firstLine="480" w:firstLineChars="200"/>
        <w:rPr>
          <w:rFonts w:hint="eastAsia" w:asciiTheme="majorEastAsia" w:hAnsiTheme="majorEastAsia" w:eastAsiaTheme="majorEastAsia" w:cstheme="majorEastAsia"/>
          <w:color w:val="auto"/>
          <w:sz w:val="18"/>
          <w:szCs w:val="18"/>
        </w:rPr>
      </w:pPr>
      <w:r>
        <w:rPr>
          <w:rFonts w:hint="eastAsia" w:asciiTheme="majorEastAsia" w:hAnsiTheme="majorEastAsia" w:eastAsiaTheme="majorEastAsia" w:cstheme="majorEastAsia"/>
          <w:color w:val="auto"/>
          <w:sz w:val="24"/>
          <w:szCs w:val="24"/>
        </w:rPr>
        <w:t>地址：陕西省西安市西华门大街4号   地址：</w:t>
      </w:r>
      <w:r>
        <w:rPr>
          <w:rFonts w:hint="eastAsia" w:asciiTheme="majorEastAsia" w:hAnsiTheme="majorEastAsia" w:eastAsiaTheme="majorEastAsia" w:cstheme="majorEastAsia"/>
          <w:color w:val="auto"/>
          <w:sz w:val="18"/>
          <w:szCs w:val="18"/>
        </w:rPr>
        <w:t xml:space="preserve">     </w:t>
      </w:r>
    </w:p>
    <w:p w14:paraId="21D80D9C">
      <w:pPr>
        <w:spacing w:line="560" w:lineRule="exact"/>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rPr>
        <w:t>电话：</w:t>
      </w:r>
      <w:r>
        <w:rPr>
          <w:rFonts w:hint="eastAsia" w:asciiTheme="majorEastAsia" w:hAnsiTheme="majorEastAsia" w:eastAsiaTheme="majorEastAsia" w:cstheme="majorEastAsia"/>
          <w:color w:val="auto"/>
          <w:sz w:val="24"/>
          <w:szCs w:val="24"/>
          <w:lang w:val="en-US" w:eastAsia="zh-CN"/>
        </w:rPr>
        <w:t xml:space="preserve">029-87213310  </w:t>
      </w:r>
      <w:r>
        <w:rPr>
          <w:rFonts w:hint="eastAsia" w:asciiTheme="majorEastAsia" w:hAnsiTheme="majorEastAsia" w:eastAsiaTheme="majorEastAsia" w:cstheme="majorEastAsia"/>
          <w:color w:val="auto"/>
          <w:sz w:val="24"/>
          <w:szCs w:val="24"/>
        </w:rPr>
        <w:t xml:space="preserve">               电话：</w:t>
      </w:r>
    </w:p>
    <w:p w14:paraId="4B5AB331">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法定代表人：                       法定代表人：  </w:t>
      </w:r>
    </w:p>
    <w:p w14:paraId="4F3A2FC6">
      <w:pPr>
        <w:spacing w:line="560" w:lineRule="exact"/>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或</w:t>
      </w:r>
      <w:r>
        <w:rPr>
          <w:rFonts w:hint="eastAsia" w:asciiTheme="majorEastAsia" w:hAnsiTheme="majorEastAsia" w:eastAsiaTheme="majorEastAsia" w:cstheme="majorEastAsia"/>
          <w:color w:val="auto"/>
          <w:sz w:val="24"/>
          <w:szCs w:val="24"/>
        </w:rPr>
        <w:t xml:space="preserve">委托代理人：                     </w:t>
      </w:r>
      <w:r>
        <w:rPr>
          <w:rFonts w:hint="eastAsia" w:asciiTheme="majorEastAsia" w:hAnsiTheme="majorEastAsia" w:eastAsiaTheme="majorEastAsia" w:cstheme="majorEastAsia"/>
          <w:color w:val="auto"/>
          <w:sz w:val="24"/>
          <w:szCs w:val="24"/>
          <w:lang w:val="en-US" w:eastAsia="zh-CN"/>
        </w:rPr>
        <w:t>或</w:t>
      </w:r>
      <w:r>
        <w:rPr>
          <w:rFonts w:hint="eastAsia" w:asciiTheme="majorEastAsia" w:hAnsiTheme="majorEastAsia" w:eastAsiaTheme="majorEastAsia" w:cstheme="majorEastAsia"/>
          <w:color w:val="auto"/>
          <w:sz w:val="24"/>
          <w:szCs w:val="24"/>
        </w:rPr>
        <w:t xml:space="preserve">委托代理人：  </w:t>
      </w:r>
    </w:p>
    <w:p w14:paraId="60EA0F06">
      <w:pPr>
        <w:spacing w:line="560" w:lineRule="exact"/>
        <w:ind w:firstLine="0" w:firstLineChars="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 xml:space="preserve">     </w:t>
      </w:r>
    </w:p>
    <w:p w14:paraId="5DF428FE">
      <w:pPr>
        <w:spacing w:line="560" w:lineRule="exact"/>
        <w:ind w:firstLine="480" w:firstLineChars="200"/>
        <w:rPr>
          <w:rFonts w:hint="eastAsia" w:asciiTheme="majorEastAsia" w:hAnsiTheme="majorEastAsia" w:eastAsiaTheme="majorEastAsia" w:cstheme="majorEastAsia"/>
          <w:color w:val="auto"/>
        </w:rPr>
      </w:pPr>
      <w:r>
        <w:rPr>
          <w:rFonts w:hint="eastAsia" w:asciiTheme="majorEastAsia" w:hAnsiTheme="majorEastAsia" w:eastAsiaTheme="majorEastAsia" w:cstheme="majorEastAsia"/>
          <w:color w:val="auto"/>
          <w:sz w:val="24"/>
          <w:szCs w:val="24"/>
        </w:rPr>
        <w:t>日期：</w:t>
      </w:r>
      <w:r>
        <w:rPr>
          <w:rFonts w:hint="eastAsia" w:asciiTheme="majorEastAsia" w:hAnsiTheme="majorEastAsia" w:eastAsiaTheme="majorEastAsia" w:cstheme="majorEastAsia"/>
          <w:color w:val="auto"/>
          <w:sz w:val="24"/>
          <w:szCs w:val="24"/>
          <w:lang w:val="en-US" w:eastAsia="zh-CN"/>
        </w:rPr>
        <w:t xml:space="preserve">202  </w:t>
      </w:r>
      <w:r>
        <w:rPr>
          <w:rFonts w:hint="eastAsia" w:asciiTheme="majorEastAsia" w:hAnsiTheme="majorEastAsia" w:eastAsiaTheme="majorEastAsia" w:cstheme="majorEastAsia"/>
          <w:color w:val="auto"/>
          <w:sz w:val="24"/>
          <w:szCs w:val="24"/>
        </w:rPr>
        <w:t>年</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月</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日              日期</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lang w:val="en-US" w:eastAsia="zh-CN"/>
        </w:rPr>
        <w:t xml:space="preserve">202  </w:t>
      </w:r>
      <w:r>
        <w:rPr>
          <w:rFonts w:hint="eastAsia" w:asciiTheme="majorEastAsia" w:hAnsiTheme="majorEastAsia" w:eastAsiaTheme="majorEastAsia" w:cstheme="majorEastAsia"/>
          <w:color w:val="auto"/>
          <w:sz w:val="24"/>
          <w:szCs w:val="24"/>
        </w:rPr>
        <w:t>年</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月</w:t>
      </w:r>
      <w:r>
        <w:rPr>
          <w:rFonts w:hint="eastAsia" w:asciiTheme="majorEastAsia" w:hAnsiTheme="majorEastAsia" w:eastAsiaTheme="majorEastAsia" w:cstheme="majorEastAsia"/>
          <w:color w:val="auto"/>
          <w:sz w:val="24"/>
          <w:szCs w:val="24"/>
          <w:lang w:val="en-US" w:eastAsia="zh-CN"/>
        </w:rPr>
        <w:t xml:space="preserve">  </w:t>
      </w:r>
      <w:r>
        <w:rPr>
          <w:rFonts w:hint="eastAsia" w:asciiTheme="majorEastAsia" w:hAnsiTheme="majorEastAsia" w:eastAsiaTheme="majorEastAsia" w:cstheme="majorEastAsia"/>
          <w:color w:val="auto"/>
          <w:sz w:val="24"/>
          <w:szCs w:val="24"/>
        </w:rPr>
        <w:t>日</w:t>
      </w:r>
    </w:p>
    <w:p w14:paraId="77A566A5">
      <w:pPr>
        <w:rPr>
          <w:rFonts w:hint="eastAsia" w:asciiTheme="majorEastAsia" w:hAnsiTheme="majorEastAsia" w:eastAsiaTheme="majorEastAsia" w:cstheme="majorEastAsia"/>
          <w:color w:val="auto"/>
        </w:rPr>
      </w:pPr>
    </w:p>
    <w:sectPr>
      <w:headerReference r:id="rId3" w:type="default"/>
      <w:footerReference r:id="rId4" w:type="default"/>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52BDE">
    <w:pPr>
      <w:pStyle w:val="2"/>
      <w:jc w:val="right"/>
      <w:rPr>
        <w:sz w:val="26"/>
        <w:szCs w:val="26"/>
      </w:rPr>
    </w:pPr>
    <w:r>
      <w:rPr>
        <w:sz w:val="2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220E4880">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14:paraId="220E488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C5E22">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F34BA"/>
    <w:rsid w:val="0E5310CF"/>
    <w:rsid w:val="15B31420"/>
    <w:rsid w:val="1872098A"/>
    <w:rsid w:val="1F463A43"/>
    <w:rsid w:val="21F52415"/>
    <w:rsid w:val="532D554B"/>
    <w:rsid w:val="6F6F4D5F"/>
    <w:rsid w:val="734F34BA"/>
    <w:rsid w:val="76D82D02"/>
    <w:rsid w:val="7B011D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首行缩进"/>
    <w:basedOn w:val="1"/>
    <w:qFormat/>
    <w:uiPriority w:val="0"/>
    <w:pPr>
      <w:ind w:firstLine="480" w:firstLineChars="200"/>
    </w:pPr>
    <w:rPr>
      <w:rFonts w:ascii="Times New Roman" w:hAnsi="Times New Roman" w:eastAsia="宋体" w:cs="Times New Roman"/>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4302</Words>
  <Characters>4357</Characters>
  <Lines>0</Lines>
  <Paragraphs>0</Paragraphs>
  <TotalTime>2</TotalTime>
  <ScaleCrop>false</ScaleCrop>
  <LinksUpToDate>false</LinksUpToDate>
  <CharactersWithSpaces>4579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2025-11-13T12:01:00Z</dcterms:created>
  <dc:creator>M. ICARDI</dc:creator>
  <cp:lastModifiedBy>M. ICARDI</cp:lastModifiedBy>
  <dcterms:modified xsi:type="dcterms:W3CDTF">2026-01-15T01:54:36Z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7A7EEB492D86471FAA1CF2BCBCE474AE_13</vt:lpwstr>
  </property>
  <property fmtid="{D5CDD505-2E9C-101B-9397-08002B2CF9AE}" pid="4" name="KSOTemplateDocerSaveRecord">
    <vt:lpwstr>eyJoZGlkIjoiZjg4OWJjMjIxM2I1NGQ4ZTMyZjA2OTg5NmU3OWY3NTUiLCJ1c2VySWQiOiIzNDkyMDI2MDgifQ==</vt:lpwstr>
  </property>
</Properties>
</file>