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83F3A">
      <w:pPr>
        <w:pStyle w:val="2"/>
        <w:keepNext w:val="0"/>
        <w:keepLines w:val="0"/>
        <w:pageBreakBefore w:val="0"/>
        <w:widowControl w:val="0"/>
        <w:numPr>
          <w:ilvl w:val="0"/>
          <w:numId w:val="0"/>
        </w:numPr>
        <w:tabs>
          <w:tab w:val="center" w:pos="4153"/>
        </w:tabs>
        <w:kinsoku w:val="0"/>
        <w:wordWrap/>
        <w:overflowPunct w:val="0"/>
        <w:topLinePunct w:val="0"/>
        <w:bidi w:val="0"/>
        <w:snapToGrid/>
        <w:spacing w:before="0" w:after="0" w:line="240" w:lineRule="auto"/>
        <w:ind w:right="0" w:rightChars="0"/>
        <w:jc w:val="center"/>
        <w:rPr>
          <w:rFonts w:hint="eastAsia" w:ascii="宋体" w:hAnsi="宋体" w:eastAsia="宋体" w:cs="宋体"/>
          <w:b w:val="0"/>
          <w:bCs/>
          <w:color w:val="000000" w:themeColor="text1"/>
          <w:sz w:val="21"/>
          <w:szCs w:val="21"/>
          <w:lang w:eastAsia="zh-CN"/>
          <w14:textFill>
            <w14:solidFill>
              <w14:schemeClr w14:val="tx1"/>
            </w14:solidFill>
          </w14:textFill>
        </w:rPr>
      </w:pPr>
      <w:r>
        <w:rPr>
          <w:rFonts w:hint="eastAsia" w:ascii="宋体" w:hAnsi="宋体" w:eastAsia="宋体" w:cs="宋体"/>
          <w:b w:val="0"/>
          <w:bCs/>
          <w:color w:val="000000" w:themeColor="text1"/>
          <w:sz w:val="21"/>
          <w:szCs w:val="21"/>
          <w:lang w:eastAsia="zh-CN"/>
          <w14:textFill>
            <w14:solidFill>
              <w14:schemeClr w14:val="tx1"/>
            </w14:solidFill>
          </w14:textFill>
        </w:rPr>
        <w:t>延安大学附属医院</w:t>
      </w:r>
      <w:r>
        <w:rPr>
          <w:rFonts w:hint="eastAsia" w:ascii="宋体" w:hAnsi="宋体" w:eastAsia="宋体" w:cs="宋体"/>
          <w:b w:val="0"/>
          <w:bCs/>
          <w:color w:val="000000" w:themeColor="text1"/>
          <w:sz w:val="21"/>
          <w:szCs w:val="21"/>
          <w14:textFill>
            <w14:solidFill>
              <w14:schemeClr w14:val="tx1"/>
            </w14:solidFill>
          </w14:textFill>
        </w:rPr>
        <w:t>供货合同</w:t>
      </w:r>
      <w:r>
        <w:rPr>
          <w:rFonts w:hint="eastAsia" w:ascii="宋体" w:hAnsi="宋体" w:eastAsia="宋体" w:cs="宋体"/>
          <w:b w:val="0"/>
          <w:bCs/>
          <w:color w:val="000000" w:themeColor="text1"/>
          <w:sz w:val="21"/>
          <w:szCs w:val="21"/>
          <w:lang w:eastAsia="zh-CN"/>
          <w14:textFill>
            <w14:solidFill>
              <w14:schemeClr w14:val="tx1"/>
            </w14:solidFill>
          </w14:textFill>
        </w:rPr>
        <w:t>（仅供参考，</w:t>
      </w:r>
      <w:r>
        <w:rPr>
          <w:rFonts w:hint="eastAsia" w:ascii="宋体" w:hAnsi="宋体" w:eastAsia="宋体" w:cs="宋体"/>
          <w:b w:val="0"/>
          <w:bCs/>
          <w:color w:val="000000" w:themeColor="text1"/>
          <w:sz w:val="21"/>
          <w:szCs w:val="21"/>
          <w:lang w:val="en-US" w:eastAsia="zh-CN"/>
          <w14:textFill>
            <w14:solidFill>
              <w14:schemeClr w14:val="tx1"/>
            </w14:solidFill>
          </w14:textFill>
        </w:rPr>
        <w:t>以实际签订为准</w:t>
      </w:r>
      <w:r>
        <w:rPr>
          <w:rFonts w:hint="eastAsia" w:ascii="宋体" w:hAnsi="宋体" w:eastAsia="宋体" w:cs="宋体"/>
          <w:b w:val="0"/>
          <w:bCs/>
          <w:color w:val="000000" w:themeColor="text1"/>
          <w:sz w:val="21"/>
          <w:szCs w:val="21"/>
          <w:lang w:eastAsia="zh-CN"/>
          <w14:textFill>
            <w14:solidFill>
              <w14:schemeClr w14:val="tx1"/>
            </w14:solidFill>
          </w14:textFill>
        </w:rPr>
        <w:t>）</w:t>
      </w:r>
    </w:p>
    <w:p w14:paraId="40E1C1E9">
      <w:pPr>
        <w:keepNext w:val="0"/>
        <w:keepLines w:val="0"/>
        <w:pageBreakBefore w:val="0"/>
        <w:widowControl w:val="0"/>
        <w:kinsoku w:val="0"/>
        <w:wordWrap/>
        <w:overflowPunct w:val="0"/>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合同编号：</w:t>
      </w:r>
    </w:p>
    <w:p w14:paraId="058DEA28">
      <w:pPr>
        <w:keepNext w:val="0"/>
        <w:keepLines w:val="0"/>
        <w:pageBreakBefore w:val="0"/>
        <w:widowControl w:val="0"/>
        <w:kinsoku w:val="0"/>
        <w:wordWrap/>
        <w:overflowPunct w:val="0"/>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签订地点：</w:t>
      </w:r>
      <w:r>
        <w:rPr>
          <w:rFonts w:hint="eastAsia" w:ascii="宋体" w:hAnsi="宋体" w:eastAsia="宋体" w:cs="宋体"/>
          <w:b w:val="0"/>
          <w:bCs/>
          <w:color w:val="000000" w:themeColor="text1"/>
          <w:sz w:val="22"/>
          <w:szCs w:val="22"/>
          <w:lang w:eastAsia="zh-CN"/>
          <w14:textFill>
            <w14:solidFill>
              <w14:schemeClr w14:val="tx1"/>
            </w14:solidFill>
          </w14:textFill>
        </w:rPr>
        <w:t>延安大学附属医院</w:t>
      </w:r>
      <w:bookmarkStart w:id="0" w:name="_GoBack"/>
      <w:bookmarkEnd w:id="0"/>
    </w:p>
    <w:p w14:paraId="4D4E12A2">
      <w:pPr>
        <w:keepNext w:val="0"/>
        <w:keepLines w:val="0"/>
        <w:pageBreakBefore w:val="0"/>
        <w:widowControl w:val="0"/>
        <w:kinsoku w:val="0"/>
        <w:wordWrap/>
        <w:overflowPunct w:val="0"/>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lang w:eastAsia="zh-CN"/>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采购人（甲方）：</w:t>
      </w:r>
      <w:r>
        <w:rPr>
          <w:rFonts w:hint="eastAsia" w:ascii="宋体" w:hAnsi="宋体" w:eastAsia="宋体" w:cs="宋体"/>
          <w:b w:val="0"/>
          <w:bCs/>
          <w:color w:val="000000" w:themeColor="text1"/>
          <w:sz w:val="22"/>
          <w:szCs w:val="22"/>
          <w:lang w:eastAsia="zh-CN"/>
          <w14:textFill>
            <w14:solidFill>
              <w14:schemeClr w14:val="tx1"/>
            </w14:solidFill>
          </w14:textFill>
        </w:rPr>
        <w:t>延安大学附属医院</w:t>
      </w:r>
    </w:p>
    <w:p w14:paraId="3C3F92E2">
      <w:pPr>
        <w:keepNext w:val="0"/>
        <w:keepLines w:val="0"/>
        <w:pageBreakBefore w:val="0"/>
        <w:widowControl w:val="0"/>
        <w:kinsoku w:val="0"/>
        <w:wordWrap/>
        <w:overflowPunct w:val="0"/>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供应商（乙方）： </w:t>
      </w:r>
    </w:p>
    <w:p w14:paraId="44707205">
      <w:pPr>
        <w:pStyle w:val="4"/>
        <w:keepNext w:val="0"/>
        <w:keepLines w:val="0"/>
        <w:pageBreakBefore w:val="0"/>
        <w:widowControl w:val="0"/>
        <w:kinsoku w:val="0"/>
        <w:wordWrap/>
        <w:overflowPunct w:val="0"/>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供应商规模：  规模企业（大、中、小、微）</w:t>
      </w:r>
    </w:p>
    <w:p w14:paraId="7CBD4057">
      <w:pPr>
        <w:keepNext w:val="0"/>
        <w:keepLines w:val="0"/>
        <w:pageBreakBefore w:val="0"/>
        <w:widowControl w:val="0"/>
        <w:kinsoku w:val="0"/>
        <w:wordWrap/>
        <w:overflowPunct w:val="0"/>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招标公司： </w:t>
      </w:r>
    </w:p>
    <w:p w14:paraId="5A1BD672">
      <w:pPr>
        <w:keepNext w:val="0"/>
        <w:keepLines w:val="0"/>
        <w:pageBreakBefore w:val="0"/>
        <w:widowControl w:val="0"/>
        <w:kinsoku w:val="0"/>
        <w:wordWrap/>
        <w:overflowPunct w:val="0"/>
        <w:topLinePunct w:val="0"/>
        <w:bidi w:val="0"/>
        <w:snapToGrid/>
        <w:spacing w:after="0" w:line="240" w:lineRule="auto"/>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招标时间：    年    月    日   ；  中标时间：    年    月   日</w:t>
      </w:r>
    </w:p>
    <w:p w14:paraId="24C45D7E">
      <w:pPr>
        <w:keepNext w:val="0"/>
        <w:keepLines w:val="0"/>
        <w:pageBreakBefore w:val="0"/>
        <w:widowControl w:val="0"/>
        <w:kinsoku w:val="0"/>
        <w:wordWrap/>
        <w:overflowPunct w:val="0"/>
        <w:topLinePunct w:val="0"/>
        <w:bidi w:val="0"/>
        <w:snapToGrid/>
        <w:spacing w:after="0" w:line="240" w:lineRule="auto"/>
        <w:ind w:left="0" w:right="0" w:rightChars="0" w:firstLine="220" w:firstLineChars="1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履约结束日期：   年   月  日（可视验收具体情况向后顺延）</w:t>
      </w:r>
    </w:p>
    <w:p w14:paraId="66BAD446">
      <w:pPr>
        <w:pStyle w:val="8"/>
        <w:keepNext w:val="0"/>
        <w:keepLines w:val="0"/>
        <w:pageBreakBefore w:val="0"/>
        <w:widowControl w:val="0"/>
        <w:kinsoku w:val="0"/>
        <w:wordWrap/>
        <w:overflowPunct w:val="0"/>
        <w:topLinePunct w:val="0"/>
        <w:bidi w:val="0"/>
        <w:snapToGrid/>
        <w:spacing w:before="0" w:after="0" w:line="240" w:lineRule="auto"/>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根据《中华人民共和国政府采购法》、《中华人民共和国民法典》及</w:t>
      </w:r>
      <w:r>
        <w:rPr>
          <w:rFonts w:hint="eastAsia" w:ascii="宋体" w:hAnsi="宋体" w:eastAsia="宋体" w:cs="宋体"/>
          <w:b w:val="0"/>
          <w:bCs/>
          <w:color w:val="000000" w:themeColor="text1"/>
          <w:sz w:val="22"/>
          <w:szCs w:val="22"/>
          <w:lang w:eastAsia="zh-CN"/>
          <w14:textFill>
            <w14:solidFill>
              <w14:schemeClr w14:val="tx1"/>
            </w14:solidFill>
          </w14:textFill>
        </w:rPr>
        <w:t>延安大学附属医院医疗设备购置项目</w:t>
      </w:r>
      <w:r>
        <w:rPr>
          <w:rFonts w:hint="eastAsia" w:ascii="宋体" w:hAnsi="宋体" w:eastAsia="宋体" w:cs="宋体"/>
          <w:b w:val="0"/>
          <w:bCs/>
          <w:color w:val="000000" w:themeColor="text1"/>
          <w:sz w:val="22"/>
          <w:szCs w:val="22"/>
          <w14:textFill>
            <w14:solidFill>
              <w14:schemeClr w14:val="tx1"/>
            </w14:solidFill>
          </w14:textFill>
        </w:rPr>
        <w:t>采购项目（项目编</w:t>
      </w:r>
      <w:r>
        <w:rPr>
          <w:rFonts w:hint="eastAsia" w:ascii="宋体" w:hAnsi="宋体" w:eastAsia="宋体" w:cs="宋体"/>
          <w:b w:val="0"/>
          <w:bCs/>
          <w:color w:val="000000" w:themeColor="text1"/>
          <w:kern w:val="0"/>
          <w:sz w:val="22"/>
          <w:szCs w:val="22"/>
          <w14:textFill>
            <w14:solidFill>
              <w14:schemeClr w14:val="tx1"/>
            </w14:solidFill>
          </w14:textFill>
        </w:rPr>
        <w:t>号及名称：</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kern w:val="0"/>
          <w:sz w:val="22"/>
          <w:szCs w:val="22"/>
          <w14:textFill>
            <w14:solidFill>
              <w14:schemeClr w14:val="tx1"/>
            </w14:solidFill>
          </w14:textFill>
        </w:rPr>
        <w:t>）</w:t>
      </w:r>
      <w:r>
        <w:rPr>
          <w:rFonts w:hint="eastAsia" w:ascii="宋体" w:hAnsi="宋体" w:eastAsia="宋体" w:cs="宋体"/>
          <w:b w:val="0"/>
          <w:bCs/>
          <w:color w:val="000000" w:themeColor="text1"/>
          <w:sz w:val="22"/>
          <w:szCs w:val="22"/>
          <w14:textFill>
            <w14:solidFill>
              <w14:schemeClr w14:val="tx1"/>
            </w14:solidFill>
          </w14:textFill>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5ECB681E">
      <w:pPr>
        <w:keepNext w:val="0"/>
        <w:keepLines w:val="0"/>
        <w:pageBreakBefore w:val="0"/>
        <w:widowControl w:val="0"/>
        <w:kinsoku w:val="0"/>
        <w:wordWrap/>
        <w:overflowPunct w:val="0"/>
        <w:topLinePunct w:val="0"/>
        <w:bidi w:val="0"/>
        <w:snapToGrid/>
        <w:spacing w:after="0" w:line="240" w:lineRule="auto"/>
        <w:ind w:left="0" w:right="0" w:rightChars="0" w:firstLine="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一、合同货物（配置清单附后）</w:t>
      </w:r>
    </w:p>
    <w:tbl>
      <w:tblPr>
        <w:tblStyle w:val="6"/>
        <w:tblW w:w="980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7"/>
        <w:gridCol w:w="878"/>
        <w:gridCol w:w="717"/>
        <w:gridCol w:w="750"/>
        <w:gridCol w:w="650"/>
        <w:gridCol w:w="1033"/>
        <w:gridCol w:w="1050"/>
        <w:gridCol w:w="917"/>
        <w:gridCol w:w="1450"/>
        <w:gridCol w:w="700"/>
        <w:gridCol w:w="799"/>
      </w:tblGrid>
      <w:tr w14:paraId="2BF382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1F5EC6BA">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货物品名</w:t>
            </w:r>
          </w:p>
        </w:tc>
        <w:tc>
          <w:tcPr>
            <w:tcW w:w="878" w:type="dxa"/>
            <w:tcBorders>
              <w:top w:val="single" w:color="auto" w:sz="4" w:space="0"/>
              <w:left w:val="single" w:color="auto" w:sz="4" w:space="0"/>
              <w:bottom w:val="single" w:color="auto" w:sz="4" w:space="0"/>
              <w:right w:val="single" w:color="auto" w:sz="4" w:space="0"/>
            </w:tcBorders>
            <w:noWrap w:val="0"/>
            <w:vAlign w:val="center"/>
          </w:tcPr>
          <w:p w14:paraId="5D96BBB2">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产地</w:t>
            </w:r>
          </w:p>
          <w:p w14:paraId="7176D181">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品牌</w:t>
            </w:r>
          </w:p>
        </w:tc>
        <w:tc>
          <w:tcPr>
            <w:tcW w:w="717" w:type="dxa"/>
            <w:tcBorders>
              <w:top w:val="single" w:color="auto" w:sz="4" w:space="0"/>
              <w:left w:val="single" w:color="auto" w:sz="4" w:space="0"/>
              <w:bottom w:val="single" w:color="auto" w:sz="4" w:space="0"/>
              <w:right w:val="single" w:color="auto" w:sz="4" w:space="0"/>
            </w:tcBorders>
            <w:noWrap w:val="0"/>
            <w:vAlign w:val="center"/>
          </w:tcPr>
          <w:p w14:paraId="51F7E50F">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规格</w:t>
            </w:r>
          </w:p>
          <w:p w14:paraId="7D14A9AD">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型号</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796DB306">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单位</w:t>
            </w:r>
          </w:p>
        </w:tc>
        <w:tc>
          <w:tcPr>
            <w:tcW w:w="650" w:type="dxa"/>
            <w:tcBorders>
              <w:top w:val="single" w:color="auto" w:sz="4" w:space="0"/>
              <w:left w:val="single" w:color="auto" w:sz="4" w:space="0"/>
              <w:bottom w:val="single" w:color="auto" w:sz="4" w:space="0"/>
              <w:right w:val="single" w:color="auto" w:sz="4" w:space="0"/>
            </w:tcBorders>
            <w:noWrap w:val="0"/>
            <w:vAlign w:val="center"/>
          </w:tcPr>
          <w:p w14:paraId="0E0931DF">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数量</w:t>
            </w:r>
          </w:p>
        </w:tc>
        <w:tc>
          <w:tcPr>
            <w:tcW w:w="1033" w:type="dxa"/>
            <w:tcBorders>
              <w:top w:val="single" w:color="auto" w:sz="4" w:space="0"/>
              <w:left w:val="single" w:color="auto" w:sz="4" w:space="0"/>
              <w:bottom w:val="single" w:color="auto" w:sz="4" w:space="0"/>
              <w:right w:val="single" w:color="auto" w:sz="4" w:space="0"/>
            </w:tcBorders>
            <w:noWrap w:val="0"/>
            <w:vAlign w:val="center"/>
          </w:tcPr>
          <w:p w14:paraId="194A7BCF">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单价</w:t>
            </w:r>
          </w:p>
          <w:p w14:paraId="20292C6C">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（万元）</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6F9D94FF">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总价</w:t>
            </w:r>
          </w:p>
          <w:p w14:paraId="5CEE4D9B">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（万元）</w:t>
            </w:r>
          </w:p>
        </w:tc>
        <w:tc>
          <w:tcPr>
            <w:tcW w:w="917" w:type="dxa"/>
            <w:tcBorders>
              <w:top w:val="single" w:color="auto" w:sz="4" w:space="0"/>
              <w:left w:val="single" w:color="auto" w:sz="4" w:space="0"/>
              <w:bottom w:val="single" w:color="auto" w:sz="4" w:space="0"/>
              <w:right w:val="single" w:color="auto" w:sz="4" w:space="0"/>
            </w:tcBorders>
            <w:noWrap w:val="0"/>
            <w:vAlign w:val="center"/>
          </w:tcPr>
          <w:p w14:paraId="5C473728">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随机</w:t>
            </w:r>
          </w:p>
          <w:p w14:paraId="477F25D9">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配件</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340639EB">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交货期</w:t>
            </w:r>
          </w:p>
        </w:tc>
        <w:tc>
          <w:tcPr>
            <w:tcW w:w="700" w:type="dxa"/>
            <w:tcBorders>
              <w:top w:val="single" w:color="auto" w:sz="4" w:space="0"/>
              <w:left w:val="single" w:color="auto" w:sz="4" w:space="0"/>
              <w:bottom w:val="single" w:color="auto" w:sz="4" w:space="0"/>
              <w:right w:val="single" w:color="auto" w:sz="4" w:space="0"/>
            </w:tcBorders>
            <w:noWrap w:val="0"/>
            <w:vAlign w:val="top"/>
          </w:tcPr>
          <w:p w14:paraId="5A0DE372">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使用科室</w:t>
            </w:r>
          </w:p>
        </w:tc>
        <w:tc>
          <w:tcPr>
            <w:tcW w:w="799" w:type="dxa"/>
            <w:tcBorders>
              <w:top w:val="single" w:color="auto" w:sz="4" w:space="0"/>
              <w:left w:val="single" w:color="auto" w:sz="4" w:space="0"/>
              <w:bottom w:val="single" w:color="auto" w:sz="4" w:space="0"/>
              <w:right w:val="single" w:color="auto" w:sz="4" w:space="0"/>
            </w:tcBorders>
            <w:noWrap w:val="0"/>
            <w:vAlign w:val="top"/>
          </w:tcPr>
          <w:p w14:paraId="1B05E170">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资金类型</w:t>
            </w:r>
          </w:p>
        </w:tc>
      </w:tr>
      <w:tr w14:paraId="33AB71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7"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69EC457C">
            <w:pPr>
              <w:pStyle w:val="9"/>
              <w:keepNext w:val="0"/>
              <w:keepLines w:val="0"/>
              <w:pageBreakBefore w:val="0"/>
              <w:widowControl w:val="0"/>
              <w:kinsoku w:val="0"/>
              <w:wordWrap/>
              <w:overflowPunct w:val="0"/>
              <w:topLinePunct w:val="0"/>
              <w:bidi w:val="0"/>
              <w:snapToGrid/>
              <w:spacing w:after="0" w:line="240" w:lineRule="auto"/>
              <w:ind w:left="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878" w:type="dxa"/>
            <w:tcBorders>
              <w:top w:val="single" w:color="auto" w:sz="4" w:space="0"/>
              <w:left w:val="single" w:color="auto" w:sz="4" w:space="0"/>
              <w:bottom w:val="single" w:color="auto" w:sz="4" w:space="0"/>
              <w:right w:val="single" w:color="auto" w:sz="4" w:space="0"/>
            </w:tcBorders>
            <w:noWrap w:val="0"/>
            <w:vAlign w:val="center"/>
          </w:tcPr>
          <w:p w14:paraId="10CFF9D7">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c>
          <w:tcPr>
            <w:tcW w:w="717" w:type="dxa"/>
            <w:tcBorders>
              <w:top w:val="single" w:color="auto" w:sz="4" w:space="0"/>
              <w:left w:val="single" w:color="auto" w:sz="4" w:space="0"/>
              <w:bottom w:val="single" w:color="auto" w:sz="4" w:space="0"/>
              <w:right w:val="single" w:color="auto" w:sz="4" w:space="0"/>
            </w:tcBorders>
            <w:noWrap w:val="0"/>
            <w:vAlign w:val="center"/>
          </w:tcPr>
          <w:p w14:paraId="286B8A43">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2E2B49AD">
            <w:pPr>
              <w:keepNext w:val="0"/>
              <w:keepLines w:val="0"/>
              <w:pageBreakBefore w:val="0"/>
              <w:widowControl w:val="0"/>
              <w:kinsoku w:val="0"/>
              <w:wordWrap/>
              <w:overflowPunct w:val="0"/>
              <w:topLinePunct w:val="0"/>
              <w:bidi w:val="0"/>
              <w:snapToGrid/>
              <w:spacing w:after="0" w:line="240" w:lineRule="auto"/>
              <w:ind w:left="0" w:right="0" w:rightChars="0" w:firstLine="110" w:firstLineChars="50"/>
              <w:jc w:val="center"/>
              <w:rPr>
                <w:rFonts w:hint="eastAsia" w:ascii="宋体" w:hAnsi="宋体" w:eastAsia="宋体" w:cs="宋体"/>
                <w:b w:val="0"/>
                <w:bCs/>
                <w:color w:val="000000" w:themeColor="text1"/>
                <w:sz w:val="22"/>
                <w:szCs w:val="22"/>
                <w14:textFill>
                  <w14:solidFill>
                    <w14:schemeClr w14:val="tx1"/>
                  </w14:solidFill>
                </w14:textFill>
              </w:rPr>
            </w:pPr>
          </w:p>
        </w:tc>
        <w:tc>
          <w:tcPr>
            <w:tcW w:w="650" w:type="dxa"/>
            <w:tcBorders>
              <w:top w:val="single" w:color="auto" w:sz="4" w:space="0"/>
              <w:left w:val="single" w:color="auto" w:sz="4" w:space="0"/>
              <w:bottom w:val="single" w:color="auto" w:sz="4" w:space="0"/>
              <w:right w:val="single" w:color="auto" w:sz="4" w:space="0"/>
            </w:tcBorders>
            <w:noWrap w:val="0"/>
            <w:vAlign w:val="center"/>
          </w:tcPr>
          <w:p w14:paraId="62337F24">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p>
        </w:tc>
        <w:tc>
          <w:tcPr>
            <w:tcW w:w="1033" w:type="dxa"/>
            <w:tcBorders>
              <w:top w:val="single" w:color="auto" w:sz="4" w:space="0"/>
              <w:left w:val="single" w:color="auto" w:sz="4" w:space="0"/>
              <w:bottom w:val="single" w:color="auto" w:sz="4" w:space="0"/>
              <w:right w:val="single" w:color="auto" w:sz="4" w:space="0"/>
            </w:tcBorders>
            <w:noWrap w:val="0"/>
            <w:vAlign w:val="center"/>
          </w:tcPr>
          <w:p w14:paraId="695D59EE">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1B480A4F">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p>
        </w:tc>
        <w:tc>
          <w:tcPr>
            <w:tcW w:w="917" w:type="dxa"/>
            <w:tcBorders>
              <w:top w:val="single" w:color="auto" w:sz="4" w:space="0"/>
              <w:left w:val="single" w:color="auto" w:sz="4" w:space="0"/>
              <w:right w:val="single" w:color="auto" w:sz="4" w:space="0"/>
            </w:tcBorders>
            <w:noWrap w:val="0"/>
            <w:vAlign w:val="center"/>
          </w:tcPr>
          <w:p w14:paraId="7B6D03B9">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详见配置清单</w:t>
            </w:r>
          </w:p>
        </w:tc>
        <w:tc>
          <w:tcPr>
            <w:tcW w:w="1450" w:type="dxa"/>
            <w:tcBorders>
              <w:top w:val="single" w:color="auto" w:sz="4" w:space="0"/>
              <w:left w:val="single" w:color="auto" w:sz="4" w:space="0"/>
              <w:right w:val="single" w:color="auto" w:sz="4" w:space="0"/>
            </w:tcBorders>
            <w:noWrap w:val="0"/>
            <w:vAlign w:val="center"/>
          </w:tcPr>
          <w:p w14:paraId="3EFC32E6">
            <w:pPr>
              <w:keepNext w:val="0"/>
              <w:keepLines w:val="0"/>
              <w:pageBreakBefore w:val="0"/>
              <w:widowControl w:val="0"/>
              <w:kinsoku w:val="0"/>
              <w:wordWrap/>
              <w:overflowPunct w:val="0"/>
              <w:topLinePunct w:val="0"/>
              <w:bidi w:val="0"/>
              <w:snapToGrid/>
              <w:spacing w:after="0" w:line="240" w:lineRule="auto"/>
              <w:ind w:left="0" w:right="0" w:rightChars="0" w:firstLine="0"/>
              <w:jc w:val="both"/>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合同签订后XX个日历日内</w:t>
            </w:r>
          </w:p>
        </w:tc>
        <w:tc>
          <w:tcPr>
            <w:tcW w:w="700" w:type="dxa"/>
            <w:tcBorders>
              <w:top w:val="single" w:color="auto" w:sz="4" w:space="0"/>
              <w:left w:val="single" w:color="auto" w:sz="4" w:space="0"/>
              <w:right w:val="single" w:color="auto" w:sz="4" w:space="0"/>
            </w:tcBorders>
            <w:noWrap w:val="0"/>
            <w:vAlign w:val="top"/>
          </w:tcPr>
          <w:p w14:paraId="7FEE5BEC">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c>
          <w:tcPr>
            <w:tcW w:w="799" w:type="dxa"/>
            <w:tcBorders>
              <w:top w:val="single" w:color="auto" w:sz="4" w:space="0"/>
              <w:left w:val="single" w:color="auto" w:sz="4" w:space="0"/>
              <w:right w:val="single" w:color="auto" w:sz="4" w:space="0"/>
            </w:tcBorders>
            <w:noWrap w:val="0"/>
            <w:vAlign w:val="top"/>
          </w:tcPr>
          <w:p w14:paraId="422A64FB">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p>
        </w:tc>
      </w:tr>
      <w:tr w14:paraId="38CDCF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2E33F8E6">
            <w:pPr>
              <w:keepNext w:val="0"/>
              <w:keepLines w:val="0"/>
              <w:pageBreakBefore w:val="0"/>
              <w:widowControl w:val="0"/>
              <w:kinsoku w:val="0"/>
              <w:wordWrap/>
              <w:overflowPunct w:val="0"/>
              <w:topLinePunct w:val="0"/>
              <w:bidi w:val="0"/>
              <w:snapToGrid/>
              <w:spacing w:after="0" w:line="240" w:lineRule="auto"/>
              <w:ind w:left="0" w:right="0" w:rightChars="0" w:firstLine="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合计</w:t>
            </w:r>
          </w:p>
        </w:tc>
        <w:tc>
          <w:tcPr>
            <w:tcW w:w="7445" w:type="dxa"/>
            <w:gridSpan w:val="8"/>
            <w:tcBorders>
              <w:top w:val="single" w:color="auto" w:sz="4" w:space="0"/>
              <w:left w:val="single" w:color="auto" w:sz="4" w:space="0"/>
              <w:bottom w:val="single" w:color="auto" w:sz="4" w:space="0"/>
              <w:right w:val="single" w:color="auto" w:sz="4" w:space="0"/>
            </w:tcBorders>
            <w:noWrap w:val="0"/>
            <w:vAlign w:val="center"/>
          </w:tcPr>
          <w:p w14:paraId="48065186">
            <w:pPr>
              <w:keepNext w:val="0"/>
              <w:keepLines w:val="0"/>
              <w:pageBreakBefore w:val="0"/>
              <w:widowControl w:val="0"/>
              <w:kinsoku w:val="0"/>
              <w:wordWrap/>
              <w:overflowPunct w:val="0"/>
              <w:topLinePunct w:val="0"/>
              <w:bidi w:val="0"/>
              <w:snapToGrid/>
              <w:spacing w:after="0" w:line="240" w:lineRule="auto"/>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人民币（大写）：</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元）</w:t>
            </w:r>
          </w:p>
        </w:tc>
        <w:tc>
          <w:tcPr>
            <w:tcW w:w="700" w:type="dxa"/>
            <w:tcBorders>
              <w:top w:val="single" w:color="auto" w:sz="4" w:space="0"/>
              <w:left w:val="single" w:color="auto" w:sz="4" w:space="0"/>
              <w:bottom w:val="single" w:color="auto" w:sz="4" w:space="0"/>
              <w:right w:val="single" w:color="auto" w:sz="4" w:space="0"/>
            </w:tcBorders>
            <w:noWrap w:val="0"/>
            <w:vAlign w:val="top"/>
          </w:tcPr>
          <w:p w14:paraId="449B57D4">
            <w:pPr>
              <w:keepNext w:val="0"/>
              <w:keepLines w:val="0"/>
              <w:pageBreakBefore w:val="0"/>
              <w:widowControl w:val="0"/>
              <w:kinsoku w:val="0"/>
              <w:wordWrap/>
              <w:overflowPunct w:val="0"/>
              <w:topLinePunct w:val="0"/>
              <w:bidi w:val="0"/>
              <w:snapToGrid/>
              <w:spacing w:after="0" w:line="240" w:lineRule="auto"/>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val="0"/>
            <w:vAlign w:val="top"/>
          </w:tcPr>
          <w:p w14:paraId="6F336D0E">
            <w:pPr>
              <w:keepNext w:val="0"/>
              <w:keepLines w:val="0"/>
              <w:pageBreakBefore w:val="0"/>
              <w:widowControl w:val="0"/>
              <w:kinsoku w:val="0"/>
              <w:wordWrap/>
              <w:overflowPunct w:val="0"/>
              <w:topLinePunct w:val="0"/>
              <w:bidi w:val="0"/>
              <w:snapToGrid/>
              <w:spacing w:after="0" w:line="240" w:lineRule="auto"/>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p>
        </w:tc>
      </w:tr>
    </w:tbl>
    <w:p w14:paraId="10CA8C80">
      <w:pPr>
        <w:keepNext w:val="0"/>
        <w:keepLines w:val="0"/>
        <w:pageBreakBefore w:val="0"/>
        <w:widowControl w:val="0"/>
        <w:kinsoku w:val="0"/>
        <w:wordWrap/>
        <w:overflowPunct w:val="0"/>
        <w:topLinePunct w:val="0"/>
        <w:bidi w:val="0"/>
        <w:snapToGrid/>
        <w:spacing w:after="0" w:line="240" w:lineRule="auto"/>
        <w:ind w:left="0" w:right="0" w:rightChars="0" w:firstLine="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耗材清单：</w:t>
      </w:r>
    </w:p>
    <w:tbl>
      <w:tblPr>
        <w:tblStyle w:val="6"/>
        <w:tblW w:w="9643"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1093"/>
        <w:gridCol w:w="1264"/>
        <w:gridCol w:w="2033"/>
        <w:gridCol w:w="1125"/>
        <w:gridCol w:w="1128"/>
        <w:gridCol w:w="686"/>
        <w:gridCol w:w="1221"/>
        <w:gridCol w:w="857"/>
      </w:tblGrid>
      <w:tr w14:paraId="1EA6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29" w:type="dxa"/>
            <w:gridSpan w:val="2"/>
            <w:noWrap w:val="0"/>
            <w:vAlign w:val="center"/>
          </w:tcPr>
          <w:p w14:paraId="2DE66041">
            <w:pPr>
              <w:keepNext w:val="0"/>
              <w:keepLines w:val="0"/>
              <w:pageBreakBefore w:val="0"/>
              <w:widowControl w:val="0"/>
              <w:kinsoku w:val="0"/>
              <w:wordWrap/>
              <w:overflowPunct w:val="0"/>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设备名称</w:t>
            </w:r>
          </w:p>
        </w:tc>
        <w:tc>
          <w:tcPr>
            <w:tcW w:w="1264" w:type="dxa"/>
            <w:noWrap w:val="0"/>
            <w:vAlign w:val="top"/>
          </w:tcPr>
          <w:p w14:paraId="4B2E2207">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耗材名称</w:t>
            </w:r>
          </w:p>
        </w:tc>
        <w:tc>
          <w:tcPr>
            <w:tcW w:w="2033" w:type="dxa"/>
            <w:noWrap w:val="0"/>
            <w:vAlign w:val="top"/>
          </w:tcPr>
          <w:p w14:paraId="4076A71E">
            <w:pPr>
              <w:keepNext w:val="0"/>
              <w:keepLines w:val="0"/>
              <w:pageBreakBefore w:val="0"/>
              <w:widowControl w:val="0"/>
              <w:kinsoku w:val="0"/>
              <w:wordWrap/>
              <w:overflowPunct w:val="0"/>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阳光挂网组件编号</w:t>
            </w:r>
          </w:p>
        </w:tc>
        <w:tc>
          <w:tcPr>
            <w:tcW w:w="1125" w:type="dxa"/>
            <w:noWrap w:val="0"/>
            <w:vAlign w:val="top"/>
          </w:tcPr>
          <w:p w14:paraId="60060059">
            <w:pPr>
              <w:keepNext w:val="0"/>
              <w:keepLines w:val="0"/>
              <w:pageBreakBefore w:val="0"/>
              <w:widowControl w:val="0"/>
              <w:kinsoku w:val="0"/>
              <w:wordWrap/>
              <w:overflowPunct w:val="0"/>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产地品牌</w:t>
            </w:r>
          </w:p>
        </w:tc>
        <w:tc>
          <w:tcPr>
            <w:tcW w:w="1128" w:type="dxa"/>
            <w:noWrap w:val="0"/>
            <w:vAlign w:val="center"/>
          </w:tcPr>
          <w:p w14:paraId="14E35975">
            <w:pPr>
              <w:keepNext w:val="0"/>
              <w:keepLines w:val="0"/>
              <w:pageBreakBefore w:val="0"/>
              <w:widowControl w:val="0"/>
              <w:kinsoku w:val="0"/>
              <w:wordWrap/>
              <w:overflowPunct w:val="0"/>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规格型号</w:t>
            </w:r>
          </w:p>
        </w:tc>
        <w:tc>
          <w:tcPr>
            <w:tcW w:w="686" w:type="dxa"/>
            <w:noWrap w:val="0"/>
            <w:vAlign w:val="center"/>
          </w:tcPr>
          <w:p w14:paraId="0B702373">
            <w:pPr>
              <w:keepNext w:val="0"/>
              <w:keepLines w:val="0"/>
              <w:pageBreakBefore w:val="0"/>
              <w:widowControl w:val="0"/>
              <w:kinsoku w:val="0"/>
              <w:wordWrap/>
              <w:overflowPunct w:val="0"/>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单位</w:t>
            </w:r>
          </w:p>
        </w:tc>
        <w:tc>
          <w:tcPr>
            <w:tcW w:w="1221" w:type="dxa"/>
            <w:noWrap w:val="0"/>
            <w:vAlign w:val="center"/>
          </w:tcPr>
          <w:p w14:paraId="07782334">
            <w:pPr>
              <w:keepNext w:val="0"/>
              <w:keepLines w:val="0"/>
              <w:pageBreakBefore w:val="0"/>
              <w:widowControl w:val="0"/>
              <w:kinsoku w:val="0"/>
              <w:wordWrap/>
              <w:overflowPunct w:val="0"/>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单价（元）</w:t>
            </w:r>
          </w:p>
        </w:tc>
        <w:tc>
          <w:tcPr>
            <w:tcW w:w="857" w:type="dxa"/>
            <w:noWrap w:val="0"/>
            <w:vAlign w:val="center"/>
          </w:tcPr>
          <w:p w14:paraId="4BF79FD4">
            <w:pPr>
              <w:keepNext w:val="0"/>
              <w:keepLines w:val="0"/>
              <w:pageBreakBefore w:val="0"/>
              <w:widowControl w:val="0"/>
              <w:kinsoku w:val="0"/>
              <w:wordWrap/>
              <w:overflowPunct w:val="0"/>
              <w:topLinePunct w:val="0"/>
              <w:bidi w:val="0"/>
              <w:snapToGrid/>
              <w:spacing w:after="0" w:line="240" w:lineRule="auto"/>
              <w:ind w:left="0" w:leftChars="0" w:right="0" w:rightChars="0" w:firstLine="0" w:firstLineChars="0"/>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备注</w:t>
            </w:r>
          </w:p>
        </w:tc>
      </w:tr>
      <w:tr w14:paraId="57550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1329" w:type="dxa"/>
            <w:gridSpan w:val="2"/>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244A9D6">
            <w:pPr>
              <w:keepNext w:val="0"/>
              <w:keepLines w:val="0"/>
              <w:pageBreakBefore w:val="0"/>
              <w:widowControl w:val="0"/>
              <w:kinsoku w:val="0"/>
              <w:wordWrap/>
              <w:overflowPunct w:val="0"/>
              <w:topLinePunct w:val="0"/>
              <w:bidi w:val="0"/>
              <w:snapToGrid/>
              <w:spacing w:after="0" w:line="240" w:lineRule="auto"/>
              <w:ind w:left="0" w:right="0" w:rightChars="0"/>
              <w:jc w:val="left"/>
              <w:rPr>
                <w:rFonts w:hint="eastAsia" w:ascii="宋体" w:hAnsi="宋体" w:eastAsia="宋体" w:cs="宋体"/>
                <w:b w:val="0"/>
                <w:bCs/>
                <w:color w:val="000000" w:themeColor="text1"/>
                <w:sz w:val="22"/>
                <w:szCs w:val="22"/>
                <w14:textFill>
                  <w14:solidFill>
                    <w14:schemeClr w14:val="tx1"/>
                  </w14:solidFill>
                </w14:textFill>
              </w:rPr>
            </w:pPr>
          </w:p>
        </w:tc>
        <w:tc>
          <w:tcPr>
            <w:tcW w:w="126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59CF272">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2033"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206E1C7D">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759F571">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112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21BB49B">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68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F4CDB8C">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122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2A71D5E">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c>
          <w:tcPr>
            <w:tcW w:w="857" w:type="dxa"/>
            <w:tcBorders>
              <w:top w:val="single" w:color="auto" w:sz="4" w:space="0"/>
              <w:left w:val="single" w:color="auto" w:sz="4" w:space="0"/>
              <w:bottom w:val="single" w:color="auto" w:sz="4" w:space="0"/>
            </w:tcBorders>
            <w:shd w:val="clear" w:color="000000" w:fill="FFFFFF"/>
            <w:noWrap w:val="0"/>
            <w:vAlign w:val="center"/>
          </w:tcPr>
          <w:p w14:paraId="341D0E0F">
            <w:pPr>
              <w:keepNext w:val="0"/>
              <w:keepLines w:val="0"/>
              <w:pageBreakBefore w:val="0"/>
              <w:widowControl w:val="0"/>
              <w:kinsoku w:val="0"/>
              <w:wordWrap/>
              <w:overflowPunct w:val="0"/>
              <w:topLinePunct w:val="0"/>
              <w:bidi w:val="0"/>
              <w:snapToGrid/>
              <w:spacing w:after="0" w:line="240" w:lineRule="auto"/>
              <w:ind w:left="0" w:right="0" w:rightChars="0"/>
              <w:jc w:val="center"/>
              <w:rPr>
                <w:rFonts w:hint="eastAsia" w:ascii="宋体" w:hAnsi="宋体" w:eastAsia="宋体" w:cs="宋体"/>
                <w:b w:val="0"/>
                <w:bCs/>
                <w:color w:val="000000" w:themeColor="text1"/>
                <w:sz w:val="22"/>
                <w:szCs w:val="22"/>
                <w14:textFill>
                  <w14:solidFill>
                    <w14:schemeClr w14:val="tx1"/>
                  </w14:solidFill>
                </w14:textFill>
              </w:rPr>
            </w:pPr>
          </w:p>
        </w:tc>
      </w:tr>
      <w:tr w14:paraId="1A08D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6" w:type="dxa"/>
            <w:tcBorders>
              <w:top w:val="single" w:color="auto" w:sz="4" w:space="0"/>
              <w:left w:val="single" w:color="auto" w:sz="4" w:space="0"/>
              <w:bottom w:val="single" w:color="auto" w:sz="4" w:space="0"/>
            </w:tcBorders>
            <w:shd w:val="clear" w:color="000000" w:fill="FFFFFF"/>
            <w:noWrap w:val="0"/>
            <w:vAlign w:val="top"/>
          </w:tcPr>
          <w:p w14:paraId="78D004D3">
            <w:pPr>
              <w:keepNext w:val="0"/>
              <w:keepLines w:val="0"/>
              <w:pageBreakBefore w:val="0"/>
              <w:widowControl w:val="0"/>
              <w:kinsoku w:val="0"/>
              <w:wordWrap/>
              <w:overflowPunct w:val="0"/>
              <w:topLinePunct w:val="0"/>
              <w:bidi w:val="0"/>
              <w:snapToGrid/>
              <w:spacing w:after="0" w:line="240" w:lineRule="auto"/>
              <w:ind w:left="0" w:right="0" w:rightChars="0"/>
              <w:jc w:val="left"/>
              <w:rPr>
                <w:rFonts w:hint="eastAsia" w:ascii="宋体" w:hAnsi="宋体" w:eastAsia="宋体" w:cs="宋体"/>
                <w:b w:val="0"/>
                <w:bCs/>
                <w:color w:val="000000" w:themeColor="text1"/>
                <w:sz w:val="22"/>
                <w:szCs w:val="22"/>
                <w14:textFill>
                  <w14:solidFill>
                    <w14:schemeClr w14:val="tx1"/>
                  </w14:solidFill>
                </w14:textFill>
              </w:rPr>
            </w:pPr>
          </w:p>
        </w:tc>
        <w:tc>
          <w:tcPr>
            <w:tcW w:w="9407" w:type="dxa"/>
            <w:gridSpan w:val="8"/>
            <w:tcBorders>
              <w:top w:val="single" w:color="auto" w:sz="4" w:space="0"/>
              <w:left w:val="single" w:color="auto" w:sz="4" w:space="0"/>
              <w:bottom w:val="single" w:color="auto" w:sz="4" w:space="0"/>
            </w:tcBorders>
            <w:shd w:val="clear" w:color="000000" w:fill="FFFFFF"/>
            <w:noWrap w:val="0"/>
            <w:vAlign w:val="center"/>
          </w:tcPr>
          <w:p w14:paraId="59C63522">
            <w:pPr>
              <w:keepNext w:val="0"/>
              <w:keepLines w:val="0"/>
              <w:pageBreakBefore w:val="0"/>
              <w:widowControl w:val="0"/>
              <w:kinsoku w:val="0"/>
              <w:wordWrap/>
              <w:overflowPunct w:val="0"/>
              <w:topLinePunct w:val="0"/>
              <w:bidi w:val="0"/>
              <w:snapToGrid/>
              <w:spacing w:after="0" w:line="240" w:lineRule="auto"/>
              <w:ind w:left="0" w:right="0" w:rightChars="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备注：耗材价格不包含在总报价里，此价格为最高限价</w:t>
            </w:r>
          </w:p>
        </w:tc>
      </w:tr>
    </w:tbl>
    <w:p w14:paraId="49384E1B">
      <w:pPr>
        <w:keepNext w:val="0"/>
        <w:keepLines w:val="0"/>
        <w:pageBreakBefore w:val="0"/>
        <w:widowControl w:val="0"/>
        <w:kinsoku w:val="0"/>
        <w:wordWrap/>
        <w:overflowPunct w:val="0"/>
        <w:topLinePunct w:val="0"/>
        <w:bidi w:val="0"/>
        <w:snapToGrid/>
        <w:spacing w:after="0" w:line="280" w:lineRule="exact"/>
        <w:ind w:left="0" w:right="0" w:rightChars="0" w:firstLine="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二、合同总价</w:t>
      </w:r>
    </w:p>
    <w:p w14:paraId="2F9A807E">
      <w:pPr>
        <w:pStyle w:val="3"/>
        <w:keepNext w:val="0"/>
        <w:keepLines w:val="0"/>
        <w:pageBreakBefore w:val="0"/>
        <w:widowControl w:val="0"/>
        <w:kinsoku w:val="0"/>
        <w:wordWrap/>
        <w:overflowPunct w:val="0"/>
        <w:topLinePunct w:val="0"/>
        <w:bidi w:val="0"/>
        <w:snapToGrid/>
        <w:spacing w:before="0" w:after="0" w:line="280" w:lineRule="exact"/>
        <w:ind w:left="0" w:right="0" w:rightChars="0" w:firstLine="464"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合同总价为人民币大写：</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，即RMB¥</w:t>
      </w:r>
      <w:r>
        <w:rPr>
          <w:rFonts w:hint="eastAsia" w:ascii="宋体" w:hAnsi="宋体" w:eastAsia="宋体" w:cs="宋体"/>
          <w:b w:val="0"/>
          <w:bCs/>
          <w:color w:val="000000" w:themeColor="text1"/>
          <w:sz w:val="22"/>
          <w:szCs w:val="22"/>
          <w:u w:val="single"/>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元；该合同总价已包括货物生产、包装、运输、安装、调试、检测、培训、验收合格交付使用之前及保修期内保修服务与备用物件等所有其它有关各项的含税费用。本合同执行期间合同总价不变，甲方无须另向乙方支付本合同规定之外的其他任何费用。</w:t>
      </w:r>
    </w:p>
    <w:p w14:paraId="59033A8B">
      <w:pPr>
        <w:pStyle w:val="3"/>
        <w:keepNext w:val="0"/>
        <w:keepLines w:val="0"/>
        <w:pageBreakBefore w:val="0"/>
        <w:widowControl w:val="0"/>
        <w:numPr>
          <w:ilvl w:val="0"/>
          <w:numId w:val="0"/>
        </w:numPr>
        <w:kinsoku w:val="0"/>
        <w:wordWrap/>
        <w:overflowPunct w:val="0"/>
        <w:topLinePunct w:val="0"/>
        <w:bidi w:val="0"/>
        <w:snapToGrid/>
        <w:spacing w:before="0" w:after="0" w:line="280" w:lineRule="exact"/>
        <w:ind w:leftChars="0" w:right="0" w:rightChars="0" w:firstLine="464"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val="en-US" w:eastAsia="zh-CN"/>
          <w14:textFill>
            <w14:solidFill>
              <w14:schemeClr w14:val="tx1"/>
            </w14:solidFill>
          </w14:textFill>
        </w:rPr>
        <w:t>三、</w:t>
      </w:r>
      <w:r>
        <w:rPr>
          <w:rFonts w:hint="eastAsia" w:ascii="宋体" w:hAnsi="宋体" w:eastAsia="宋体" w:cs="宋体"/>
          <w:b w:val="0"/>
          <w:bCs/>
          <w:color w:val="000000" w:themeColor="text1"/>
          <w:sz w:val="22"/>
          <w:szCs w:val="22"/>
          <w14:textFill>
            <w14:solidFill>
              <w14:schemeClr w14:val="tx1"/>
            </w14:solidFill>
          </w14:textFill>
        </w:rPr>
        <w:t>交货地点：</w:t>
      </w:r>
      <w:r>
        <w:rPr>
          <w:rFonts w:hint="eastAsia" w:ascii="宋体" w:hAnsi="宋体" w:eastAsia="宋体" w:cs="宋体"/>
          <w:b w:val="0"/>
          <w:bCs/>
          <w:color w:val="000000" w:themeColor="text1"/>
          <w:sz w:val="22"/>
          <w:szCs w:val="22"/>
          <w:lang w:eastAsia="zh-CN"/>
          <w14:textFill>
            <w14:solidFill>
              <w14:schemeClr w14:val="tx1"/>
            </w14:solidFill>
          </w14:textFill>
        </w:rPr>
        <w:t>延安大学附属医院</w:t>
      </w:r>
      <w:r>
        <w:rPr>
          <w:rFonts w:hint="eastAsia" w:ascii="宋体" w:hAnsi="宋体" w:eastAsia="宋体" w:cs="宋体"/>
          <w:b w:val="0"/>
          <w:bCs/>
          <w:color w:val="000000" w:themeColor="text1"/>
          <w:sz w:val="22"/>
          <w:szCs w:val="22"/>
          <w14:textFill>
            <w14:solidFill>
              <w14:schemeClr w14:val="tx1"/>
            </w14:solidFill>
          </w14:textFill>
        </w:rPr>
        <w:t>（甲方指定地点）</w:t>
      </w:r>
    </w:p>
    <w:p w14:paraId="4EFF56A3">
      <w:pPr>
        <w:pStyle w:val="3"/>
        <w:keepNext w:val="0"/>
        <w:keepLines w:val="0"/>
        <w:pageBreakBefore w:val="0"/>
        <w:widowControl w:val="0"/>
        <w:kinsoku w:val="0"/>
        <w:wordWrap/>
        <w:overflowPunct w:val="0"/>
        <w:topLinePunct w:val="0"/>
        <w:bidi w:val="0"/>
        <w:snapToGrid/>
        <w:spacing w:before="0"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注意：包装箱及拆箱、安装和调试产生的垃圾请带出院外自行处理。</w:t>
      </w:r>
    </w:p>
    <w:p w14:paraId="3ACB8089">
      <w:pPr>
        <w:pStyle w:val="3"/>
        <w:keepNext w:val="0"/>
        <w:keepLines w:val="0"/>
        <w:pageBreakBefore w:val="0"/>
        <w:widowControl w:val="0"/>
        <w:kinsoku w:val="0"/>
        <w:wordWrap/>
        <w:overflowPunct w:val="0"/>
        <w:topLinePunct w:val="0"/>
        <w:bidi w:val="0"/>
        <w:snapToGrid/>
        <w:spacing w:before="0" w:after="0" w:line="280" w:lineRule="exact"/>
        <w:ind w:left="0" w:right="0" w:rightChars="0" w:firstLine="464"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四、质量要求</w:t>
      </w:r>
    </w:p>
    <w:p w14:paraId="07E778A5">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1、乙方须提供全新的货物（含零部件、配件等），表面无划伤、无碰撞痕迹，且权属清楚，不得侵害他人的知识产权。</w:t>
      </w:r>
    </w:p>
    <w:p w14:paraId="45DCB880">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2、货物必须符合国家</w:t>
      </w:r>
      <w:r>
        <w:rPr>
          <w:rFonts w:hint="eastAsia" w:ascii="宋体" w:hAnsi="宋体" w:eastAsia="宋体" w:cs="宋体"/>
          <w:b w:val="0"/>
          <w:bCs/>
          <w:color w:val="000000" w:themeColor="text1"/>
          <w:sz w:val="22"/>
          <w:szCs w:val="22"/>
          <w:lang w:eastAsia="zh-CN"/>
          <w14:textFill>
            <w14:solidFill>
              <w14:schemeClr w14:val="tx1"/>
            </w14:solidFill>
          </w14:textFill>
        </w:rPr>
        <w:t>或</w:t>
      </w:r>
      <w:r>
        <w:rPr>
          <w:rFonts w:hint="eastAsia" w:ascii="宋体" w:hAnsi="宋体" w:eastAsia="宋体" w:cs="宋体"/>
          <w:b w:val="0"/>
          <w:bCs/>
          <w:color w:val="000000" w:themeColor="text1"/>
          <w:sz w:val="22"/>
          <w:szCs w:val="22"/>
          <w14:textFill>
            <w14:solidFill>
              <w14:schemeClr w14:val="tx1"/>
            </w14:solidFill>
          </w14:textFill>
        </w:rPr>
        <w:t>行业标准，以及本项目招标文件的质量要求和技术指标与出厂标准。</w:t>
      </w:r>
    </w:p>
    <w:p w14:paraId="3C321C5D">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3、货物质量出现问题，乙方应在三日内负责包换或包退，产生的费用由乙方负担，甲方有权监督质询乙方提供的货物质量和生产、运输进度。</w:t>
      </w:r>
    </w:p>
    <w:p w14:paraId="4FFB301B">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4、货到现场后由于甲方保管不当影响货物质量或被损坏，乙方应负责维修或更换被损坏的部件，因此产生的费用由甲方负担。</w:t>
      </w:r>
    </w:p>
    <w:p w14:paraId="40A3B5CB">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5、因乙方所供设备质量问题引发的一切纠纷及损失由乙方承担责任，给甲方造成损失的乙方应当承担赔偿责任。</w:t>
      </w:r>
    </w:p>
    <w:p w14:paraId="19E48BA9">
      <w:pPr>
        <w:keepNext w:val="0"/>
        <w:keepLines w:val="0"/>
        <w:pageBreakBefore w:val="0"/>
        <w:widowControl w:val="0"/>
        <w:kinsoku w:val="0"/>
        <w:wordWrap/>
        <w:overflowPunct w:val="0"/>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五、交货及验收</w:t>
      </w:r>
    </w:p>
    <w:p w14:paraId="63DEB33E">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乙方交货期限为合同签订生效后的XX日内，在合同签订生效之日起XX天内交货到甲方指定地点，乙方应在3日内全部完成安装调试并经验收合格交付使用，由于甲方的原因造成合同延迟签订或验收的，时间顺延。交货验收时乙方须提供产品质检部门从同类产品中抽样检查合格的检测报告，进口产品需提供甲方购买货物的相同批次报关文件。</w:t>
      </w:r>
    </w:p>
    <w:p w14:paraId="63B024AA">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2、验收由甲方组织，乙方配合进行：</w:t>
      </w:r>
    </w:p>
    <w:p w14:paraId="5DE871BC">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 货物在乙方通知安装调试完毕后3日内初步验收。初步验收合格后，进入15日试用期；试用期间发生重大质量问题，按照合同条款第四项之第3条处理，试用期相应顺延；试用期结束后3日内完成最终验收；</w:t>
      </w:r>
    </w:p>
    <w:p w14:paraId="483A525C">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568EDFB9">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 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65C9B7AA">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(4) 如质量验收合格，双方签署质量验收报告，作为双方最终结算的依据。  </w:t>
      </w:r>
    </w:p>
    <w:p w14:paraId="5A7851E8">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3、货物安装完成后3日内，甲方无故不进行验收工作并已使用货物的，视同已安装调试完成并初步验收合格。</w:t>
      </w:r>
    </w:p>
    <w:p w14:paraId="1F461E7D">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乙方应将所提供货物的装箱清单、配件、随机工具、用户使用手册、原厂保修卡等资料在交货的同时交付给甲方；乙方不能完整交付货物及本款规定的单证或工具等约定的资料的，必须负责补齐，否则视为未按合同约定交货。</w:t>
      </w:r>
    </w:p>
    <w:p w14:paraId="65A88837">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5、如货物质量有问题，经甲方同意乙方2次维修仍不能达到合同约定的质量标准，甲方有权退货，并视作乙方不能交付货物而须支付违约赔偿金给甲方，甲方还可依法追究乙方的违约责任。 </w:t>
      </w:r>
    </w:p>
    <w:p w14:paraId="200EEE5B">
      <w:pPr>
        <w:keepNext w:val="0"/>
        <w:keepLines w:val="0"/>
        <w:pageBreakBefore w:val="0"/>
        <w:widowControl w:val="0"/>
        <w:kinsoku w:val="0"/>
        <w:wordWrap/>
        <w:overflowPunct w:val="0"/>
        <w:topLinePunct w:val="0"/>
        <w:bidi w:val="0"/>
        <w:snapToGrid/>
        <w:spacing w:after="0" w:line="280" w:lineRule="exact"/>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六、培训和保养</w:t>
      </w:r>
    </w:p>
    <w:p w14:paraId="298CDF03">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  </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乙方以多种方式负责向甲方培训设备的使用操作和维护保养工作，直到熟练掌握为止。甲方负责考核培训结果以决定是否需要再培训。乙方接到甲方培训通知后3日内安排再培训。</w:t>
      </w:r>
    </w:p>
    <w:p w14:paraId="70A9E604">
      <w:pPr>
        <w:keepNext w:val="0"/>
        <w:keepLines w:val="0"/>
        <w:pageBreakBefore w:val="0"/>
        <w:widowControl w:val="0"/>
        <w:kinsoku w:val="0"/>
        <w:wordWrap/>
        <w:overflowPunct w:val="0"/>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七、付款方式     </w:t>
      </w:r>
    </w:p>
    <w:p w14:paraId="56EB4E55">
      <w:pPr>
        <w:keepNext w:val="0"/>
        <w:keepLines w:val="0"/>
        <w:pageBreakBefore w:val="0"/>
        <w:widowControl w:val="0"/>
        <w:kinsoku w:val="0"/>
        <w:wordWrap/>
        <w:overflowPunct w:val="0"/>
        <w:topLinePunct w:val="0"/>
        <w:bidi w:val="0"/>
        <w:snapToGrid/>
        <w:spacing w:after="0" w:line="280" w:lineRule="exact"/>
        <w:ind w:left="0" w:right="0" w:rightChars="0" w:firstLine="440" w:firstLineChars="200"/>
        <w:rPr>
          <w:rFonts w:hint="eastAsia" w:ascii="宋体" w:hAnsi="宋体" w:eastAsia="宋体" w:cs="宋体"/>
          <w:b w:val="0"/>
          <w:bCs/>
          <w:color w:val="000000" w:themeColor="text1"/>
          <w:sz w:val="22"/>
          <w:szCs w:val="22"/>
          <w:highlight w:val="none"/>
          <w14:textFill>
            <w14:solidFill>
              <w14:schemeClr w14:val="tx1"/>
            </w14:solidFill>
          </w14:textFill>
        </w:rPr>
      </w:pPr>
      <w:r>
        <w:rPr>
          <w:rFonts w:hint="eastAsia" w:ascii="宋体" w:hAnsi="宋体" w:eastAsia="宋体" w:cs="宋体"/>
          <w:b w:val="0"/>
          <w:bCs/>
          <w:color w:val="000000" w:themeColor="text1"/>
          <w:sz w:val="22"/>
          <w:szCs w:val="22"/>
          <w:highlight w:val="none"/>
          <w14:textFill>
            <w14:solidFill>
              <w14:schemeClr w14:val="tx1"/>
            </w14:solidFill>
          </w14:textFill>
        </w:rPr>
        <w:t>1</w:t>
      </w:r>
      <w:r>
        <w:rPr>
          <w:rFonts w:hint="eastAsia" w:ascii="宋体" w:hAnsi="宋体" w:eastAsia="宋体" w:cs="宋体"/>
          <w:b w:val="0"/>
          <w:bCs/>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合同签订后，</w:t>
      </w:r>
      <w:r>
        <w:rPr>
          <w:rFonts w:hint="eastAsia" w:ascii="宋体" w:hAnsi="宋体" w:eastAsia="宋体" w:cs="宋体"/>
          <w:color w:val="000000" w:themeColor="text1"/>
          <w:lang w:val="en-US" w:eastAsia="zh-CN"/>
          <w14:textFill>
            <w14:solidFill>
              <w14:schemeClr w14:val="tx1"/>
            </w14:solidFill>
          </w14:textFill>
        </w:rPr>
        <w:t>10个工作日内，</w:t>
      </w:r>
      <w:r>
        <w:rPr>
          <w:rFonts w:hint="eastAsia" w:ascii="宋体" w:hAnsi="宋体" w:eastAsia="宋体" w:cs="宋体"/>
          <w:color w:val="000000" w:themeColor="text1"/>
          <w14:textFill>
            <w14:solidFill>
              <w14:schemeClr w14:val="tx1"/>
            </w14:solidFill>
          </w14:textFill>
        </w:rPr>
        <w:t>甲方</w:t>
      </w:r>
      <w:r>
        <w:rPr>
          <w:rFonts w:hint="eastAsia" w:ascii="宋体" w:hAnsi="宋体" w:eastAsia="宋体" w:cs="宋体"/>
          <w:color w:val="000000" w:themeColor="text1"/>
          <w:lang w:eastAsia="zh-CN"/>
          <w14:textFill>
            <w14:solidFill>
              <w14:schemeClr w14:val="tx1"/>
            </w14:solidFill>
          </w14:textFill>
        </w:rPr>
        <w:t>向</w:t>
      </w:r>
      <w:r>
        <w:rPr>
          <w:rFonts w:hint="eastAsia" w:ascii="宋体" w:hAnsi="宋体" w:eastAsia="宋体" w:cs="宋体"/>
          <w:color w:val="000000" w:themeColor="text1"/>
          <w14:textFill>
            <w14:solidFill>
              <w14:schemeClr w14:val="tx1"/>
            </w14:solidFill>
          </w14:textFill>
        </w:rPr>
        <w:t>乙方</w:t>
      </w:r>
      <w:r>
        <w:rPr>
          <w:rFonts w:hint="eastAsia" w:ascii="宋体" w:hAnsi="宋体" w:eastAsia="宋体" w:cs="宋体"/>
          <w:color w:val="000000" w:themeColor="text1"/>
          <w:lang w:eastAsia="zh-CN"/>
          <w14:textFill>
            <w14:solidFill>
              <w14:schemeClr w14:val="tx1"/>
            </w14:solidFill>
          </w14:textFill>
        </w:rPr>
        <w:t>支付</w:t>
      </w:r>
      <w:r>
        <w:rPr>
          <w:rFonts w:hint="eastAsia" w:ascii="宋体" w:hAnsi="宋体" w:eastAsia="宋体" w:cs="宋体"/>
          <w:color w:val="000000" w:themeColor="text1"/>
          <w14:textFill>
            <w14:solidFill>
              <w14:schemeClr w14:val="tx1"/>
            </w14:solidFill>
          </w14:textFill>
        </w:rPr>
        <w:t>合同价款的</w:t>
      </w:r>
      <w:r>
        <w:rPr>
          <w:rFonts w:hint="eastAsia" w:ascii="宋体" w:hAnsi="宋体" w:eastAsia="宋体" w:cs="宋体"/>
          <w:color w:val="000000" w:themeColor="text1"/>
          <w:lang w:val="en-US" w:eastAsia="zh-CN"/>
          <w14:textFill>
            <w14:solidFill>
              <w14:schemeClr w14:val="tx1"/>
            </w14:solidFill>
          </w14:textFill>
        </w:rPr>
        <w:t>60</w:t>
      </w:r>
      <w:r>
        <w:rPr>
          <w:rFonts w:hint="eastAsia" w:ascii="宋体" w:hAnsi="宋体" w:eastAsia="宋体" w:cs="宋体"/>
        </w:rPr>
        <w:t>%</w:t>
      </w:r>
      <w:r>
        <w:rPr>
          <w:rFonts w:hint="eastAsia" w:ascii="宋体" w:hAnsi="宋体" w:eastAsia="宋体" w:cs="宋体"/>
          <w:lang w:eastAsia="zh-CN"/>
        </w:rPr>
        <w:t>作为预付款</w:t>
      </w:r>
      <w:r>
        <w:rPr>
          <w:rFonts w:hint="eastAsia" w:ascii="宋体" w:hAnsi="宋体" w:eastAsia="宋体" w:cs="宋体"/>
        </w:rPr>
        <w:t>；货到安装、调试</w:t>
      </w:r>
      <w:r>
        <w:rPr>
          <w:rFonts w:hint="eastAsia" w:ascii="宋体" w:hAnsi="宋体" w:eastAsia="宋体" w:cs="宋体"/>
          <w:color w:val="000000" w:themeColor="text1"/>
          <w14:textFill>
            <w14:solidFill>
              <w14:schemeClr w14:val="tx1"/>
            </w14:solidFill>
          </w14:textFill>
        </w:rPr>
        <w:t>符合合同约定的质量标准要求，</w:t>
      </w:r>
      <w:r>
        <w:rPr>
          <w:rFonts w:hint="eastAsia" w:ascii="宋体" w:hAnsi="宋体" w:eastAsia="宋体" w:cs="宋体"/>
          <w:color w:val="000000" w:themeColor="text1"/>
          <w:lang w:val="en-US" w:eastAsia="zh-CN"/>
          <w14:textFill>
            <w14:solidFill>
              <w14:schemeClr w14:val="tx1"/>
            </w14:solidFill>
          </w14:textFill>
        </w:rPr>
        <w:t>30个工作日内，</w:t>
      </w:r>
      <w:r>
        <w:rPr>
          <w:rFonts w:hint="eastAsia" w:ascii="宋体" w:hAnsi="宋体" w:eastAsia="宋体" w:cs="宋体"/>
          <w:color w:val="000000" w:themeColor="text1"/>
          <w14:textFill>
            <w14:solidFill>
              <w14:schemeClr w14:val="tx1"/>
            </w14:solidFill>
          </w14:textFill>
        </w:rPr>
        <w:t>甲方</w:t>
      </w:r>
      <w:r>
        <w:rPr>
          <w:rFonts w:hint="eastAsia" w:ascii="宋体" w:hAnsi="宋体" w:eastAsia="宋体" w:cs="宋体"/>
          <w:color w:val="000000" w:themeColor="text1"/>
          <w:lang w:eastAsia="zh-CN"/>
          <w14:textFill>
            <w14:solidFill>
              <w14:schemeClr w14:val="tx1"/>
            </w14:solidFill>
          </w14:textFill>
        </w:rPr>
        <w:t>向</w:t>
      </w:r>
      <w:r>
        <w:rPr>
          <w:rFonts w:hint="eastAsia" w:ascii="宋体" w:hAnsi="宋体" w:eastAsia="宋体" w:cs="宋体"/>
          <w:color w:val="000000" w:themeColor="text1"/>
          <w14:textFill>
            <w14:solidFill>
              <w14:schemeClr w14:val="tx1"/>
            </w14:solidFill>
          </w14:textFill>
        </w:rPr>
        <w:t>乙方</w:t>
      </w:r>
      <w:r>
        <w:rPr>
          <w:rFonts w:hint="eastAsia" w:ascii="宋体" w:hAnsi="宋体" w:eastAsia="宋体" w:cs="宋体"/>
          <w:color w:val="000000" w:themeColor="text1"/>
          <w:lang w:eastAsia="zh-CN"/>
          <w14:textFill>
            <w14:solidFill>
              <w14:schemeClr w14:val="tx1"/>
            </w14:solidFill>
          </w14:textFill>
        </w:rPr>
        <w:t>支付</w:t>
      </w:r>
      <w:r>
        <w:rPr>
          <w:rFonts w:hint="eastAsia" w:ascii="宋体" w:hAnsi="宋体" w:eastAsia="宋体" w:cs="宋体"/>
          <w:color w:val="000000" w:themeColor="text1"/>
          <w14:textFill>
            <w14:solidFill>
              <w14:schemeClr w14:val="tx1"/>
            </w14:solidFill>
          </w14:textFill>
        </w:rPr>
        <w:t>合同价款</w:t>
      </w:r>
      <w:r>
        <w:rPr>
          <w:rFonts w:hint="eastAsia" w:ascii="宋体" w:hAnsi="宋体" w:eastAsia="宋体" w:cs="宋体"/>
          <w:color w:val="000000" w:themeColor="text1"/>
          <w:lang w:eastAsia="zh-CN"/>
          <w14:textFill>
            <w14:solidFill>
              <w14:schemeClr w14:val="tx1"/>
            </w14:solidFill>
          </w14:textFill>
        </w:rPr>
        <w:t>剩余款项</w:t>
      </w:r>
      <w:r>
        <w:rPr>
          <w:rFonts w:hint="eastAsia" w:ascii="宋体" w:hAnsi="宋体" w:eastAsia="宋体" w:cs="宋体"/>
          <w:color w:val="000000" w:themeColor="text1"/>
          <w14:textFill>
            <w14:solidFill>
              <w14:schemeClr w14:val="tx1"/>
            </w14:solidFill>
          </w14:textFill>
        </w:rPr>
        <w:t>的</w:t>
      </w:r>
      <w:r>
        <w:rPr>
          <w:rFonts w:hint="eastAsia" w:ascii="宋体" w:hAnsi="宋体" w:eastAsia="宋体" w:cs="宋体"/>
          <w:color w:val="000000" w:themeColor="text1"/>
          <w:lang w:val="en-US" w:eastAsia="zh-CN"/>
          <w14:textFill>
            <w14:solidFill>
              <w14:schemeClr w14:val="tx1"/>
            </w14:solidFill>
          </w14:textFill>
        </w:rPr>
        <w:t>35</w:t>
      </w:r>
      <w:r>
        <w:rPr>
          <w:rFonts w:hint="eastAsia" w:ascii="宋体" w:hAnsi="宋体" w:eastAsia="宋体" w:cs="宋体"/>
        </w:rPr>
        <w:t>%；</w:t>
      </w:r>
      <w:r>
        <w:rPr>
          <w:rFonts w:hint="eastAsia" w:ascii="宋体" w:hAnsi="宋体" w:eastAsia="宋体" w:cs="宋体"/>
          <w:color w:val="000000" w:themeColor="text1"/>
          <w14:textFill>
            <w14:solidFill>
              <w14:schemeClr w14:val="tx1"/>
            </w14:solidFill>
          </w14:textFill>
        </w:rPr>
        <w:t>经最终履约验收合格后，甲方</w:t>
      </w:r>
      <w:r>
        <w:rPr>
          <w:rFonts w:hint="eastAsia" w:ascii="宋体" w:hAnsi="宋体" w:eastAsia="宋体" w:cs="宋体"/>
          <w:color w:val="000000" w:themeColor="text1"/>
          <w:lang w:val="en-US" w:eastAsia="zh-CN"/>
          <w14:textFill>
            <w14:solidFill>
              <w14:schemeClr w14:val="tx1"/>
            </w14:solidFill>
          </w14:textFill>
        </w:rPr>
        <w:t>30</w:t>
      </w:r>
      <w:r>
        <w:rPr>
          <w:rFonts w:hint="eastAsia" w:ascii="宋体" w:hAnsi="宋体" w:eastAsia="宋体" w:cs="宋体"/>
          <w:color w:val="000000" w:themeColor="text1"/>
          <w14:textFill>
            <w14:solidFill>
              <w14:schemeClr w14:val="tx1"/>
            </w14:solidFill>
          </w14:textFill>
        </w:rPr>
        <w:t>个工作日内向乙方支付剩余合同价款的</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w:t>
      </w:r>
    </w:p>
    <w:p w14:paraId="743CFCCF">
      <w:pPr>
        <w:pStyle w:val="10"/>
        <w:keepNext w:val="0"/>
        <w:keepLines w:val="0"/>
        <w:pageBreakBefore w:val="0"/>
        <w:widowControl w:val="0"/>
        <w:kinsoku w:val="0"/>
        <w:wordWrap/>
        <w:overflowPunct w:val="0"/>
        <w:topLinePunct w:val="0"/>
        <w:bidi w:val="0"/>
        <w:spacing w:line="240" w:lineRule="auto"/>
        <w:ind w:firstLine="440" w:firstLineChars="200"/>
        <w:rPr>
          <w:ins w:id="0" w:author="懒汉ing" w:date="2025-06-13T15:40:39Z"/>
          <w:rFonts w:hint="eastAsia" w:ascii="宋体" w:hAnsi="宋体" w:eastAsia="宋体" w:cs="宋体"/>
          <w:b w:val="0"/>
          <w:bCs/>
          <w:color w:val="000000" w:themeColor="text1"/>
          <w:sz w:val="22"/>
          <w:szCs w:val="22"/>
          <w:highlight w:val="none"/>
          <w14:textFill>
            <w14:solidFill>
              <w14:schemeClr w14:val="tx1"/>
            </w14:solidFill>
          </w14:textFill>
        </w:rPr>
      </w:pPr>
      <w:r>
        <w:rPr>
          <w:rFonts w:hint="eastAsia" w:ascii="宋体" w:hAnsi="宋体" w:eastAsia="宋体" w:cs="宋体"/>
          <w:b w:val="0"/>
          <w:bCs/>
          <w:color w:val="000000" w:themeColor="text1"/>
          <w:sz w:val="22"/>
          <w:szCs w:val="22"/>
          <w:highlight w:val="none"/>
          <w:lang w:val="en-US" w:eastAsia="zh-CN"/>
          <w14:textFill>
            <w14:solidFill>
              <w14:schemeClr w14:val="tx1"/>
            </w14:solidFill>
          </w14:textFill>
        </w:rPr>
        <w:t>2</w:t>
      </w:r>
      <w:r>
        <w:rPr>
          <w:rFonts w:hint="eastAsia" w:ascii="宋体" w:hAnsi="宋体" w:eastAsia="宋体" w:cs="宋体"/>
          <w:b w:val="0"/>
          <w:bCs/>
          <w:color w:val="000000" w:themeColor="text1"/>
          <w:sz w:val="22"/>
          <w:szCs w:val="22"/>
          <w:highlight w:val="none"/>
          <w14:textFill>
            <w14:solidFill>
              <w14:schemeClr w14:val="tx1"/>
            </w14:solidFill>
          </w14:textFill>
        </w:rPr>
        <w:t>、乙方应当在甲方付款前向甲方出具正式增值税普通发票。乙方未按照约定提供发票的，甲方有权拒付相关款项，由此造成的损失由乙方负责。</w:t>
      </w:r>
    </w:p>
    <w:p w14:paraId="618060F4">
      <w:pPr>
        <w:keepNext w:val="0"/>
        <w:keepLines w:val="0"/>
        <w:pageBreakBefore w:val="0"/>
        <w:widowControl w:val="0"/>
        <w:kinsoku w:val="0"/>
        <w:wordWrap/>
        <w:overflowPunct w:val="0"/>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eastAsia="zh-CN"/>
          <w14:textFill>
            <w14:solidFill>
              <w14:schemeClr w14:val="tx1"/>
            </w14:solidFill>
          </w14:textFill>
        </w:rPr>
        <w:t>八、</w:t>
      </w:r>
      <w:r>
        <w:rPr>
          <w:rFonts w:hint="eastAsia" w:ascii="宋体" w:hAnsi="宋体" w:eastAsia="宋体" w:cs="宋体"/>
          <w:b w:val="0"/>
          <w:bCs/>
          <w:color w:val="000000" w:themeColor="text1"/>
          <w:sz w:val="22"/>
          <w:szCs w:val="22"/>
          <w14:textFill>
            <w14:solidFill>
              <w14:schemeClr w14:val="tx1"/>
            </w14:solidFill>
          </w14:textFill>
        </w:rPr>
        <w:t>售后服务</w:t>
      </w:r>
    </w:p>
    <w:p w14:paraId="1606D981">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1、依据投标文件的响应，设备质保期为验收合格后</w:t>
      </w:r>
      <w:r>
        <w:rPr>
          <w:rFonts w:hint="eastAsia" w:ascii="宋体" w:hAnsi="宋体" w:eastAsia="宋体" w:cs="宋体"/>
          <w:b w:val="0"/>
          <w:bCs/>
          <w:color w:val="000000" w:themeColor="text1"/>
          <w:sz w:val="22"/>
          <w:szCs w:val="22"/>
          <w:lang w:val="en-US" w:eastAsia="zh-CN"/>
          <w14:textFill>
            <w14:solidFill>
              <w14:schemeClr w14:val="tx1"/>
            </w14:solidFill>
          </w14:textFill>
        </w:rPr>
        <w:t>3</w:t>
      </w:r>
      <w:r>
        <w:rPr>
          <w:rFonts w:hint="eastAsia" w:ascii="宋体" w:hAnsi="宋体" w:eastAsia="宋体" w:cs="宋体"/>
          <w:b w:val="0"/>
          <w:bCs/>
          <w:color w:val="000000" w:themeColor="text1"/>
          <w:sz w:val="22"/>
          <w:szCs w:val="22"/>
          <w14:textFill>
            <w14:solidFill>
              <w14:schemeClr w14:val="tx1"/>
            </w14:solidFill>
          </w14:textFill>
        </w:rPr>
        <w:t>年（出具厂家提供的</w:t>
      </w:r>
      <w:r>
        <w:rPr>
          <w:rFonts w:hint="eastAsia" w:ascii="宋体" w:hAnsi="宋体" w:eastAsia="宋体" w:cs="宋体"/>
          <w:b w:val="0"/>
          <w:bCs/>
          <w:color w:val="000000" w:themeColor="text1"/>
          <w:sz w:val="22"/>
          <w:szCs w:val="22"/>
          <w:lang w:val="en-US" w:eastAsia="zh-CN"/>
          <w14:textFill>
            <w14:solidFill>
              <w14:schemeClr w14:val="tx1"/>
            </w14:solidFill>
          </w14:textFill>
        </w:rPr>
        <w:t>三</w:t>
      </w:r>
      <w:r>
        <w:rPr>
          <w:rFonts w:hint="eastAsia" w:ascii="宋体" w:hAnsi="宋体" w:eastAsia="宋体" w:cs="宋体"/>
          <w:b w:val="0"/>
          <w:bCs/>
          <w:color w:val="000000" w:themeColor="text1"/>
          <w:sz w:val="22"/>
          <w:szCs w:val="22"/>
          <w14:textFill>
            <w14:solidFill>
              <w14:schemeClr w14:val="tx1"/>
            </w14:solidFill>
          </w14:textFill>
        </w:rPr>
        <w:t>年质保证明和维保内容，保修期外维修免工时费），质保期内出现质量问题，乙方在接到甲方通知后2小时内响应，8小时内到达现场明确解决方案，48小时无法排除故障者需提供备用机，并承担修理调换的费用；质保期第一年内货物经乙方</w:t>
      </w:r>
      <w:r>
        <w:rPr>
          <w:rFonts w:hint="eastAsia" w:ascii="宋体" w:hAnsi="宋体" w:eastAsia="宋体" w:cs="宋体"/>
          <w:b w:val="0"/>
          <w:bCs/>
          <w:color w:val="000000" w:themeColor="text1"/>
          <w:sz w:val="22"/>
          <w:szCs w:val="22"/>
          <w:lang w:val="en-US" w:eastAsia="zh-CN"/>
          <w14:textFill>
            <w14:solidFill>
              <w14:schemeClr w14:val="tx1"/>
            </w14:solidFill>
          </w14:textFill>
        </w:rPr>
        <w:t>2</w:t>
      </w:r>
      <w:r>
        <w:rPr>
          <w:rFonts w:hint="eastAsia" w:ascii="宋体" w:hAnsi="宋体" w:eastAsia="宋体" w:cs="宋体"/>
          <w:b w:val="0"/>
          <w:bCs/>
          <w:color w:val="000000" w:themeColor="text1"/>
          <w:sz w:val="22"/>
          <w:szCs w:val="22"/>
          <w14:textFill>
            <w14:solidFill>
              <w14:schemeClr w14:val="tx1"/>
            </w14:solidFill>
          </w14:textFill>
        </w:rPr>
        <w:t>次维修仍达不到合同约定的质量标准时，视作乙方货物质量不符合合同约定，甲方有权退货并追究乙方违约责任。货到现场后由于甲方保管不当造成的问题，乙方亦应负责修复，但费用由甲方负担。</w:t>
      </w:r>
    </w:p>
    <w:p w14:paraId="517FDD11">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2、乙方应依据货物《招标文件》的《商务要求》中技术保障和服务保障，执行乙方《投标文件》的“响应”内容；</w:t>
      </w:r>
    </w:p>
    <w:p w14:paraId="5DD58B05">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3、乙方须指派专人负责与甲方联系售后服务事宜。 </w:t>
      </w:r>
    </w:p>
    <w:p w14:paraId="5CFC6F79">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甲方联系人及电话：</w:t>
      </w:r>
    </w:p>
    <w:p w14:paraId="518980C7">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乙方法人及负责人姓名及联系电话：</w:t>
      </w:r>
    </w:p>
    <w:p w14:paraId="7ACEF1C5">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法  人：                     负责人： </w:t>
      </w:r>
    </w:p>
    <w:p w14:paraId="295D5EFB">
      <w:pPr>
        <w:keepNext w:val="0"/>
        <w:keepLines w:val="0"/>
        <w:pageBreakBefore w:val="0"/>
        <w:widowControl w:val="0"/>
        <w:kinsoku w:val="0"/>
        <w:wordWrap/>
        <w:overflowPunct w:val="0"/>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eastAsia="zh-CN"/>
          <w14:textFill>
            <w14:solidFill>
              <w14:schemeClr w14:val="tx1"/>
            </w14:solidFill>
          </w14:textFill>
        </w:rPr>
        <w:t>九</w:t>
      </w:r>
      <w:r>
        <w:rPr>
          <w:rFonts w:hint="eastAsia" w:ascii="宋体" w:hAnsi="宋体" w:eastAsia="宋体" w:cs="宋体"/>
          <w:b w:val="0"/>
          <w:bCs/>
          <w:color w:val="000000" w:themeColor="text1"/>
          <w:sz w:val="22"/>
          <w:szCs w:val="22"/>
          <w14:textFill>
            <w14:solidFill>
              <w14:schemeClr w14:val="tx1"/>
            </w14:solidFill>
          </w14:textFill>
        </w:rPr>
        <w:t>、违约责任</w:t>
      </w:r>
    </w:p>
    <w:p w14:paraId="5C7A9D10">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1、甲方违约责任</w:t>
      </w:r>
    </w:p>
    <w:p w14:paraId="6E5363E7">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（1）甲方无正当理由拒收货物的，甲方应偿付合同总价百分之五的违约金；</w:t>
      </w:r>
    </w:p>
    <w:p w14:paraId="0D0F0462">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（2）甲方逾期支付货款的，除应及时付足货款外，应按照银行同期贷款利率承担利息。逾期付款超过15天的，乙方有权终止合同；</w:t>
      </w:r>
    </w:p>
    <w:p w14:paraId="19A3EC1F">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2、乙方违约责任</w:t>
      </w:r>
    </w:p>
    <w:p w14:paraId="37B0A5B4">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乙方交付的货物质量不符合合同规定的，乙方应向甲方支付合同总价百分之五的违约金，并须在合同规定的交货时间内更换合格的货物给甲方，否则，视作乙方不能交付货物而违约，按本条本款下述第“（2）”项规定由乙方偿付违约赔偿金给甲方。</w:t>
      </w:r>
    </w:p>
    <w:p w14:paraId="416EAF1F">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乙方不能交付货物或逾期交付货物而违约的，除应及时交足货物外，还应向甲方偿付逾期交货部分货款总额万分之五/天的违约金；逾期交货超过7天，甲方有权终止合同，乙方则应按合同总价百分之五的款额向甲方偿付赔偿金，并须在三日内全额退还甲方已经付给乙方的货款及其利息，同时甲方有权将乙方违约事宜上报至财政监督管理部门备案。</w:t>
      </w:r>
    </w:p>
    <w:p w14:paraId="1E06DEA1">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乙方货物经甲方送交具有法定资格条件的质量技术监督机构检测后，如检测结果认定货物质量不符合本合同规定标准的，则视为乙方没有按时交货而违约，乙方须在7天内无条件更换合格的货物，如逾期不能更换合格的货物，甲方有权终止本合同，乙方应另付合同总价的百分之一的赔偿金给甲方。</w:t>
      </w:r>
    </w:p>
    <w:p w14:paraId="3E48698C">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乙方保证甲方在本合同中货物的权利，包括货物所有权及知识产权等权利。如任何第三方经法院（或仲裁机构）裁决有权对上述货物主张权利或国家机关依法对货物进行没收查处的，乙方除应向甲方返还已收款项外，还应另按合同总价的百分之一向甲方支付违约金并赔偿因此给甲方造成的一切损失。</w:t>
      </w:r>
    </w:p>
    <w:p w14:paraId="35B95F9D">
      <w:pPr>
        <w:keepNext w:val="0"/>
        <w:keepLines w:val="0"/>
        <w:pageBreakBefore w:val="0"/>
        <w:widowControl w:val="0"/>
        <w:kinsoku w:val="0"/>
        <w:wordWrap/>
        <w:overflowPunct w:val="0"/>
        <w:topLinePunct w:val="0"/>
        <w:bidi w:val="0"/>
        <w:snapToGrid/>
        <w:spacing w:after="0" w:line="280" w:lineRule="exact"/>
        <w:ind w:left="0" w:right="0" w:rightChars="0" w:firstLine="330" w:firstLineChars="15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（5）乙方在不能按照本合同第九条的约定时间提供售后服务，每逾期一次，按照合同总价款的</w:t>
      </w:r>
      <w:r>
        <w:rPr>
          <w:rFonts w:hint="eastAsia" w:ascii="宋体" w:hAnsi="宋体" w:eastAsia="宋体" w:cs="宋体"/>
          <w:b w:val="0"/>
          <w:bCs/>
          <w:color w:val="000000" w:themeColor="text1"/>
          <w:sz w:val="22"/>
          <w:szCs w:val="22"/>
          <w:u w:val="single"/>
          <w14:textFill>
            <w14:solidFill>
              <w14:schemeClr w14:val="tx1"/>
            </w14:solidFill>
          </w14:textFill>
        </w:rPr>
        <w:t xml:space="preserve">  1%  </w:t>
      </w:r>
      <w:r>
        <w:rPr>
          <w:rFonts w:hint="eastAsia" w:ascii="宋体" w:hAnsi="宋体" w:eastAsia="宋体" w:cs="宋体"/>
          <w:b w:val="0"/>
          <w:bCs/>
          <w:color w:val="000000" w:themeColor="text1"/>
          <w:sz w:val="22"/>
          <w:szCs w:val="22"/>
          <w14:textFill>
            <w14:solidFill>
              <w14:schemeClr w14:val="tx1"/>
            </w14:solidFill>
          </w14:textFill>
        </w:rPr>
        <w:t>向甲方支付违约金。</w:t>
      </w:r>
    </w:p>
    <w:p w14:paraId="35C7F557">
      <w:pPr>
        <w:keepNext w:val="0"/>
        <w:keepLines w:val="0"/>
        <w:pageBreakBefore w:val="0"/>
        <w:widowControl w:val="0"/>
        <w:kinsoku w:val="0"/>
        <w:wordWrap/>
        <w:overflowPunct w:val="0"/>
        <w:topLinePunct w:val="0"/>
        <w:bidi w:val="0"/>
        <w:snapToGrid/>
        <w:spacing w:after="0" w:line="280" w:lineRule="exact"/>
        <w:ind w:left="0" w:right="0" w:rightChars="0" w:firstLine="440" w:firstLineChars="200"/>
        <w:jc w:val="left"/>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十、争议解决办法</w:t>
      </w:r>
    </w:p>
    <w:p w14:paraId="093467A4">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1、因货物的质量问题发生争议，可委托质量技术监督部门或其指定的质量鉴定机构进行质量鉴定。货物符合标准的，鉴定费由甲方承担；货物不符合质量标准的，鉴定费由乙方承担。</w:t>
      </w:r>
    </w:p>
    <w:p w14:paraId="20B2BD88">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2、合同履行期间,若双方发生争议，可协商或由有关部门调解解决，协商或调解不成的，提交</w:t>
      </w:r>
      <w:r>
        <w:rPr>
          <w:rFonts w:hint="eastAsia" w:ascii="宋体" w:hAnsi="宋体" w:eastAsia="宋体" w:cs="宋体"/>
          <w:b w:val="0"/>
          <w:bCs/>
          <w:color w:val="000000" w:themeColor="text1"/>
          <w:sz w:val="22"/>
          <w:szCs w:val="22"/>
          <w:lang w:eastAsia="zh-CN"/>
          <w14:textFill>
            <w14:solidFill>
              <w14:schemeClr w14:val="tx1"/>
            </w14:solidFill>
          </w14:textFill>
        </w:rPr>
        <w:t>延安大学附属医院</w:t>
      </w:r>
      <w:r>
        <w:rPr>
          <w:rFonts w:hint="eastAsia" w:ascii="宋体" w:hAnsi="宋体" w:eastAsia="宋体" w:cs="宋体"/>
          <w:b w:val="0"/>
          <w:bCs/>
          <w:color w:val="000000" w:themeColor="text1"/>
          <w:sz w:val="22"/>
          <w:szCs w:val="22"/>
          <w14:textFill>
            <w14:solidFill>
              <w14:schemeClr w14:val="tx1"/>
            </w14:solidFill>
          </w14:textFill>
        </w:rPr>
        <w:t>所在地人民法院诉讼解决。</w:t>
      </w:r>
    </w:p>
    <w:p w14:paraId="790B6DF6">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40" w:firstLineChars="20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十</w:t>
      </w:r>
      <w:r>
        <w:rPr>
          <w:rFonts w:hint="eastAsia" w:ascii="宋体" w:hAnsi="宋体" w:eastAsia="宋体" w:cs="宋体"/>
          <w:b w:val="0"/>
          <w:bCs/>
          <w:color w:val="000000" w:themeColor="text1"/>
          <w:sz w:val="22"/>
          <w:szCs w:val="22"/>
          <w:lang w:eastAsia="zh-CN"/>
          <w14:textFill>
            <w14:solidFill>
              <w14:schemeClr w14:val="tx1"/>
            </w14:solidFill>
          </w14:textFill>
        </w:rPr>
        <w:t>一</w:t>
      </w:r>
      <w:r>
        <w:rPr>
          <w:rFonts w:hint="eastAsia" w:ascii="宋体" w:hAnsi="宋体" w:eastAsia="宋体" w:cs="宋体"/>
          <w:b w:val="0"/>
          <w:bCs/>
          <w:color w:val="000000" w:themeColor="text1"/>
          <w:sz w:val="22"/>
          <w:szCs w:val="22"/>
          <w14:textFill>
            <w14:solidFill>
              <w14:schemeClr w14:val="tx1"/>
            </w14:solidFill>
          </w14:textFill>
        </w:rPr>
        <w:t>、其他</w:t>
      </w:r>
    </w:p>
    <w:p w14:paraId="006833C3">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1、如有未尽事宜，由双方依法订立补充合同，补充合同与本合同具有同等法律效力。</w:t>
      </w:r>
    </w:p>
    <w:p w14:paraId="62BC0F6B">
      <w:pPr>
        <w:pStyle w:val="8"/>
        <w:keepNext w:val="0"/>
        <w:keepLines w:val="0"/>
        <w:pageBreakBefore w:val="0"/>
        <w:widowControl w:val="0"/>
        <w:kinsoku w:val="0"/>
        <w:wordWrap/>
        <w:overflowPunct w:val="0"/>
        <w:topLinePunct w:val="0"/>
        <w:bidi w:val="0"/>
        <w:snapToGrid/>
        <w:spacing w:before="0" w:after="0" w:line="280" w:lineRule="exact"/>
        <w:ind w:left="0" w:right="0" w:rightChars="0" w:firstLine="48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2、本合同一式七份，甲方五份，乙方一份，采购代理机构一份，效力相同，自双方签章盖章之日起生效。</w:t>
      </w:r>
    </w:p>
    <w:p w14:paraId="337B16BA">
      <w:pPr>
        <w:keepNext w:val="0"/>
        <w:keepLines w:val="0"/>
        <w:pageBreakBefore w:val="0"/>
        <w:widowControl w:val="0"/>
        <w:kinsoku w:val="0"/>
        <w:wordWrap/>
        <w:overflowPunct w:val="0"/>
        <w:topLinePunct w:val="0"/>
        <w:bidi w:val="0"/>
        <w:snapToGrid/>
        <w:spacing w:after="0" w:line="280" w:lineRule="exact"/>
        <w:ind w:left="0" w:right="0" w:rightChars="0" w:firstLine="431" w:firstLineChars="196"/>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3、货物交付前的风险由乙方承担。</w:t>
      </w:r>
    </w:p>
    <w:p w14:paraId="5D356255">
      <w:pPr>
        <w:keepNext w:val="0"/>
        <w:keepLines w:val="0"/>
        <w:pageBreakBefore w:val="0"/>
        <w:widowControl w:val="0"/>
        <w:kinsoku w:val="0"/>
        <w:wordWrap/>
        <w:overflowPunct w:val="0"/>
        <w:topLinePunct w:val="0"/>
        <w:bidi w:val="0"/>
        <w:snapToGrid/>
        <w:spacing w:after="0" w:line="280" w:lineRule="exact"/>
        <w:ind w:left="0" w:right="0" w:rightChars="0" w:firstLine="431" w:firstLineChars="196"/>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4、本合同项下地址为有效的通讯地址，一方变更应当书面通知相对方，未通知视为未变更，一方所发的文件通知等寄出或在《西安晚报》上公示即视为送达，产生相应的法律后果。</w:t>
      </w:r>
    </w:p>
    <w:p w14:paraId="008BE8BF">
      <w:pPr>
        <w:keepNext w:val="0"/>
        <w:keepLines w:val="0"/>
        <w:pageBreakBefore w:val="0"/>
        <w:widowControl w:val="0"/>
        <w:kinsoku w:val="0"/>
        <w:wordWrap/>
        <w:overflowPunct w:val="0"/>
        <w:topLinePunct w:val="0"/>
        <w:autoSpaceDE w:val="0"/>
        <w:autoSpaceDN w:val="0"/>
        <w:bidi w:val="0"/>
        <w:adjustRightInd w:val="0"/>
        <w:snapToGrid/>
        <w:spacing w:after="0" w:line="280" w:lineRule="exact"/>
        <w:ind w:left="0" w:right="0" w:rightChars="0"/>
        <w:jc w:val="left"/>
        <w:rPr>
          <w:rFonts w:hint="eastAsia" w:ascii="宋体" w:hAnsi="宋体" w:eastAsia="宋体" w:cs="宋体"/>
          <w:b w:val="0"/>
          <w:bCs/>
          <w:color w:val="000000" w:themeColor="text1"/>
          <w:w w:val="110"/>
          <w:sz w:val="22"/>
          <w:szCs w:val="22"/>
          <w14:textFill>
            <w14:solidFill>
              <w14:schemeClr w14:val="tx1"/>
            </w14:solidFill>
          </w14:textFill>
        </w:rPr>
      </w:pPr>
      <w:r>
        <w:rPr>
          <w:rFonts w:hint="eastAsia" w:ascii="宋体" w:hAnsi="宋体" w:eastAsia="宋体" w:cs="宋体"/>
          <w:b w:val="0"/>
          <w:bCs/>
          <w:color w:val="000000" w:themeColor="text1"/>
          <w:w w:val="110"/>
          <w:sz w:val="22"/>
          <w:szCs w:val="22"/>
          <w14:textFill>
            <w14:solidFill>
              <w14:schemeClr w14:val="tx1"/>
            </w14:solidFill>
          </w14:textFill>
        </w:rPr>
        <w:t>（以下无正文）</w:t>
      </w:r>
    </w:p>
    <w:p w14:paraId="06C43FE8">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甲方：</w:t>
      </w:r>
      <w:r>
        <w:rPr>
          <w:rFonts w:hint="eastAsia" w:ascii="宋体" w:hAnsi="宋体" w:eastAsia="宋体" w:cs="宋体"/>
          <w:b w:val="0"/>
          <w:bCs/>
          <w:color w:val="000000" w:themeColor="text1"/>
          <w:sz w:val="22"/>
          <w:szCs w:val="22"/>
          <w:lang w:eastAsia="zh-CN" w:bidi="en-US"/>
          <w14:textFill>
            <w14:solidFill>
              <w14:schemeClr w14:val="tx1"/>
            </w14:solidFill>
          </w14:textFill>
        </w:rPr>
        <w:t>延安大学附属医院</w:t>
      </w:r>
      <w:r>
        <w:rPr>
          <w:rFonts w:hint="eastAsia" w:ascii="宋体" w:hAnsi="宋体" w:eastAsia="宋体" w:cs="宋体"/>
          <w:b w:val="0"/>
          <w:bCs/>
          <w:color w:val="000000" w:themeColor="text1"/>
          <w:sz w:val="22"/>
          <w:szCs w:val="22"/>
          <w:lang w:bidi="en-US"/>
          <w14:textFill>
            <w14:solidFill>
              <w14:schemeClr w14:val="tx1"/>
            </w14:solidFill>
          </w14:textFill>
        </w:rPr>
        <w:t>（盖章）         乙方：             （盖章）</w:t>
      </w:r>
    </w:p>
    <w:p w14:paraId="25BDA714">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开户行：</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lang w:bidi="en-US"/>
          <w14:textFill>
            <w14:solidFill>
              <w14:schemeClr w14:val="tx1"/>
            </w14:solidFill>
          </w14:textFill>
        </w:rPr>
        <w:t xml:space="preserve">   开户行： </w:t>
      </w:r>
    </w:p>
    <w:p w14:paraId="53C47FE5">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 xml:space="preserve">账号          </w:t>
      </w:r>
      <w:r>
        <w:rPr>
          <w:rFonts w:hint="eastAsia" w:ascii="宋体" w:hAnsi="宋体" w:eastAsia="宋体" w:cs="宋体"/>
          <w:b w:val="0"/>
          <w:bCs/>
          <w:color w:val="000000" w:themeColor="text1"/>
          <w:sz w:val="22"/>
          <w:szCs w:val="22"/>
          <w:lang w:val="en-US" w:eastAsia="zh-CN" w:bidi="en-US"/>
          <w14:textFill>
            <w14:solidFill>
              <w14:schemeClr w14:val="tx1"/>
            </w14:solidFill>
          </w14:textFill>
        </w:rPr>
        <w:t xml:space="preserve">                      </w:t>
      </w:r>
      <w:r>
        <w:rPr>
          <w:rFonts w:hint="eastAsia" w:ascii="宋体" w:hAnsi="宋体" w:eastAsia="宋体" w:cs="宋体"/>
          <w:b w:val="0"/>
          <w:bCs/>
          <w:color w:val="000000" w:themeColor="text1"/>
          <w:sz w:val="22"/>
          <w:szCs w:val="22"/>
          <w:lang w:bidi="en-US"/>
          <w14:textFill>
            <w14:solidFill>
              <w14:schemeClr w14:val="tx1"/>
            </w14:solidFill>
          </w14:textFill>
        </w:rPr>
        <w:t xml:space="preserve">  银行账号： </w:t>
      </w:r>
    </w:p>
    <w:p w14:paraId="3FAA45AA">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 xml:space="preserve">地址：        </w:t>
      </w:r>
      <w:r>
        <w:rPr>
          <w:rFonts w:hint="eastAsia" w:ascii="宋体" w:hAnsi="宋体" w:eastAsia="宋体" w:cs="宋体"/>
          <w:b w:val="0"/>
          <w:bCs/>
          <w:color w:val="000000" w:themeColor="text1"/>
          <w:sz w:val="22"/>
          <w:szCs w:val="22"/>
          <w:lang w:val="en-US" w:eastAsia="zh-CN" w:bidi="en-US"/>
          <w14:textFill>
            <w14:solidFill>
              <w14:schemeClr w14:val="tx1"/>
            </w14:solidFill>
          </w14:textFill>
        </w:rPr>
        <w:t xml:space="preserve">                      </w:t>
      </w:r>
      <w:r>
        <w:rPr>
          <w:rFonts w:hint="eastAsia" w:ascii="宋体" w:hAnsi="宋体" w:eastAsia="宋体" w:cs="宋体"/>
          <w:b w:val="0"/>
          <w:bCs/>
          <w:color w:val="000000" w:themeColor="text1"/>
          <w:sz w:val="22"/>
          <w:szCs w:val="22"/>
          <w:lang w:bidi="en-US"/>
          <w14:textFill>
            <w14:solidFill>
              <w14:schemeClr w14:val="tx1"/>
            </w14:solidFill>
          </w14:textFill>
        </w:rPr>
        <w:t xml:space="preserve">  地址：</w:t>
      </w:r>
    </w:p>
    <w:p w14:paraId="661235AA">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邮政编码：</w:t>
      </w:r>
      <w:r>
        <w:rPr>
          <w:rFonts w:hint="eastAsia" w:ascii="宋体" w:hAnsi="宋体" w:eastAsia="宋体" w:cs="宋体"/>
          <w:b w:val="0"/>
          <w:bCs/>
          <w:color w:val="000000" w:themeColor="text1"/>
          <w:sz w:val="22"/>
          <w:szCs w:val="22"/>
          <w:lang w:val="en-US" w:eastAsia="zh-CN" w:bidi="en-US"/>
          <w14:textFill>
            <w14:solidFill>
              <w14:schemeClr w14:val="tx1"/>
            </w14:solidFill>
          </w14:textFill>
        </w:rPr>
        <w:t xml:space="preserve">        </w:t>
      </w:r>
      <w:r>
        <w:rPr>
          <w:rFonts w:hint="eastAsia" w:ascii="宋体" w:hAnsi="宋体" w:eastAsia="宋体" w:cs="宋体"/>
          <w:b w:val="0"/>
          <w:bCs/>
          <w:color w:val="000000" w:themeColor="text1"/>
          <w:sz w:val="22"/>
          <w:szCs w:val="22"/>
          <w:lang w:bidi="en-US"/>
          <w14:textFill>
            <w14:solidFill>
              <w14:schemeClr w14:val="tx1"/>
            </w14:solidFill>
          </w14:textFill>
        </w:rPr>
        <w:t xml:space="preserve">                     邮政编码： </w:t>
      </w:r>
    </w:p>
    <w:p w14:paraId="5F185E69">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电话：</w:t>
      </w:r>
      <w:r>
        <w:rPr>
          <w:rFonts w:hint="eastAsia" w:ascii="宋体" w:hAnsi="宋体" w:eastAsia="宋体" w:cs="宋体"/>
          <w:b w:val="0"/>
          <w:bCs/>
          <w:color w:val="000000" w:themeColor="text1"/>
          <w:sz w:val="22"/>
          <w:szCs w:val="22"/>
          <w:lang w:val="en-US" w:eastAsia="zh-CN" w:bidi="en-US"/>
          <w14:textFill>
            <w14:solidFill>
              <w14:schemeClr w14:val="tx1"/>
            </w14:solidFill>
          </w14:textFill>
        </w:rPr>
        <w:t xml:space="preserve">               </w:t>
      </w:r>
      <w:r>
        <w:rPr>
          <w:rFonts w:hint="eastAsia" w:ascii="宋体" w:hAnsi="宋体" w:eastAsia="宋体" w:cs="宋体"/>
          <w:b w:val="0"/>
          <w:bCs/>
          <w:color w:val="000000" w:themeColor="text1"/>
          <w:sz w:val="22"/>
          <w:szCs w:val="22"/>
          <w:lang w:bidi="en-US"/>
          <w14:textFill>
            <w14:solidFill>
              <w14:schemeClr w14:val="tx1"/>
            </w14:solidFill>
          </w14:textFill>
        </w:rPr>
        <w:t xml:space="preserve">                 电话：</w:t>
      </w:r>
    </w:p>
    <w:p w14:paraId="5EE952AD">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法定代表人（授权代表）：             法定代表人（授权代表）：</w:t>
      </w:r>
    </w:p>
    <w:p w14:paraId="49609990">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lang w:bidi="en-US"/>
          <w14:textFill>
            <w14:solidFill>
              <w14:schemeClr w14:val="tx1"/>
            </w14:solidFill>
          </w14:textFill>
        </w:rPr>
      </w:pPr>
      <w:r>
        <w:rPr>
          <w:rFonts w:hint="eastAsia" w:ascii="宋体" w:hAnsi="宋体" w:eastAsia="宋体" w:cs="宋体"/>
          <w:b w:val="0"/>
          <w:bCs/>
          <w:color w:val="000000" w:themeColor="text1"/>
          <w:sz w:val="22"/>
          <w:szCs w:val="22"/>
          <w:lang w:bidi="en-US"/>
          <w14:textFill>
            <w14:solidFill>
              <w14:schemeClr w14:val="tx1"/>
            </w14:solidFill>
          </w14:textFill>
        </w:rPr>
        <w:t xml:space="preserve">签订日期：  年  月   日          </w:t>
      </w:r>
      <w:r>
        <w:rPr>
          <w:rFonts w:hint="eastAsia" w:ascii="宋体" w:hAnsi="宋体" w:eastAsia="宋体" w:cs="宋体"/>
          <w:b w:val="0"/>
          <w:bCs/>
          <w:color w:val="000000" w:themeColor="text1"/>
          <w:sz w:val="22"/>
          <w:szCs w:val="22"/>
          <w:lang w:val="en-US" w:eastAsia="zh-CN" w:bidi="en-US"/>
          <w14:textFill>
            <w14:solidFill>
              <w14:schemeClr w14:val="tx1"/>
            </w14:solidFill>
          </w14:textFill>
        </w:rPr>
        <w:t xml:space="preserve">   </w:t>
      </w:r>
      <w:r>
        <w:rPr>
          <w:rFonts w:hint="eastAsia" w:ascii="宋体" w:hAnsi="宋体" w:eastAsia="宋体" w:cs="宋体"/>
          <w:b w:val="0"/>
          <w:bCs/>
          <w:color w:val="000000" w:themeColor="text1"/>
          <w:sz w:val="22"/>
          <w:szCs w:val="22"/>
          <w:lang w:bidi="en-US"/>
          <w14:textFill>
            <w14:solidFill>
              <w14:schemeClr w14:val="tx1"/>
            </w14:solidFill>
          </w14:textFill>
        </w:rPr>
        <w:t xml:space="preserve"> 签订日期：   年  月   日</w:t>
      </w:r>
    </w:p>
    <w:p w14:paraId="65EB3EC8">
      <w:pPr>
        <w:keepNext w:val="0"/>
        <w:keepLines w:val="0"/>
        <w:pageBreakBefore w:val="0"/>
        <w:widowControl w:val="0"/>
        <w:kinsoku w:val="0"/>
        <w:wordWrap/>
        <w:overflowPunct w:val="0"/>
        <w:topLinePunct w:val="0"/>
        <w:autoSpaceDE w:val="0"/>
        <w:autoSpaceDN w:val="0"/>
        <w:bidi w:val="0"/>
        <w:snapToGrid/>
        <w:spacing w:after="0" w:line="280" w:lineRule="exact"/>
        <w:ind w:left="0" w:right="0" w:rightChars="0" w:firstLine="0"/>
        <w:textAlignment w:val="bottom"/>
        <w:rPr>
          <w:rFonts w:hint="eastAsia" w:ascii="宋体" w:hAnsi="宋体" w:eastAsia="宋体" w:cs="宋体"/>
          <w:b w:val="0"/>
          <w:bCs/>
          <w:color w:val="000000" w:themeColor="text1"/>
          <w:sz w:val="22"/>
          <w:szCs w:val="22"/>
          <w14:textFill>
            <w14:solidFill>
              <w14:schemeClr w14:val="tx1"/>
            </w14:solidFill>
          </w14:textFill>
        </w:rPr>
      </w:pPr>
    </w:p>
    <w:p w14:paraId="465DDAAC">
      <w:pPr>
        <w:keepNext w:val="0"/>
        <w:keepLines w:val="0"/>
        <w:pageBreakBefore w:val="0"/>
        <w:widowControl w:val="0"/>
        <w:kinsoku w:val="0"/>
        <w:wordWrap/>
        <w:overflowPunct w:val="0"/>
        <w:topLinePunct w:val="0"/>
        <w:autoSpaceDE w:val="0"/>
        <w:autoSpaceDN w:val="0"/>
        <w:bidi w:val="0"/>
        <w:snapToGrid/>
        <w:spacing w:after="0" w:line="280" w:lineRule="exact"/>
        <w:ind w:left="0" w:right="0" w:rightChars="0" w:firstLine="0"/>
        <w:textAlignment w:val="bottom"/>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鉴证方（业务专用章）：</w:t>
      </w:r>
    </w:p>
    <w:p w14:paraId="153D834C">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 xml:space="preserve">单位名称：    </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 xml:space="preserve">  地址： </w:t>
      </w:r>
    </w:p>
    <w:p w14:paraId="3DAC7001">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代理人（签字）：</w:t>
      </w:r>
      <w:r>
        <w:rPr>
          <w:rFonts w:hint="eastAsia" w:ascii="宋体" w:hAnsi="宋体" w:eastAsia="宋体" w:cs="宋体"/>
          <w:b w:val="0"/>
          <w:bCs/>
          <w:color w:val="000000" w:themeColor="text1"/>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sz w:val="22"/>
          <w:szCs w:val="22"/>
          <w14:textFill>
            <w14:solidFill>
              <w14:schemeClr w14:val="tx1"/>
            </w14:solidFill>
          </w14:textFill>
        </w:rPr>
        <w:t xml:space="preserve">联系电话： </w:t>
      </w:r>
    </w:p>
    <w:p w14:paraId="6180D132">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lang w:eastAsia="zh-CN"/>
          <w14:textFill>
            <w14:solidFill>
              <w14:schemeClr w14:val="tx1"/>
            </w14:solidFill>
          </w14:textFill>
        </w:rPr>
        <w:t>合同</w:t>
      </w:r>
      <w:r>
        <w:rPr>
          <w:rFonts w:hint="eastAsia" w:ascii="宋体" w:hAnsi="宋体" w:eastAsia="宋体" w:cs="宋体"/>
          <w:b w:val="0"/>
          <w:bCs/>
          <w:color w:val="000000" w:themeColor="text1"/>
          <w:kern w:val="2"/>
          <w:sz w:val="22"/>
          <w:szCs w:val="22"/>
          <w14:textFill>
            <w14:solidFill>
              <w14:schemeClr w14:val="tx1"/>
            </w14:solidFill>
          </w14:textFill>
        </w:rPr>
        <w:t xml:space="preserve">附件一：配置清单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1869"/>
        <w:gridCol w:w="1869"/>
        <w:gridCol w:w="1869"/>
        <w:gridCol w:w="1812"/>
      </w:tblGrid>
      <w:tr w14:paraId="46E3E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noWrap w:val="0"/>
            <w:vAlign w:val="top"/>
          </w:tcPr>
          <w:p w14:paraId="2CB55F51">
            <w:pPr>
              <w:pStyle w:val="4"/>
              <w:keepNext w:val="0"/>
              <w:keepLines w:val="0"/>
              <w:pageBreakBefore w:val="0"/>
              <w:widowControl w:val="0"/>
              <w:kinsoku w:val="0"/>
              <w:wordWrap/>
              <w:overflowPunct w:val="0"/>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序号</w:t>
            </w:r>
          </w:p>
        </w:tc>
        <w:tc>
          <w:tcPr>
            <w:tcW w:w="1869" w:type="dxa"/>
            <w:noWrap w:val="0"/>
            <w:vAlign w:val="top"/>
          </w:tcPr>
          <w:p w14:paraId="00847D7D">
            <w:pPr>
              <w:pStyle w:val="4"/>
              <w:keepNext w:val="0"/>
              <w:keepLines w:val="0"/>
              <w:pageBreakBefore w:val="0"/>
              <w:widowControl w:val="0"/>
              <w:kinsoku w:val="0"/>
              <w:wordWrap/>
              <w:overflowPunct w:val="0"/>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产品名称</w:t>
            </w:r>
          </w:p>
        </w:tc>
        <w:tc>
          <w:tcPr>
            <w:tcW w:w="1869" w:type="dxa"/>
            <w:noWrap w:val="0"/>
            <w:vAlign w:val="top"/>
          </w:tcPr>
          <w:p w14:paraId="545BA2C2">
            <w:pPr>
              <w:pStyle w:val="4"/>
              <w:keepNext w:val="0"/>
              <w:keepLines w:val="0"/>
              <w:pageBreakBefore w:val="0"/>
              <w:widowControl w:val="0"/>
              <w:kinsoku w:val="0"/>
              <w:wordWrap/>
              <w:overflowPunct w:val="0"/>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型号</w:t>
            </w:r>
          </w:p>
        </w:tc>
        <w:tc>
          <w:tcPr>
            <w:tcW w:w="1869" w:type="dxa"/>
            <w:noWrap w:val="0"/>
            <w:vAlign w:val="top"/>
          </w:tcPr>
          <w:p w14:paraId="35E61A96">
            <w:pPr>
              <w:pStyle w:val="4"/>
              <w:keepNext w:val="0"/>
              <w:keepLines w:val="0"/>
              <w:pageBreakBefore w:val="0"/>
              <w:widowControl w:val="0"/>
              <w:kinsoku w:val="0"/>
              <w:wordWrap/>
              <w:overflowPunct w:val="0"/>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数量</w:t>
            </w:r>
          </w:p>
        </w:tc>
        <w:tc>
          <w:tcPr>
            <w:tcW w:w="1812" w:type="dxa"/>
            <w:noWrap w:val="0"/>
            <w:vAlign w:val="top"/>
          </w:tcPr>
          <w:p w14:paraId="75BA4B42">
            <w:pPr>
              <w:pStyle w:val="4"/>
              <w:keepNext w:val="0"/>
              <w:keepLines w:val="0"/>
              <w:pageBreakBefore w:val="0"/>
              <w:widowControl w:val="0"/>
              <w:kinsoku w:val="0"/>
              <w:wordWrap/>
              <w:overflowPunct w:val="0"/>
              <w:topLinePunct w:val="0"/>
              <w:bidi w:val="0"/>
              <w:snapToGrid/>
              <w:spacing w:after="0" w:line="280" w:lineRule="exact"/>
              <w:ind w:left="0" w:right="0" w:rightChars="0" w:firstLine="0"/>
              <w:jc w:val="center"/>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单位</w:t>
            </w:r>
          </w:p>
        </w:tc>
      </w:tr>
      <w:tr w14:paraId="3AE69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noWrap w:val="0"/>
            <w:vAlign w:val="top"/>
          </w:tcPr>
          <w:p w14:paraId="239F9FE1">
            <w:pPr>
              <w:pStyle w:val="4"/>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69" w:type="dxa"/>
            <w:noWrap w:val="0"/>
            <w:vAlign w:val="top"/>
          </w:tcPr>
          <w:p w14:paraId="2C846309">
            <w:pPr>
              <w:pStyle w:val="4"/>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69" w:type="dxa"/>
            <w:noWrap w:val="0"/>
            <w:vAlign w:val="top"/>
          </w:tcPr>
          <w:p w14:paraId="78AB088B">
            <w:pPr>
              <w:pStyle w:val="4"/>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69" w:type="dxa"/>
            <w:noWrap w:val="0"/>
            <w:vAlign w:val="top"/>
          </w:tcPr>
          <w:p w14:paraId="2E0D76F1">
            <w:pPr>
              <w:pStyle w:val="4"/>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c>
          <w:tcPr>
            <w:tcW w:w="1812" w:type="dxa"/>
            <w:noWrap w:val="0"/>
            <w:vAlign w:val="top"/>
          </w:tcPr>
          <w:p w14:paraId="19C44BFC">
            <w:pPr>
              <w:pStyle w:val="4"/>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p>
        </w:tc>
      </w:tr>
    </w:tbl>
    <w:p w14:paraId="4B26FEB8">
      <w:pPr>
        <w:keepNext w:val="0"/>
        <w:keepLines w:val="0"/>
        <w:pageBreakBefore w:val="0"/>
        <w:widowControl w:val="0"/>
        <w:kinsoku w:val="0"/>
        <w:wordWrap/>
        <w:overflowPunct w:val="0"/>
        <w:topLinePunct w:val="0"/>
        <w:bidi w:val="0"/>
        <w:snapToGrid/>
        <w:spacing w:after="0" w:line="280" w:lineRule="exact"/>
        <w:ind w:left="0" w:right="0" w:rightChars="0" w:firstLine="0"/>
        <w:rPr>
          <w:rFonts w:hint="eastAsia" w:ascii="宋体" w:hAnsi="宋体" w:eastAsia="宋体" w:cs="宋体"/>
          <w:b w:val="0"/>
          <w:bCs/>
          <w:color w:val="000000" w:themeColor="text1"/>
          <w:kern w:val="2"/>
          <w:sz w:val="22"/>
          <w:szCs w:val="22"/>
          <w14:textFill>
            <w14:solidFill>
              <w14:schemeClr w14:val="tx1"/>
            </w14:solidFill>
          </w14:textFill>
        </w:rPr>
      </w:pPr>
      <w:r>
        <w:rPr>
          <w:rFonts w:hint="eastAsia" w:ascii="宋体" w:hAnsi="宋体" w:eastAsia="宋体" w:cs="宋体"/>
          <w:b w:val="0"/>
          <w:bCs/>
          <w:color w:val="000000" w:themeColor="text1"/>
          <w:kern w:val="2"/>
          <w:sz w:val="22"/>
          <w:szCs w:val="22"/>
          <w14:textFill>
            <w14:solidFill>
              <w14:schemeClr w14:val="tx1"/>
            </w14:solidFill>
          </w14:textFill>
        </w:rPr>
        <w:t>附件二：营业执照、法人授权委托书、受托人/法人身份证复印件</w:t>
      </w:r>
    </w:p>
    <w:p w14:paraId="76FFB2D0">
      <w:pPr>
        <w:keepNext w:val="0"/>
        <w:keepLines w:val="0"/>
        <w:pageBreakBefore w:val="0"/>
        <w:widowControl w:val="0"/>
        <w:kinsoku w:val="0"/>
        <w:wordWrap/>
        <w:overflowPunct w:val="0"/>
        <w:topLinePunct w:val="0"/>
        <w:bidi w:val="0"/>
        <w:snapToGrid/>
        <w:spacing w:after="0" w:line="280" w:lineRule="exact"/>
        <w:ind w:left="0" w:leftChars="0" w:right="0" w:rightChars="0" w:firstLine="0" w:firstLineChars="0"/>
        <w:rPr>
          <w:rFonts w:hint="eastAsia" w:ascii="宋体" w:hAnsi="宋体" w:eastAsia="宋体" w:cs="宋体"/>
        </w:rPr>
      </w:pPr>
      <w:r>
        <w:rPr>
          <w:rFonts w:hint="eastAsia" w:ascii="宋体" w:hAnsi="宋体" w:eastAsia="宋体" w:cs="宋体"/>
          <w:b w:val="0"/>
          <w:bCs/>
          <w:color w:val="000000" w:themeColor="text1"/>
          <w:kern w:val="2"/>
          <w:sz w:val="22"/>
          <w:szCs w:val="22"/>
          <w14:textFill>
            <w14:solidFill>
              <w14:schemeClr w14:val="tx1"/>
            </w14:solidFill>
          </w14:textFill>
        </w:rPr>
        <w:t>附件三：厂家提供的</w:t>
      </w:r>
      <w:r>
        <w:rPr>
          <w:rFonts w:hint="eastAsia" w:ascii="宋体" w:hAnsi="宋体" w:eastAsia="宋体" w:cs="宋体"/>
          <w:b w:val="0"/>
          <w:bCs/>
          <w:color w:val="000000" w:themeColor="text1"/>
          <w:kern w:val="2"/>
          <w:sz w:val="22"/>
          <w:szCs w:val="22"/>
          <w:lang w:val="en-US" w:eastAsia="zh-CN"/>
          <w14:textFill>
            <w14:solidFill>
              <w14:schemeClr w14:val="tx1"/>
            </w14:solidFill>
          </w14:textFill>
        </w:rPr>
        <w:t xml:space="preserve">  </w:t>
      </w:r>
      <w:r>
        <w:rPr>
          <w:rFonts w:hint="eastAsia" w:ascii="宋体" w:hAnsi="宋体" w:eastAsia="宋体" w:cs="宋体"/>
          <w:b w:val="0"/>
          <w:bCs/>
          <w:color w:val="000000" w:themeColor="text1"/>
          <w:kern w:val="2"/>
          <w:sz w:val="22"/>
          <w:szCs w:val="22"/>
          <w14:textFill>
            <w14:solidFill>
              <w14:schemeClr w14:val="tx1"/>
            </w14:solidFill>
          </w14:textFill>
        </w:rPr>
        <w:t>年质保证明和维保内容</w:t>
      </w:r>
    </w:p>
    <w:p w14:paraId="28046BEA"/>
    <w:sectPr>
      <w:footerReference r:id="rId5" w:type="default"/>
      <w:pgSz w:w="11900" w:h="16843"/>
      <w:pgMar w:top="1247" w:right="1247" w:bottom="1247" w:left="1247" w:header="0" w:footer="510" w:gutter="0"/>
      <w:pgNumType w:fmt="decimal"/>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F2107">
    <w:pPr>
      <w:pStyle w:val="5"/>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87CF5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87CF5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懒汉ing">
    <w15:presenceInfo w15:providerId="WPS Office" w15:userId="1348753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97FDB"/>
    <w:rsid w:val="41397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before="60" w:line="360" w:lineRule="auto"/>
      <w:ind w:firstLine="420"/>
    </w:pPr>
    <w:rPr>
      <w:rFonts w:ascii="Times New Roman" w:hAnsi="Times New Roman"/>
      <w:color w:val="auto"/>
      <w:spacing w:val="6"/>
      <w:kern w:val="2"/>
    </w:rPr>
  </w:style>
  <w:style w:type="paragraph" w:styleId="4">
    <w:name w:val="Body Text"/>
    <w:basedOn w:val="1"/>
    <w:next w:val="1"/>
    <w:qFormat/>
    <w:uiPriority w:val="0"/>
    <w:rPr>
      <w:sz w:val="24"/>
    </w:rPr>
  </w:style>
  <w:style w:type="paragraph" w:styleId="5">
    <w:name w:val="footer"/>
    <w:basedOn w:val="1"/>
    <w:qFormat/>
    <w:uiPriority w:val="0"/>
    <w:pPr>
      <w:suppressLineNumbers/>
      <w:tabs>
        <w:tab w:val="center" w:pos="4818"/>
        <w:tab w:val="right" w:pos="9637"/>
      </w:tabs>
    </w:pPr>
  </w:style>
  <w:style w:type="paragraph" w:customStyle="1" w:styleId="8">
    <w:name w:val="样式 首行缩进:  2 字符"/>
    <w:basedOn w:val="1"/>
    <w:qFormat/>
    <w:uiPriority w:val="0"/>
    <w:pPr>
      <w:spacing w:before="0" w:after="0" w:line="400" w:lineRule="exact"/>
      <w:ind w:firstLine="200" w:firstLineChars="200"/>
    </w:pPr>
    <w:rPr>
      <w:rFonts w:ascii="Times New Roman" w:hAnsi="Times New Roman" w:cs="宋体"/>
      <w:color w:val="auto"/>
      <w:kern w:val="2"/>
      <w:szCs w:val="24"/>
    </w:rPr>
  </w:style>
  <w:style w:type="paragraph" w:customStyle="1" w:styleId="9">
    <w:name w:val="正文首行缩进两字符"/>
    <w:basedOn w:val="1"/>
    <w:qFormat/>
    <w:uiPriority w:val="0"/>
    <w:pPr>
      <w:spacing w:line="360" w:lineRule="auto"/>
      <w:ind w:firstLine="200" w:firstLineChars="200"/>
    </w:pPr>
    <w:rPr>
      <w:lang w:eastAsia="zh-CN"/>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2026-02-05T11:14:00Z</dcterms:created>
  <dc:creator>刘兴华</dc:creator>
  <cp:lastModifiedBy>刘兴华</cp:lastModifiedBy>
  <dcterms:modified xsi:type="dcterms:W3CDTF">2026-02-05T11:17:39Z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AE852163F31248A29AFE09F4D899B828_11</vt:lpwstr>
  </property>
  <property fmtid="{D5CDD505-2E9C-101B-9397-08002B2CF9AE}" pid="4" name="KSOTemplateDocerSaveRecord">
    <vt:lpwstr>eyJoZGlkIjoiMWRhYWQ5YWYxMWFjODU4Yzc0Yjk3YTg5NDZmNzM5MTkiLCJ1c2VySWQiOiIyODc2OTQ0In0=</vt:lpwstr>
  </property>
</Properties>
</file>