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版本号：SXHT-(DY)2025120220260119001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研究生论文质量监测服务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SXHT-(DY)20251202</w:t>
      </w:r>
      <w:r>
        <w:br/>
      </w:r>
      <w:r>
        <w:br/>
      </w:r>
      <w:r>
        <w:br/>
      </w:r>
    </w:p>
    <w:p>
      <w:pPr>
        <w:pStyle w:val="null3"/>
        <w:jc w:val="center"/>
        <w:outlineLvl w:val="5"/>
      </w:pPr>
      <w:r>
        <w:rPr>
          <w:rFonts w:ascii="仿宋_GB2312" w:hAnsi="仿宋_GB2312" w:cs="仿宋_GB2312" w:eastAsia="仿宋_GB2312"/>
          <w:sz w:val="15"/>
          <w:b/>
        </w:rPr>
        <w:t>西安石油大学</w:t>
      </w:r>
    </w:p>
    <w:p>
      <w:pPr>
        <w:pStyle w:val="null3"/>
        <w:jc w:val="center"/>
        <w:outlineLvl w:val="5"/>
      </w:pPr>
      <w:r>
        <w:rPr>
          <w:rFonts w:ascii="仿宋_GB2312" w:hAnsi="仿宋_GB2312" w:cs="仿宋_GB2312" w:eastAsia="仿宋_GB2312"/>
          <w:sz w:val="15"/>
          <w:b/>
        </w:rPr>
        <w:t>陕西海堂项目管理咨询有限公司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研究生论文质量监测服务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SXHT-(DY)20251202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研究生论文质量监测服务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学位论文质量是研究生教育的生命线，而学位论文盲审是保障学位论文质量的关键环节。根据&lt;&lt;西安石油大学博士学位论文评审管理办法&gt;&gt;&lt;&lt;西安石油大学硕士学位论文评审管理办法&gt;&gt;文件要求，西安石油大学博士、硕士学位论文实行100%盲审。为健全西安石油大学研究生教育质量监督保障机制，提高人才培养和学位授予质量，保证学位论文送审和优秀学位论文评选的客观性、公平性与公正性，需采用权威送审平台从严把关，具体内容详见单一来源采购文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2、授权委托书：法定代表人授权书及被授权人身份证复印件及被授权人近半年内任意一个月的社保缴纳证明（法定代表人直接协商须提交法定代表人证明书及身份证复印件）；</w:t>
      </w:r>
    </w:p>
    <w:p>
      <w:pPr>
        <w:pStyle w:val="null3"/>
      </w:pPr>
      <w:r>
        <w:rPr>
          <w:rFonts w:ascii="仿宋_GB2312" w:hAnsi="仿宋_GB2312" w:cs="仿宋_GB2312" w:eastAsia="仿宋_GB2312"/>
        </w:rPr>
        <w:t>3、财务状况报告：提供2024年度经审计的完整有效的财务报告(包括审计报告、资产负债表、利润表、现金流量表及其附注、会计师事务所营业执照、执业证书、注册会计师证书，成立时间至提交响应文件截止时间不足一年的可提供成立后任意时段的资产负债表），或其协商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4、社会保障资金缴纳证明：提供2025年06月至今已缴存的一个月的社会保障资金缴存单据或社保机构开具的社会保险参保缴费情况证明，依法不需要缴纳社会保障资金的投标单位应提供相关文件证明；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5、税收缴纳证明：提供2025年06月至今已缴纳的至少一个月的纳税证明或完税证明，依法免税的单位应提供相关证明材料；</w:t>
      </w:r>
    </w:p>
    <w:p>
      <w:pPr>
        <w:pStyle w:val="null3"/>
      </w:pPr>
      <w:r>
        <w:rPr>
          <w:rFonts w:ascii="仿宋_GB2312" w:hAnsi="仿宋_GB2312" w:cs="仿宋_GB2312" w:eastAsia="仿宋_GB2312"/>
        </w:rPr>
        <w:t>6、无重大违法记录声明：参加政府采购活动前3年内经营活动中没有重大违法记录声明；</w:t>
      </w:r>
    </w:p>
    <w:p>
      <w:pPr>
        <w:pStyle w:val="null3"/>
      </w:pPr>
      <w:r>
        <w:rPr>
          <w:rFonts w:ascii="仿宋_GB2312" w:hAnsi="仿宋_GB2312" w:cs="仿宋_GB2312" w:eastAsia="仿宋_GB2312"/>
        </w:rPr>
        <w:t>7、信用中国：通过“信用中国”网站（www.creditchina.gov.cn/）和“中国政府采购网”（http://www.ccgp.gov.cn/）查询投标主体未被列入失信被执行人、重大税收失信主体、政府采购严重违法失信行为记录名单；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8、承诺函：提供具有履行服务合同所必需的产品和专业技术能力的承诺；</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西安石油大学经办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029-22832832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采购包1：2,504,020.00元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采购包1：2,054,020.00元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2、成交供应商应依据成交金额向采购代理机构交纳成交服务费，交费金额参照《招标代理服务收费管理暂行办法》（计价格（2002）1980号）附件规定的收费标准的90%收取。3、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学位论文质量是研究生教育的生命线，而学位论文盲审是保障学位论文质量的关键环节。根据&lt;&lt;西安石油大学博士学位论文评审管理办法&gt;&gt;&lt;&lt;西安石油大学硕士学位论文评审管理办法&gt;&gt;文件要求，西安石油大学博士、硕士学位论文实行100%盲审。为健全西安石油大学研究生教育质量监督保障机制，提高人才培养和学位授予质量，保证学位论文送审和优秀学位论文评选的客观性、公平性与公正性，需采用权威送审平台从严把关，具体内容详见单一来源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2,504,020.00</w:t>
      </w:r>
    </w:p>
    <w:p>
      <w:pPr>
        <w:pStyle w:val="null3"/>
      </w:pPr>
      <w:r>
        <w:rPr>
          <w:rFonts w:ascii="仿宋_GB2312" w:hAnsi="仿宋_GB2312" w:cs="仿宋_GB2312" w:eastAsia="仿宋_GB2312"/>
        </w:rPr>
        <w:t>采购包最高限价（元）: 2,054,020.00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研究生论文质量监测服务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2,504,020.00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标的名称：研究生论文质量监测服务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一、项目基本情况</w:t>
            </w:r>
            <w:r>
              <w:br/>
            </w:r>
            <w:r>
              <w:rPr>
                <w:rFonts w:ascii="仿宋_GB2312" w:hAnsi="仿宋_GB2312" w:cs="仿宋_GB2312" w:eastAsia="仿宋_GB2312"/>
                <w:sz w:val="24"/>
              </w:rPr>
              <w:t>学位论文质量是研究生教育的生命线，而学位论文盲审是保障学位论文质量的关键环节。根据</w:t>
            </w:r>
            <w:r>
              <w:rPr>
                <w:rFonts w:ascii="仿宋_GB2312" w:hAnsi="仿宋_GB2312" w:cs="仿宋_GB2312" w:eastAsia="仿宋_GB2312"/>
                <w:sz w:val="24"/>
              </w:rPr>
              <w:t>&lt;&lt;西安石油大学博士学位论文评审管理办法&gt;&gt;&lt;&lt;西安石油大学硕士学位论文评审管理办法&gt;&gt;文件要求，我校博士、硕士学位论文实行100%盲审。为健全学校研究生教育质量监督保障机制，提高人才培养和学位授予质量，保证学位论文送审和优秀学位论文评选的客观性、公平性与公正性，需采用权威送审平台从严把关</w:t>
            </w:r>
            <w:r>
              <w:rPr>
                <w:rFonts w:ascii="仿宋_GB2312" w:hAnsi="仿宋_GB2312" w:cs="仿宋_GB2312" w:eastAsia="仿宋_GB2312"/>
                <w:sz w:val="24"/>
              </w:rPr>
              <w:t>。</w:t>
            </w:r>
            <w:r>
              <w:br/>
            </w:r>
            <w:r>
              <w:rPr>
                <w:rFonts w:ascii="仿宋_GB2312" w:hAnsi="仿宋_GB2312" w:cs="仿宋_GB2312" w:eastAsia="仿宋_GB2312"/>
                <w:sz w:val="24"/>
              </w:rPr>
              <w:t>二、</w:t>
            </w:r>
            <w:r>
              <w:rPr>
                <w:rFonts w:ascii="仿宋_GB2312" w:hAnsi="仿宋_GB2312" w:cs="仿宋_GB2312" w:eastAsia="仿宋_GB2312"/>
                <w:sz w:val="24"/>
              </w:rPr>
              <w:t>采购需求及主要参数</w:t>
            </w:r>
            <w:r>
              <w:br/>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服务方平台须实现按一级学科、二级学科、研究方向、关键词、题目、摘要相结合的方式自动遴选和补充遴选专家</w:t>
            </w:r>
            <w:r>
              <w:rPr>
                <w:rFonts w:ascii="仿宋_GB2312" w:hAnsi="仿宋_GB2312" w:cs="仿宋_GB2312" w:eastAsia="仿宋_GB2312"/>
                <w:sz w:val="24"/>
              </w:rPr>
              <w:t>；</w:t>
            </w:r>
          </w:p>
          <w:p>
            <w:pPr>
              <w:pStyle w:val="null3"/>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服务方平台须提供覆盖全国、类型丰富、层次多样的高水平的研究生学位论文评议专家资源，专家资源须达到</w:t>
            </w:r>
            <w:r>
              <w:rPr>
                <w:rFonts w:ascii="仿宋_GB2312" w:hAnsi="仿宋_GB2312" w:cs="仿宋_GB2312" w:eastAsia="仿宋_GB2312"/>
                <w:sz w:val="24"/>
              </w:rPr>
              <w:t>45万人以上，其中博导达到10万人，硕导达到30万人，涵盖我校研究生培养的各个学科专业;每年要进行专家库全库更新，定期补充专家资源，并建立专家退出机制</w:t>
            </w:r>
            <w:r>
              <w:rPr>
                <w:rFonts w:ascii="仿宋_GB2312" w:hAnsi="仿宋_GB2312" w:cs="仿宋_GB2312" w:eastAsia="仿宋_GB2312"/>
                <w:sz w:val="24"/>
              </w:rPr>
              <w:t>；</w:t>
            </w:r>
          </w:p>
          <w:p>
            <w:pPr>
              <w:pStyle w:val="null3"/>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服务方须为我校提供年度学位论文评议情况统计报告，学位论文质量监测工作建议等</w:t>
            </w:r>
            <w:r>
              <w:rPr>
                <w:rFonts w:ascii="仿宋_GB2312" w:hAnsi="仿宋_GB2312" w:cs="仿宋_GB2312" w:eastAsia="仿宋_GB2312"/>
                <w:sz w:val="24"/>
              </w:rPr>
              <w:t>；</w:t>
            </w:r>
          </w:p>
          <w:p>
            <w:pPr>
              <w:pStyle w:val="null3"/>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服务方须每年对我校管理员进行至少一次平台操作培训，并提供和更新平台操作规程等。</w:t>
            </w:r>
          </w:p>
          <w:p>
            <w:pPr>
              <w:pStyle w:val="null3"/>
              <w:jc w:val="center"/>
            </w:pPr>
            <w:r>
              <w:rPr>
                <w:rFonts w:ascii="仿宋_GB2312" w:hAnsi="仿宋_GB2312" w:cs="仿宋_GB2312" w:eastAsia="仿宋_GB2312"/>
                <w:sz w:val="24"/>
              </w:rPr>
              <w:t>分项明细表</w:t>
            </w:r>
          </w:p>
          <w:tbl>
            <w:tblPr>
              <w:tblBorders>
                <w:top w:val="none" w:color="000000" w:sz="4"/>
                <w:left w:val="none" w:color="000000" w:sz="4"/>
                <w:bottom w:val="none" w:color="000000" w:sz="4"/>
                <w:right w:val="none" w:color="000000" w:sz="4"/>
                <w:insideH w:val="none"/>
                <w:insideV w:val="none"/>
              </w:tblBorders>
            </w:tblPr>
            <w:tblGrid>
              <w:gridCol w:w="1913"/>
              <w:gridCol w:w="640"/>
            </w:tblGrid>
            <w:tr>
              <w:tc>
                <w:tcPr>
                  <w:tcW w:type="dxa" w:w="19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论文类型</w:t>
                  </w:r>
                </w:p>
              </w:tc>
              <w:tc>
                <w:tcPr>
                  <w:tcW w:type="dxa" w:w="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预估送审篇次</w:t>
                  </w:r>
                </w:p>
              </w:tc>
            </w:tr>
            <w:tr>
              <w:tc>
                <w:tcPr>
                  <w:tcW w:type="dxa" w:w="1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博士学位论文质量监测服务费（含初评、复评、增评）</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225</w:t>
                  </w:r>
                </w:p>
              </w:tc>
            </w:tr>
            <w:tr>
              <w:tc>
                <w:tcPr>
                  <w:tcW w:type="dxa" w:w="1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使用外国语言文字撰写的博士学位论文质量监测服务费（含初评、复评、增评）</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r>
              <w:tc>
                <w:tcPr>
                  <w:tcW w:type="dxa" w:w="1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硕士学位论文质量监测服务费（含初评、复评、增评）</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4600</w:t>
                  </w:r>
                </w:p>
              </w:tc>
            </w:tr>
            <w:tr>
              <w:tc>
                <w:tcPr>
                  <w:tcW w:type="dxa" w:w="1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使用外国语言文字撰写的硕士学位论文（不包括文学学科门类）质量监测服务费（含初评、复评、增评）</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r>
            <w:tr>
              <w:tc>
                <w:tcPr>
                  <w:tcW w:type="dxa" w:w="1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合计</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4900</w:t>
                  </w:r>
                </w:p>
              </w:tc>
            </w:tr>
          </w:tbl>
          <w:p>
            <w:pPr>
              <w:pStyle w:val="null3"/>
            </w:pPr>
            <w:r>
              <w:rPr>
                <w:rFonts w:ascii="仿宋_GB2312" w:hAnsi="仿宋_GB2312" w:cs="仿宋_GB2312" w:eastAsia="仿宋_GB2312"/>
                <w:sz w:val="24"/>
              </w:rPr>
              <w:t>注：最终根据实际送审篇次数据实结算。</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根据单一来源采购文件要求及合同约定执行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根据《财政部关于推进和完善服务项目政府采购有关问题的通知》（财库〔2014〕37号）有关规定，本项目在合同期满前，采购人将对中标人进行考核，根据服务满意程度，采购人有权决定是否续签合同，累计合同履行期限不超过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结算单位：采用分期支付方式，本协议有效期内支付次数2次。第一次支付金额不低于甲方预估服务费总额的60%，须于协议签署后，开始上传学位论文前完成支付；第二次根据实际送审篇次支付剩余全部服务费，须于2026年6月20日前完成支付。 （2）服务费金额以实际返回评议意见的学位论文篇次数量（即专家实际提交评议意见数量）计算，平台根据甲方学位论文送评进度自动计算服务费并在预付款中扣除，甲方可在平台实时查看服务费用使用情况。完成阶段性送评后，甲方可在线申请下载《学位论文质量监测服务费用结算说明》（以下简称《结算说明》），乙方根据《结算说明》开具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结算单位：采用分期支付方式，本协议有效期内支付次数2次。第一次支付金额不低于甲方预估服务费总额的60%，须于协议签署后，开始上传学位论文前完成支付；第二次根据实际送审篇次支付剩余全部服务费，须于2026年6月20日前完成支付。 （2）服务费金额以实际返回评议意见的学位论文篇次数量（即专家实际提交评议意见数量）计算，平台根据甲方学位论文送评进度自动计算服务费并在预付款中扣除，甲方可在平台实时查看服务费用使用情况。完成阶段性送评后，甲方可在线申请下载《学位论文质量监测服务费用结算说明》（以下简称《结算说明》），乙方根据《结算说明》开具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若因甲方人为因素导致送评工作无法顺利进行，影响学位论文送评工作进度以及专家评议结果的，甲方按过错承担责任，因此产生的质量监测服务费由甲方在责任范围内承担，乙方有权暂停甲方平台使用权限或与甲方终止合作。 （2）若因甲方未按约定及时支付质量监测服务费，导致平台送评服务中断，责任由甲方承担。 （3）若因乙方人为因素导致送评工作无法顺利进行，影响学位论文送评工作进度以及专家评议结果的，乙方按过错承担责任，因此产生的质量监测服务费由乙方在责任范围内承担，甲方有权终止合作。 （4）若因人为因素以外的客观原因导致送评工作无法顺利进行，则双方互不承担责任，所产生的费用由双方按照平等原则分担。</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1、在线客服：通过陕西省政府采购网-在线客服进行咨询 技术服务电话：029-96702 CA及签章服务：通过陕西省政府采购网-服务专区进行查询。 2、请将采购代理服务费汇至下列指定账户：户名：陕西海堂项目管理咨询有限公司 开户银行：中国银行股份有限公司西安雁塔路支行 账号：103675480567。 3、供应商需要在线提交所有通过电子化交易平台实施的政府采购项目的投标文件，同时，线下提交投标文件正本壹份、副本贰套、电子版贰套（U盘标明供应商名称）。 线下提交投标文件地点：于开标截止时间前。线下提交投标文件地点：西安市建西街123号三楼第一会议室。若电子投标文件与纸质投标文件不一致的，以电子投标文件为准；若正本和副本不符，以正本为准。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法定代表人授权书及被授权人身份证复印件及被授权人近半年内任意一个月的社保缴纳证明（法定代表人直接协商须提交法定代表人证明书及身份证复印件）；</w:t>
            </w:r>
          </w:p>
        </w:tc>
        <w:tc>
          <w:tcPr>
            <w:tcW w:type="dxa" w:w="1661"/>
          </w:tcPr>
          <w:p>
            <w:pPr>
              <w:pStyle w:val="null3"/>
            </w:pPr>
            <w:r>
              <w:rPr>
                <w:rFonts w:ascii="仿宋_GB2312" w:hAnsi="仿宋_GB2312" w:cs="仿宋_GB2312" w:eastAsia="仿宋_GB2312"/>
              </w:rPr>
              <w:t>法定代表人证明书与法定代表人授权书.docx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有效的财务报告(包括审计报告、资产负债表、利润表、现金流量表及其附注、会计师事务所营业执照、执业证书、注册会计师证书，成立时间至提交响应文件截止时间不足一年的可提供成立后任意时段的资产负债表），或其协商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提供2025年06月至今已缴存的一个月的社会保障资金缴存单据或社保机构开具的社会保险参保缴费情况证明，依法不需要缴纳社会保障资金的投标单位应提供相关文件证明；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提供2025年06月至今已缴纳的至少一个月的纳税证明或完税证明，依法免税的单位应提供相关证明材料；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提供具有履行服务合同所必需的产品和专业技术能力的承诺；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分项报价表.docx 残疾人福利性单位声明函 法定代表人证明书与法定代表人授权书.docx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分项报价表.docx 残疾人福利性单位声明函 法定代表人证明书与法定代表人授权书.docx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分项报价表.docx 残疾人福利性单位声明函 法定代表人证明书与法定代表人授权书.docx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分项报价表.docx 法定代表人证明书与法定代表人授权书.docx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响应文件的语言、计量单位、报价货币是否满足单一来源采购文件要求</w:t>
            </w:r>
          </w:p>
        </w:tc>
        <w:tc>
          <w:tcPr>
            <w:tcW w:type="dxa" w:w="3322"/>
          </w:tcPr>
          <w:p>
            <w:pPr>
              <w:pStyle w:val="null3"/>
            </w:pPr>
            <w:r>
              <w:rPr>
                <w:rFonts w:ascii="仿宋_GB2312" w:hAnsi="仿宋_GB2312" w:cs="仿宋_GB2312" w:eastAsia="仿宋_GB2312"/>
              </w:rPr>
              <w:t>响应文件的语言、计量单位、报价货币是否满足单一来源采购文件要求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分项报价表.docx 残疾人福利性单位声明函 法定代表人证明书与法定代表人授权书.docx 服务方案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协商有效期是否达到单一来源采购文件要求</w:t>
            </w:r>
          </w:p>
        </w:tc>
        <w:tc>
          <w:tcPr>
            <w:tcW w:type="dxa" w:w="3322"/>
          </w:tcPr>
          <w:p>
            <w:pPr>
              <w:pStyle w:val="null3"/>
            </w:pPr>
            <w:r>
              <w:rPr>
                <w:rFonts w:ascii="仿宋_GB2312" w:hAnsi="仿宋_GB2312" w:cs="仿宋_GB2312" w:eastAsia="仿宋_GB2312"/>
              </w:rPr>
              <w:t>协商有效期是否达到单一来源采购文件要求</w:t>
            </w:r>
          </w:p>
        </w:tc>
        <w:tc>
          <w:tcPr>
            <w:tcW w:type="dxa" w:w="1661"/>
          </w:tcPr>
          <w:p>
            <w:pPr>
              <w:pStyle w:val="null3"/>
            </w:pPr>
            <w:r>
              <w:rPr>
                <w:rFonts w:ascii="仿宋_GB2312" w:hAnsi="仿宋_GB2312" w:cs="仿宋_GB2312" w:eastAsia="仿宋_GB2312"/>
              </w:rPr>
              <w:t>法定代表人证明书与法定代表人授权书.docx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是否符合法律、法规和单一来源采购文件中规定的其他实质性要求</w:t>
            </w:r>
          </w:p>
        </w:tc>
        <w:tc>
          <w:tcPr>
            <w:tcW w:type="dxa" w:w="3322"/>
          </w:tcPr>
          <w:p>
            <w:pPr>
              <w:pStyle w:val="null3"/>
            </w:pPr>
            <w:r>
              <w:rPr>
                <w:rFonts w:ascii="仿宋_GB2312" w:hAnsi="仿宋_GB2312" w:cs="仿宋_GB2312" w:eastAsia="仿宋_GB2312"/>
              </w:rPr>
              <w:t>是否符合法律、法规和单一来源采购文件中规定的其他实质性要求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分项报价表.docx 残疾人福利性单位声明函 法定代表人证明书与法定代表人授权书.docx 服务方案 标的清单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详见附件：法定代表人证明书与法定代表人授权书.docx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