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149D5">
      <w:pPr>
        <w:keepNext/>
        <w:keepLines/>
        <w:numPr>
          <w:ilvl w:val="2"/>
          <w:numId w:val="0"/>
        </w:numPr>
        <w:spacing w:after="0" w:line="360" w:lineRule="auto"/>
        <w:jc w:val="center"/>
        <w:outlineLvl w:val="2"/>
        <w:rPr>
          <w:rFonts w:hint="eastAsia" w:asciiTheme="majorEastAsia" w:hAnsiTheme="majorEastAsia" w:eastAsiaTheme="majorEastAsia" w:cstheme="majorEastAsia"/>
          <w:b/>
          <w:color w:val="auto"/>
          <w:sz w:val="32"/>
          <w:szCs w:val="32"/>
          <w:highlight w:val="none"/>
          <w14:ligatures w14:val="none"/>
        </w:rPr>
      </w:pPr>
      <w:r>
        <w:rPr>
          <w:rFonts w:hint="eastAsia" w:asciiTheme="majorEastAsia" w:hAnsiTheme="majorEastAsia" w:eastAsiaTheme="majorEastAsia" w:cstheme="majorEastAsia"/>
          <w:b/>
          <w:bCs/>
          <w:color w:val="auto"/>
          <w:sz w:val="36"/>
          <w:szCs w:val="28"/>
          <w:highlight w:val="none"/>
          <w14:ligatures w14:val="none"/>
        </w:rPr>
        <w:t>拟签订采购合同文本</w:t>
      </w:r>
    </w:p>
    <w:p w14:paraId="1AAA1F30">
      <w:pPr>
        <w:widowControl/>
        <w:spacing w:after="0" w:line="240" w:lineRule="auto"/>
        <w:jc w:val="center"/>
        <w:outlineLvl w:val="1"/>
        <w:rPr>
          <w:rFonts w:hint="eastAsia" w:asciiTheme="majorEastAsia" w:hAnsiTheme="majorEastAsia" w:eastAsiaTheme="majorEastAsia" w:cstheme="majorEastAsia"/>
          <w:color w:val="auto"/>
          <w:kern w:val="0"/>
          <w:sz w:val="20"/>
          <w:szCs w:val="20"/>
          <w:highlight w:val="none"/>
          <w:lang w:eastAsia="zh-Hans"/>
          <w14:ligatures w14:val="none"/>
        </w:rPr>
      </w:pPr>
      <w:r>
        <w:rPr>
          <w:rFonts w:hint="eastAsia" w:asciiTheme="majorEastAsia" w:hAnsiTheme="majorEastAsia" w:eastAsiaTheme="majorEastAsia" w:cstheme="majorEastAsia"/>
          <w:b/>
          <w:color w:val="auto"/>
          <w:kern w:val="0"/>
          <w:sz w:val="36"/>
          <w:szCs w:val="20"/>
          <w:highlight w:val="none"/>
          <w:lang w:eastAsia="zh-Hans"/>
          <w14:ligatures w14:val="none"/>
        </w:rPr>
        <w:t>拟签订采购</w:t>
      </w:r>
    </w:p>
    <w:p w14:paraId="77B0AA01">
      <w:pPr>
        <w:autoSpaceDE w:val="0"/>
        <w:autoSpaceDN w:val="0"/>
        <w:adjustRightInd w:val="0"/>
        <w:spacing w:after="0" w:line="360" w:lineRule="auto"/>
        <w:ind w:firstLine="480" w:firstLineChars="200"/>
        <w:jc w:val="center"/>
        <w:rPr>
          <w:rFonts w:hint="eastAsia" w:asciiTheme="majorEastAsia" w:hAnsiTheme="majorEastAsia" w:eastAsiaTheme="majorEastAsia" w:cstheme="majorEastAsia"/>
          <w:bCs/>
          <w:color w:val="auto"/>
          <w:sz w:val="24"/>
          <w:szCs w:val="24"/>
          <w:highlight w:val="none"/>
          <w14:ligatures w14:val="none"/>
        </w:rPr>
      </w:pPr>
      <w:r>
        <w:rPr>
          <w:rFonts w:hint="eastAsia" w:asciiTheme="majorEastAsia" w:hAnsiTheme="majorEastAsia" w:eastAsiaTheme="majorEastAsia" w:cstheme="majorEastAsia"/>
          <w:bCs/>
          <w:color w:val="auto"/>
          <w:sz w:val="24"/>
          <w:szCs w:val="24"/>
          <w:highlight w:val="none"/>
          <w14:ligatures w14:val="none"/>
        </w:rPr>
        <w:t>（本合同仅供参考，以实际签订合同为准）</w:t>
      </w:r>
    </w:p>
    <w:p w14:paraId="31F7DBEC">
      <w:pPr>
        <w:autoSpaceDE w:val="0"/>
        <w:autoSpaceDN w:val="0"/>
        <w:adjustRightInd w:val="0"/>
        <w:spacing w:after="0" w:line="360" w:lineRule="auto"/>
        <w:ind w:firstLine="480" w:firstLineChars="200"/>
        <w:jc w:val="both"/>
        <w:rPr>
          <w:rFonts w:hint="eastAsia" w:asciiTheme="majorEastAsia" w:hAnsiTheme="majorEastAsia" w:eastAsiaTheme="majorEastAsia" w:cstheme="majorEastAsia"/>
          <w:color w:val="auto"/>
          <w:sz w:val="24"/>
          <w:szCs w:val="24"/>
          <w:highlight w:val="none"/>
          <w:u w:val="single"/>
          <w14:ligatures w14:val="none"/>
        </w:rPr>
      </w:pPr>
      <w:r>
        <w:rPr>
          <w:rFonts w:hint="eastAsia" w:asciiTheme="majorEastAsia" w:hAnsiTheme="majorEastAsia" w:eastAsiaTheme="majorEastAsia" w:cstheme="majorEastAsia"/>
          <w:bCs/>
          <w:color w:val="auto"/>
          <w:sz w:val="24"/>
          <w:szCs w:val="24"/>
          <w:highlight w:val="none"/>
          <w14:ligatures w14:val="none"/>
        </w:rPr>
        <w:t>甲方（采购人）：</w:t>
      </w:r>
      <w:r>
        <w:rPr>
          <w:rFonts w:hint="eastAsia" w:asciiTheme="majorEastAsia" w:hAnsiTheme="majorEastAsia" w:eastAsiaTheme="majorEastAsia" w:cstheme="majorEastAsia"/>
          <w:bCs/>
          <w:color w:val="auto"/>
          <w:sz w:val="24"/>
          <w:szCs w:val="24"/>
          <w:highlight w:val="none"/>
          <w:u w:val="single"/>
          <w14:ligatures w14:val="none"/>
        </w:rPr>
        <w:t xml:space="preserve">                                    </w:t>
      </w:r>
    </w:p>
    <w:p w14:paraId="7F76091A">
      <w:pPr>
        <w:autoSpaceDE w:val="0"/>
        <w:autoSpaceDN w:val="0"/>
        <w:adjustRightInd w:val="0"/>
        <w:spacing w:after="0" w:line="360" w:lineRule="auto"/>
        <w:ind w:firstLine="480" w:firstLineChars="200"/>
        <w:jc w:val="both"/>
        <w:rPr>
          <w:rFonts w:hint="eastAsia" w:asciiTheme="majorEastAsia" w:hAnsiTheme="majorEastAsia" w:eastAsiaTheme="majorEastAsia" w:cstheme="majorEastAsia"/>
          <w:bCs/>
          <w:color w:val="auto"/>
          <w:sz w:val="24"/>
          <w:szCs w:val="24"/>
          <w:highlight w:val="none"/>
          <w14:ligatures w14:val="none"/>
        </w:rPr>
      </w:pPr>
      <w:r>
        <w:rPr>
          <w:rFonts w:hint="eastAsia" w:asciiTheme="majorEastAsia" w:hAnsiTheme="majorEastAsia" w:eastAsiaTheme="majorEastAsia" w:cstheme="majorEastAsia"/>
          <w:bCs/>
          <w:color w:val="auto"/>
          <w:sz w:val="24"/>
          <w:szCs w:val="24"/>
          <w:highlight w:val="none"/>
          <w14:ligatures w14:val="none"/>
        </w:rPr>
        <w:t>乙方（成交供应商）：</w:t>
      </w:r>
      <w:r>
        <w:rPr>
          <w:rFonts w:hint="eastAsia" w:asciiTheme="majorEastAsia" w:hAnsiTheme="majorEastAsia" w:eastAsiaTheme="majorEastAsia" w:cstheme="majorEastAsia"/>
          <w:bCs/>
          <w:color w:val="auto"/>
          <w:sz w:val="24"/>
          <w:szCs w:val="24"/>
          <w:highlight w:val="none"/>
          <w:u w:val="single"/>
          <w14:ligatures w14:val="none"/>
        </w:rPr>
        <w:t xml:space="preserve">                                </w:t>
      </w:r>
      <w:r>
        <w:rPr>
          <w:rFonts w:hint="eastAsia" w:asciiTheme="majorEastAsia" w:hAnsiTheme="majorEastAsia" w:eastAsiaTheme="majorEastAsia" w:cstheme="majorEastAsia"/>
          <w:bCs/>
          <w:color w:val="auto"/>
          <w:sz w:val="24"/>
          <w:szCs w:val="24"/>
          <w:highlight w:val="none"/>
          <w14:ligatures w14:val="none"/>
        </w:rPr>
        <w:t xml:space="preserve"> </w:t>
      </w:r>
    </w:p>
    <w:p w14:paraId="20B3ADA1">
      <w:pPr>
        <w:wordWrap w:val="0"/>
        <w:autoSpaceDE w:val="0"/>
        <w:autoSpaceDN w:val="0"/>
        <w:adjustRightInd w:val="0"/>
        <w:spacing w:after="0" w:line="360" w:lineRule="auto"/>
        <w:ind w:firstLine="480" w:firstLineChars="200"/>
        <w:rPr>
          <w:rFonts w:hint="eastAsia" w:asciiTheme="majorEastAsia" w:hAnsiTheme="majorEastAsia" w:eastAsiaTheme="majorEastAsia" w:cstheme="majorEastAsia"/>
          <w:bCs/>
          <w:color w:val="auto"/>
          <w:sz w:val="24"/>
          <w:szCs w:val="24"/>
          <w:highlight w:val="none"/>
          <w14:ligatures w14:val="none"/>
        </w:rPr>
      </w:pPr>
      <w:r>
        <w:rPr>
          <w:rFonts w:hint="eastAsia" w:asciiTheme="majorEastAsia" w:hAnsiTheme="majorEastAsia" w:eastAsiaTheme="majorEastAsia" w:cstheme="majorEastAsia"/>
          <w:bCs/>
          <w:color w:val="auto"/>
          <w:sz w:val="24"/>
          <w:szCs w:val="24"/>
          <w:highlight w:val="none"/>
          <w:lang w:eastAsia="zh-CN"/>
          <w14:ligatures w14:val="none"/>
        </w:rPr>
        <w:t>依据《中华人民共和国民法典》等相关规定，甲乙双方在平等自愿的基础上，经协商一致就研究生论文质量监测服务达成合作协议，以明确双方的责权并保证共同遵守以下协议内容。</w:t>
      </w:r>
    </w:p>
    <w:p w14:paraId="74522394">
      <w:pPr>
        <w:spacing w:line="360" w:lineRule="auto"/>
        <w:ind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第一条 服务内容</w:t>
      </w:r>
    </w:p>
    <w:p w14:paraId="6E25B7E5">
      <w:pPr>
        <w:spacing w:line="360" w:lineRule="auto"/>
        <w:ind w:firstLine="480" w:firstLineChars="200"/>
        <w:rPr>
          <w:rFonts w:hint="eastAsia" w:asciiTheme="majorEastAsia" w:hAnsiTheme="majorEastAsia" w:eastAsiaTheme="majorEastAsia" w:cstheme="majorEastAsia"/>
          <w:color w:val="auto"/>
          <w:sz w:val="24"/>
          <w:szCs w:val="24"/>
          <w:highlight w:val="none"/>
        </w:rPr>
      </w:pPr>
      <w:bookmarkStart w:id="0" w:name="_Hlk499735660"/>
      <w:r>
        <w:rPr>
          <w:rFonts w:hint="eastAsia" w:asciiTheme="majorEastAsia" w:hAnsiTheme="majorEastAsia" w:eastAsiaTheme="majorEastAsia" w:cstheme="majorEastAsia"/>
          <w:color w:val="auto"/>
          <w:sz w:val="24"/>
          <w:szCs w:val="24"/>
          <w:highlight w:val="none"/>
        </w:rPr>
        <w:t>经协商，甲乙双方就</w:t>
      </w:r>
      <w:r>
        <w:rPr>
          <w:rFonts w:hint="eastAsia" w:asciiTheme="majorEastAsia" w:hAnsiTheme="majorEastAsia" w:eastAsiaTheme="majorEastAsia" w:cstheme="majorEastAsia"/>
          <w:color w:val="auto"/>
          <w:sz w:val="24"/>
          <w:szCs w:val="24"/>
          <w:highlight w:val="none"/>
          <w:lang w:eastAsia="zh-CN"/>
        </w:rPr>
        <w:t>研究生论文质量监测服务</w:t>
      </w:r>
      <w:r>
        <w:rPr>
          <w:rFonts w:hint="eastAsia" w:asciiTheme="majorEastAsia" w:hAnsiTheme="majorEastAsia" w:eastAsiaTheme="majorEastAsia" w:cstheme="majorEastAsia"/>
          <w:color w:val="auto"/>
          <w:sz w:val="24"/>
          <w:szCs w:val="24"/>
          <w:highlight w:val="none"/>
        </w:rPr>
        <w:t>开展合作：</w:t>
      </w:r>
    </w:p>
    <w:p w14:paraId="650281AD">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乙方作为专业评价机构，为甲方提供</w:t>
      </w:r>
      <w:r>
        <w:rPr>
          <w:rFonts w:hint="eastAsia" w:asciiTheme="majorEastAsia" w:hAnsiTheme="majorEastAsia" w:eastAsiaTheme="majorEastAsia" w:cstheme="majorEastAsia"/>
          <w:color w:val="auto"/>
          <w:sz w:val="24"/>
          <w:szCs w:val="24"/>
          <w:highlight w:val="none"/>
          <w:lang w:eastAsia="zh-CN"/>
        </w:rPr>
        <w:t>研究生论文质量监测服务</w:t>
      </w:r>
      <w:r>
        <w:rPr>
          <w:rFonts w:hint="eastAsia" w:asciiTheme="majorEastAsia" w:hAnsiTheme="majorEastAsia" w:eastAsiaTheme="majorEastAsia" w:cstheme="majorEastAsia"/>
          <w:color w:val="auto"/>
          <w:sz w:val="24"/>
          <w:szCs w:val="24"/>
          <w:highlight w:val="none"/>
        </w:rPr>
        <w:t>（以下简称平台）、同行评议专家资源和评议过程技术服务。</w:t>
      </w:r>
    </w:p>
    <w:p w14:paraId="691B5F34">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甲方作为</w:t>
      </w:r>
      <w:r>
        <w:rPr>
          <w:rFonts w:hint="eastAsia" w:asciiTheme="majorEastAsia" w:hAnsiTheme="majorEastAsia" w:eastAsiaTheme="majorEastAsia" w:cstheme="majorEastAsia"/>
          <w:color w:val="auto"/>
          <w:sz w:val="24"/>
          <w:szCs w:val="24"/>
          <w:highlight w:val="none"/>
          <w:lang w:eastAsia="zh-CN"/>
        </w:rPr>
        <w:t>研究生论文质量监测服务</w:t>
      </w:r>
      <w:r>
        <w:rPr>
          <w:rFonts w:hint="eastAsia" w:asciiTheme="majorEastAsia" w:hAnsiTheme="majorEastAsia" w:eastAsiaTheme="majorEastAsia" w:cstheme="majorEastAsia"/>
          <w:color w:val="auto"/>
          <w:sz w:val="24"/>
          <w:szCs w:val="24"/>
          <w:highlight w:val="none"/>
        </w:rPr>
        <w:t>责任主体，依托乙方上述服务自主组织开展：</w:t>
      </w:r>
    </w:p>
    <w:p w14:paraId="19234CA4">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 1.博士学位论文答辩前评议</w:t>
      </w:r>
    </w:p>
    <w:p w14:paraId="404BE22C">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 2.硕士学位论文答辩前评议</w:t>
      </w:r>
    </w:p>
    <w:p w14:paraId="41B5F396">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sym w:font="Wingdings 2" w:char="00A3"/>
      </w:r>
      <w:r>
        <w:rPr>
          <w:rFonts w:hint="eastAsia" w:asciiTheme="majorEastAsia" w:hAnsiTheme="majorEastAsia" w:eastAsiaTheme="majorEastAsia" w:cstheme="majorEastAsia"/>
          <w:color w:val="auto"/>
          <w:sz w:val="24"/>
          <w:szCs w:val="24"/>
          <w:highlight w:val="none"/>
        </w:rPr>
        <w:t xml:space="preserve"> 3.博士学位论文答辩后抽检评议</w:t>
      </w:r>
    </w:p>
    <w:p w14:paraId="077176B1">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sym w:font="Wingdings 2" w:char="00A3"/>
      </w:r>
      <w:r>
        <w:rPr>
          <w:rFonts w:hint="eastAsia" w:asciiTheme="majorEastAsia" w:hAnsiTheme="majorEastAsia" w:eastAsiaTheme="majorEastAsia" w:cstheme="majorEastAsia"/>
          <w:color w:val="auto"/>
          <w:sz w:val="24"/>
          <w:szCs w:val="24"/>
          <w:highlight w:val="none"/>
        </w:rPr>
        <w:t xml:space="preserve"> 4.硕士学位论文答辩后抽检评议</w:t>
      </w:r>
    </w:p>
    <w:bookmarkEnd w:id="0"/>
    <w:p w14:paraId="7897B272">
      <w:pPr>
        <w:numPr>
          <w:ilvl w:val="0"/>
          <w:numId w:val="1"/>
        </w:numPr>
        <w:spacing w:line="360" w:lineRule="auto"/>
        <w:ind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甲方权利</w:t>
      </w:r>
    </w:p>
    <w:p w14:paraId="09146011">
      <w:pPr>
        <w:numPr>
          <w:ilvl w:val="0"/>
          <w:numId w:val="2"/>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甲方有权依据国家及本单位研究生学位论文质量管理有关规定，自主制定学位论文评议要素及要求，在平台中自主设置博士、硕士学位论文相应评审项目评阅书模板。</w:t>
      </w:r>
    </w:p>
    <w:p w14:paraId="09963793">
      <w:pPr>
        <w:numPr>
          <w:ilvl w:val="0"/>
          <w:numId w:val="2"/>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甲方有权决定是否对待评审学位论文材料中的学位论文作者、导师等信息进行隐匿处理，如未做处理，有关专家在评议过程中将可查看相关信息。</w:t>
      </w:r>
    </w:p>
    <w:p w14:paraId="7486EEA5">
      <w:pPr>
        <w:numPr>
          <w:ilvl w:val="0"/>
          <w:numId w:val="2"/>
        </w:numPr>
        <w:spacing w:line="360" w:lineRule="auto"/>
        <w:ind w:firstLine="480" w:firstLineChars="200"/>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甲方有权按如下条件“自动遴选”学位论文评议专家：</w:t>
      </w:r>
    </w:p>
    <w:p w14:paraId="6A55FCBC">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1.学术学位论文和专业学位论文分别在学位论文所属《研究生教育学科专业目录》的一级学科和专业学位类别范围内遴选专家。</w:t>
      </w:r>
    </w:p>
    <w:p w14:paraId="1330FC74">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2.遴选专家所在单位类型：</w:t>
      </w:r>
    </w:p>
    <w:p w14:paraId="680596C2">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sym w:font="Wingdings 2" w:char="00A3"/>
      </w:r>
      <w:r>
        <w:rPr>
          <w:rFonts w:hint="eastAsia" w:asciiTheme="majorEastAsia" w:hAnsiTheme="majorEastAsia" w:eastAsiaTheme="majorEastAsia" w:cstheme="majorEastAsia"/>
          <w:color w:val="auto"/>
          <w:sz w:val="24"/>
          <w:szCs w:val="24"/>
          <w:highlight w:val="none"/>
        </w:rPr>
        <w:t xml:space="preserve">优先一流大学建设高校 </w:t>
      </w:r>
    </w:p>
    <w:p w14:paraId="5989D74F">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sym w:font="Wingdings 2" w:char="00A3"/>
      </w:r>
      <w:r>
        <w:rPr>
          <w:rFonts w:hint="eastAsia" w:asciiTheme="majorEastAsia" w:hAnsiTheme="majorEastAsia" w:eastAsiaTheme="majorEastAsia" w:cstheme="majorEastAsia"/>
          <w:color w:val="auto"/>
          <w:sz w:val="24"/>
          <w:szCs w:val="24"/>
          <w:highlight w:val="none"/>
        </w:rPr>
        <w:t xml:space="preserve">优先“双一流”建设高校和科研院所 </w:t>
      </w:r>
    </w:p>
    <w:p w14:paraId="0CEC282B">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■优先“双一流”高校或整体水平高于我校的双非院校的相近学科(专业)</w:t>
      </w:r>
    </w:p>
    <w:p w14:paraId="52F2D839">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sym w:font="Wingdings 2" w:char="00A3"/>
      </w:r>
      <w:r>
        <w:rPr>
          <w:rFonts w:hint="eastAsia" w:asciiTheme="majorEastAsia" w:hAnsiTheme="majorEastAsia" w:eastAsiaTheme="majorEastAsia" w:cstheme="majorEastAsia"/>
          <w:color w:val="auto"/>
          <w:sz w:val="24"/>
          <w:szCs w:val="24"/>
          <w:highlight w:val="none"/>
        </w:rPr>
        <w:t>全部高校</w:t>
      </w:r>
    </w:p>
    <w:p w14:paraId="75BEC987">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注：以上选项为单选，且所选选项需包含甲方所在单位类型，当所选单位类型的专家无法满足遴选需求时，平台自动在其他类型单位的专家中遴选。</w:t>
      </w:r>
    </w:p>
    <w:p w14:paraId="37DD4B11">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3.按照学位论文的研究方向、关键词、题目、摘要与专家研究方向进行匹配，如甲方在送评过程中对学位论文的研究方向进行修正，平台自动依据修正后的研究方向进行匹配。</w:t>
      </w:r>
    </w:p>
    <w:p w14:paraId="0CAC0672">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4.回避甲方专家（含兼职）。</w:t>
      </w:r>
    </w:p>
    <w:p w14:paraId="43BC4ECE">
      <w:pPr>
        <w:widowControl/>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5.博士论文评审专家须</w:t>
      </w:r>
      <w:bookmarkStart w:id="1" w:name="_GoBack"/>
      <w:bookmarkEnd w:id="1"/>
      <w:r>
        <w:rPr>
          <w:rFonts w:hint="eastAsia" w:asciiTheme="majorEastAsia" w:hAnsiTheme="majorEastAsia" w:eastAsiaTheme="majorEastAsia" w:cstheme="majorEastAsia"/>
          <w:color w:val="auto"/>
          <w:sz w:val="24"/>
          <w:szCs w:val="24"/>
          <w:highlight w:val="none"/>
        </w:rPr>
        <w:t>为博士研究生导师或正高级职称专家，硕士论文评审专家须为硕士研究生导师或副高级职称的专家。</w:t>
      </w:r>
    </w:p>
    <w:p w14:paraId="286A223D">
      <w:pPr>
        <w:widowControl/>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 xml:space="preserve">6.学术学位论文遴选学术学位导师；专业学位论文遴选专业学位导师。 </w:t>
      </w:r>
    </w:p>
    <w:p w14:paraId="021C6F39">
      <w:pPr>
        <w:widowControl/>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7.在符合1-6条件的专家中随机遴选学位论文评议专家。</w:t>
      </w:r>
    </w:p>
    <w:p w14:paraId="294D9923">
      <w:pPr>
        <w:numPr>
          <w:ilvl w:val="0"/>
          <w:numId w:val="2"/>
        </w:numPr>
        <w:spacing w:line="360" w:lineRule="auto"/>
        <w:ind w:firstLine="480" w:firstLineChars="200"/>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甲方有权</w:t>
      </w:r>
      <w:r>
        <w:rPr>
          <w:rFonts w:hint="eastAsia" w:asciiTheme="majorEastAsia" w:hAnsiTheme="majorEastAsia" w:eastAsiaTheme="majorEastAsia" w:cstheme="majorEastAsia"/>
          <w:color w:val="auto"/>
          <w:sz w:val="24"/>
          <w:szCs w:val="24"/>
          <w:highlight w:val="none"/>
        </w:rPr>
        <w:t>按如下条件“补充遴选”</w:t>
      </w:r>
      <w:r>
        <w:rPr>
          <w:rFonts w:hint="eastAsia" w:asciiTheme="majorEastAsia" w:hAnsiTheme="majorEastAsia" w:eastAsiaTheme="majorEastAsia" w:cstheme="majorEastAsia"/>
          <w:bCs/>
          <w:color w:val="auto"/>
          <w:sz w:val="24"/>
          <w:szCs w:val="24"/>
          <w:highlight w:val="none"/>
        </w:rPr>
        <w:t>学位论文评议专家</w:t>
      </w:r>
      <w:r>
        <w:rPr>
          <w:rFonts w:hint="eastAsia" w:asciiTheme="majorEastAsia" w:hAnsiTheme="majorEastAsia" w:eastAsiaTheme="majorEastAsia" w:cstheme="majorEastAsia"/>
          <w:color w:val="auto"/>
          <w:sz w:val="24"/>
          <w:szCs w:val="24"/>
          <w:highlight w:val="none"/>
        </w:rPr>
        <w:t>：</w:t>
      </w:r>
    </w:p>
    <w:p w14:paraId="23294D80">
      <w:pPr>
        <w:widowControl/>
        <w:numPr>
          <w:ilvl w:val="0"/>
          <w:numId w:val="0"/>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1.在满足第二条第（三）款必选项和条件7的前提下，在平台内对专家遴选规则进行删减或补充，形成甲方个性化专家补充遴选方案；</w:t>
      </w:r>
    </w:p>
    <w:p w14:paraId="527ED241">
      <w:pPr>
        <w:widowControl/>
        <w:numPr>
          <w:ilvl w:val="0"/>
          <w:numId w:val="0"/>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2.可申请跨一级学科进行专家遴选，经申请并在平台中完成备案后，在“补充遴选”方案中“忽略”或“指定”一级学科进行专家遴选。</w:t>
      </w:r>
    </w:p>
    <w:p w14:paraId="5F80F70F">
      <w:pPr>
        <w:numPr>
          <w:ilvl w:val="0"/>
          <w:numId w:val="2"/>
        </w:numPr>
        <w:spacing w:line="360" w:lineRule="auto"/>
        <w:ind w:firstLine="480" w:firstLineChars="200"/>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甲方可自行选择评议专家遴选方式。</w:t>
      </w:r>
    </w:p>
    <w:p w14:paraId="21AD7D29">
      <w:pPr>
        <w:widowControl/>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1.如甲方选择“自动遴选”，即认可第二条第（三）款，平台将按此规则自动遴选专家，并自动发出评议邀请。</w:t>
      </w:r>
    </w:p>
    <w:p w14:paraId="795D39F8">
      <w:pPr>
        <w:widowControl/>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2.如甲方选择“补充遴选”，即认可按第二条第（四）款，平台将按甲方制定的个性化遴选方案遴选专家，并自动发出评议邀请。</w:t>
      </w:r>
    </w:p>
    <w:p w14:paraId="4B4A7887">
      <w:pPr>
        <w:widowControl/>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3.可在平台内随时转换</w:t>
      </w:r>
      <w:r>
        <w:rPr>
          <w:rFonts w:hint="eastAsia" w:asciiTheme="majorEastAsia" w:hAnsiTheme="majorEastAsia" w:eastAsiaTheme="majorEastAsia" w:cstheme="majorEastAsia"/>
          <w:bCs/>
          <w:color w:val="auto"/>
          <w:sz w:val="24"/>
          <w:szCs w:val="24"/>
          <w:highlight w:val="none"/>
        </w:rPr>
        <w:t>评议专家</w:t>
      </w:r>
      <w:r>
        <w:rPr>
          <w:rFonts w:hint="eastAsia" w:asciiTheme="majorEastAsia" w:hAnsiTheme="majorEastAsia" w:eastAsiaTheme="majorEastAsia" w:cstheme="majorEastAsia"/>
          <w:color w:val="auto"/>
          <w:sz w:val="24"/>
          <w:szCs w:val="24"/>
          <w:highlight w:val="none"/>
        </w:rPr>
        <w:t>遴选方式，即将“自动遴选”下的学位论文转换至“补充遴选”中，或将“补充遴选”下的学位论文转换至“自动遴选”中；对于在“补充遴选”中修正“研究方向”后的学位论文，可继续进入“自动遴选”，也可在甲方自设遴选方案下“补充遴选”出的专家中进行自主选取。</w:t>
      </w:r>
    </w:p>
    <w:p w14:paraId="63CF89F7">
      <w:pPr>
        <w:numPr>
          <w:ilvl w:val="0"/>
          <w:numId w:val="2"/>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甲方有权按照本单位学位论文评议需求自主组织学位论文评议工作，把控送评流程，进行学位论文复评、增评、减评等。</w:t>
      </w:r>
    </w:p>
    <w:p w14:paraId="41BEF61C">
      <w:pPr>
        <w:numPr>
          <w:ilvl w:val="0"/>
          <w:numId w:val="2"/>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甲方有权决定如何使用专家评议意见。如对专家提交的评议意见存在异议，可在评议意见提交后30天内通过平台向乙方提出，并由双方协商解决。</w:t>
      </w:r>
    </w:p>
    <w:p w14:paraId="1839C458">
      <w:pPr>
        <w:numPr>
          <w:ilvl w:val="0"/>
          <w:numId w:val="2"/>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甲方可开通一个平台一级账户，该账户仅限本单位（部门）负责学位论文质量监测工作且在平台完成实名信息登记认证的管理人员使用。</w:t>
      </w:r>
    </w:p>
    <w:p w14:paraId="0986D28A">
      <w:pPr>
        <w:numPr>
          <w:ilvl w:val="0"/>
          <w:numId w:val="2"/>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甲方可在一级账户下自主进行二级账户管理。包括：</w:t>
      </w:r>
    </w:p>
    <w:p w14:paraId="7B2C08DE">
      <w:pPr>
        <w:widowControl/>
        <w:numPr>
          <w:ilvl w:val="0"/>
          <w:numId w:val="3"/>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开通、冻结二级账户，二级账户数量不多于甲方二级学院（系）总数</w:t>
      </w:r>
      <w:r>
        <w:rPr>
          <w:rFonts w:hint="eastAsia" w:asciiTheme="majorEastAsia" w:hAnsiTheme="majorEastAsia" w:eastAsiaTheme="majorEastAsia" w:cstheme="majorEastAsia"/>
          <w:color w:val="auto"/>
          <w:sz w:val="24"/>
          <w:szCs w:val="24"/>
          <w:highlight w:val="none"/>
          <w:u w:val="single"/>
        </w:rPr>
        <w:t xml:space="preserve"> 20 </w:t>
      </w:r>
      <w:r>
        <w:rPr>
          <w:rFonts w:hint="eastAsia" w:asciiTheme="majorEastAsia" w:hAnsiTheme="majorEastAsia" w:eastAsiaTheme="majorEastAsia" w:cstheme="majorEastAsia"/>
          <w:color w:val="auto"/>
          <w:sz w:val="24"/>
          <w:szCs w:val="24"/>
          <w:highlight w:val="none"/>
        </w:rPr>
        <w:t>个。</w:t>
      </w:r>
    </w:p>
    <w:p w14:paraId="42384096">
      <w:pPr>
        <w:widowControl/>
        <w:numPr>
          <w:ilvl w:val="0"/>
          <w:numId w:val="3"/>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管理二级账户的功能权限，包括学位论文信息及材料上传、指定评阅书送评、专家遴选及评议结果下载等。</w:t>
      </w:r>
    </w:p>
    <w:p w14:paraId="1C333F76">
      <w:pPr>
        <w:widowControl/>
        <w:numPr>
          <w:ilvl w:val="0"/>
          <w:numId w:val="2"/>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与学位论文质量监测服务相关的其他权利。</w:t>
      </w:r>
    </w:p>
    <w:p w14:paraId="0E8C55B0">
      <w:pPr>
        <w:widowControl/>
        <w:numPr>
          <w:ilvl w:val="0"/>
          <w:numId w:val="1"/>
        </w:numPr>
        <w:spacing w:line="360" w:lineRule="auto"/>
        <w:ind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甲方义务</w:t>
      </w:r>
    </w:p>
    <w:p w14:paraId="249B2F99">
      <w:pPr>
        <w:widowControl/>
        <w:numPr>
          <w:ilvl w:val="0"/>
          <w:numId w:val="4"/>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甲方为本单位学位论文质量监测行为的责任主体，须正确理解乙方的第三方服务性质，在校内准确宣传本协议条款约定内容，引导导师、学生准确认识乙方第三方服务模式。</w:t>
      </w:r>
    </w:p>
    <w:p w14:paraId="067FEB9C">
      <w:pPr>
        <w:widowControl/>
        <w:numPr>
          <w:ilvl w:val="0"/>
          <w:numId w:val="4"/>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确保本单位评阅书模板的规范性和合理性，确保上传平台学位论文信息及材料的真实性、准确性和完整性，严禁上传加密或涉密学位论文及相关评议材料。对于论文中涉及科研项目及学术成果等敏感信息，甲方需在上传论文前自行完成脱敏处理。</w:t>
      </w:r>
    </w:p>
    <w:p w14:paraId="39AF0B00">
      <w:pPr>
        <w:widowControl/>
        <w:numPr>
          <w:ilvl w:val="0"/>
          <w:numId w:val="4"/>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甲方应及时跟进、自主完成学位论文送评流程。</w:t>
      </w:r>
    </w:p>
    <w:p w14:paraId="1A203B2F">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1.对上传平台的学位论文、以及对“已确认参评专家”数量小于论文所需评议专家数量的学位论文及时进行专家遴选；</w:t>
      </w:r>
    </w:p>
    <w:p w14:paraId="7C559C33">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2.对因专家个人原因超过评议时限未提交评议意见、在平台自动解除专家评议关系后仍缺少评议专家的学位论文，及时进行专家遴选；</w:t>
      </w:r>
    </w:p>
    <w:p w14:paraId="234397C9">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3.对</w:t>
      </w:r>
      <w:r>
        <w:rPr>
          <w:rFonts w:hint="eastAsia" w:asciiTheme="majorEastAsia" w:hAnsiTheme="majorEastAsia" w:eastAsiaTheme="majorEastAsia" w:cstheme="majorEastAsia"/>
          <w:bCs/>
          <w:color w:val="auto"/>
          <w:sz w:val="24"/>
          <w:szCs w:val="24"/>
          <w:highlight w:val="none"/>
        </w:rPr>
        <w:t>需个性化送评或小语种、小学科等存在特殊情况的</w:t>
      </w:r>
      <w:r>
        <w:rPr>
          <w:rFonts w:hint="eastAsia" w:asciiTheme="majorEastAsia" w:hAnsiTheme="majorEastAsia" w:eastAsiaTheme="majorEastAsia" w:cstheme="majorEastAsia"/>
          <w:color w:val="auto"/>
          <w:sz w:val="24"/>
          <w:szCs w:val="24"/>
          <w:highlight w:val="none"/>
        </w:rPr>
        <w:t>学位</w:t>
      </w:r>
      <w:r>
        <w:rPr>
          <w:rFonts w:hint="eastAsia" w:asciiTheme="majorEastAsia" w:hAnsiTheme="majorEastAsia" w:eastAsiaTheme="majorEastAsia" w:cstheme="majorEastAsia"/>
          <w:bCs/>
          <w:color w:val="auto"/>
          <w:sz w:val="24"/>
          <w:szCs w:val="24"/>
          <w:highlight w:val="none"/>
        </w:rPr>
        <w:t>论文，当甲方在平台进行</w:t>
      </w:r>
      <w:r>
        <w:rPr>
          <w:rFonts w:hint="eastAsia" w:asciiTheme="majorEastAsia" w:hAnsiTheme="majorEastAsia" w:eastAsiaTheme="majorEastAsia" w:cstheme="majorEastAsia"/>
          <w:color w:val="auto"/>
          <w:sz w:val="24"/>
          <w:szCs w:val="24"/>
          <w:highlight w:val="none"/>
        </w:rPr>
        <w:t>10次以上专家遴选操作（包括自动遴选和补充遴选）或遴选专家周期超过30天仍缺少评议专家时，甲方可终止平台评议并自行线下处理</w:t>
      </w:r>
      <w:r>
        <w:rPr>
          <w:rFonts w:hint="eastAsia" w:asciiTheme="majorEastAsia" w:hAnsiTheme="majorEastAsia" w:eastAsiaTheme="majorEastAsia" w:cstheme="majorEastAsia"/>
          <w:bCs/>
          <w:color w:val="auto"/>
          <w:sz w:val="24"/>
          <w:szCs w:val="24"/>
          <w:highlight w:val="none"/>
        </w:rPr>
        <w:t>。</w:t>
      </w:r>
    </w:p>
    <w:p w14:paraId="3F1BBAA5">
      <w:pPr>
        <w:widowControl/>
        <w:numPr>
          <w:ilvl w:val="0"/>
          <w:numId w:val="4"/>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应保证本单位一级和二级账户管理员、相关工作人员等知悉本协议约定内容，甲方一级账户管理员每年须至少参加一次乙方组织的平台操作培训，并负责本单位二级账户管理员的平台操作培训，对二级账户管理员的平台操作行为进行管控。</w:t>
      </w:r>
    </w:p>
    <w:p w14:paraId="2E817BB4">
      <w:pPr>
        <w:widowControl/>
        <w:numPr>
          <w:ilvl w:val="0"/>
          <w:numId w:val="4"/>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任何情况下，甲方不得私自与评议专家就甲方学位论文评议工作进行直接联系和沟通。</w:t>
      </w:r>
    </w:p>
    <w:p w14:paraId="6953F52E">
      <w:pPr>
        <w:widowControl/>
        <w:numPr>
          <w:ilvl w:val="0"/>
          <w:numId w:val="4"/>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不得向被评议学位论文作者和导师透露任何乙方有关信息，包括但不限于平台使用规则、评议专家信息及乙方联系方式等；不得向其他第三方机构或他人提供乙方平台操作指南、相关培训材料，展示平台，包括但不限于信息拷贝、录制视频、页面截图、操作规则、送评数据、专家信息以及乙方信息。</w:t>
      </w:r>
    </w:p>
    <w:p w14:paraId="71A35B0D">
      <w:pPr>
        <w:widowControl/>
        <w:numPr>
          <w:ilvl w:val="0"/>
          <w:numId w:val="4"/>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甲方每年定期向乙方提供本单位专业技术职务为副高级及以上职称的博士生导师、硕士生导师及专业学位校外行业兼职导师作为学位论文评议专家，协助乙方对上述专家信息进行及时更新和维护。</w:t>
      </w:r>
    </w:p>
    <w:p w14:paraId="3C2579DC">
      <w:pPr>
        <w:widowControl/>
        <w:numPr>
          <w:ilvl w:val="0"/>
          <w:numId w:val="4"/>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与学位论文质量监测服务相关的其他义务。</w:t>
      </w:r>
    </w:p>
    <w:p w14:paraId="2076BA8D">
      <w:pPr>
        <w:widowControl/>
        <w:numPr>
          <w:ilvl w:val="0"/>
          <w:numId w:val="1"/>
        </w:numPr>
        <w:spacing w:line="360" w:lineRule="auto"/>
        <w:ind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乙方权利</w:t>
      </w:r>
    </w:p>
    <w:p w14:paraId="4076D283">
      <w:pPr>
        <w:numPr>
          <w:ilvl w:val="0"/>
          <w:numId w:val="5"/>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在甲方（一级和二级账户）出现下列行为时，乙方有权暂停甲方一级或二级账户使用权限。甲方一级或二级账户管理员经重新参加培训后，以正式公函形式（加盖法人公章）申请恢复相应账户使用权限。</w:t>
      </w:r>
    </w:p>
    <w:p w14:paraId="771753DA">
      <w:pPr>
        <w:numPr>
          <w:ilvl w:val="0"/>
          <w:numId w:val="6"/>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违背协议约定内容误导导师、学位论文作者等，曲解、转移甲方学位论文送评的主体责任，造成不良后果；</w:t>
      </w:r>
    </w:p>
    <w:p w14:paraId="229A491B">
      <w:pPr>
        <w:numPr>
          <w:ilvl w:val="0"/>
          <w:numId w:val="6"/>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向平台登记管理员以外的个人及单位转借平台账户；</w:t>
      </w:r>
    </w:p>
    <w:p w14:paraId="59610D6D">
      <w:pPr>
        <w:numPr>
          <w:ilvl w:val="0"/>
          <w:numId w:val="6"/>
        </w:numPr>
        <w:spacing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出现两次（含）评阅书模板设置错误、评阅书模板与学位论文信息材料匹配错误、单批次送评20篇（含）以上学位论文信息及其附件材料错误等重大操作失误，严重影响专家评议工作。</w:t>
      </w:r>
    </w:p>
    <w:p w14:paraId="4B2A44AD">
      <w:pPr>
        <w:numPr>
          <w:ilvl w:val="0"/>
          <w:numId w:val="5"/>
        </w:numPr>
        <w:spacing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与学位论文质量监测服务相关的其他权利。</w:t>
      </w:r>
    </w:p>
    <w:p w14:paraId="51FBF33F">
      <w:pPr>
        <w:widowControl/>
        <w:numPr>
          <w:ilvl w:val="0"/>
          <w:numId w:val="1"/>
        </w:numPr>
        <w:spacing w:line="360" w:lineRule="auto"/>
        <w:ind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乙方义务</w:t>
      </w:r>
    </w:p>
    <w:p w14:paraId="1F4CA93C">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乙方负责提供智能、精准、高效、安全的学位论文质量监测服务平台，满足甲方学位论文评议功能需求，包括学位论文信息及其附件材料上传、评阅书设置、专家自动遴选或补充遴选、评议结果下载等。</w:t>
      </w:r>
    </w:p>
    <w:p w14:paraId="505D898D">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乙方须及时响应和解决甲方提出的平台技术问题，定期收集研判甲方的功能需求和建议，对平台功能及时升级优化，为甲方自主开展学位论文评议工作提供技术保障。</w:t>
      </w:r>
    </w:p>
    <w:p w14:paraId="4A6B1082">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乙方负责提供覆盖全国的、类型丰富、层次多样的高水平博士、硕士学位论文评议专家资源，并定期补充专家资源，对专家信息进行更新，保证专家资源充沛，专家信息准确。</w:t>
      </w:r>
    </w:p>
    <w:p w14:paraId="2DD5F6F6">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负责通过平台保障甲方学位论文评议过程中与评议专家间的信息交互，通过平台向专家发送相应消息通知或提醒等；协助甲方与参评专家沟通解决学术意见以外的问题，如：评议意见文字表述或格式错误、平台操作等问题。</w:t>
      </w:r>
    </w:p>
    <w:p w14:paraId="2A5C09C9">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乙方负责通过平台向经甲方遴选后的学位论文评议专家提供参评确认、评议材料阅读、评阅意见填写、评议结果提交等功能。</w:t>
      </w:r>
    </w:p>
    <w:p w14:paraId="4B0781BB">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为甲方学位论文自主评议工作提供辅助服务，协助甲方一级账户管理员解决在送评过程中遇到的平台操作等技术问题，关注甲方学位论文评议进度，及时提醒甲方完成开始专家遴选操作25天以上的博士学位论文及20天以上的硕士学位论文的送评流程（甲方间隔5天以上未进行遴选专家操作的学位论文除外）。</w:t>
      </w:r>
    </w:p>
    <w:p w14:paraId="57818D90">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乙方负责及时审核甲方通过平台提出的有关申请，包括：</w:t>
      </w:r>
    </w:p>
    <w:p w14:paraId="77619015">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1.审核甲方提出的已送评学位论文的评议材料修改或替换申请，但由甲方自行决定是否采用在修改或替换材料前已提交的专家评议意见，已产生的质量监测服务费由甲方支付；</w:t>
      </w:r>
    </w:p>
    <w:p w14:paraId="0D44F2C8">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2.审核甲方提出的已送评学位论文终止评议申请，对已确认评议的专家不能解除评议关系，但由甲方自行决定是否采用此类专家评议意见，已产生的质量监测服务费由甲方支付。</w:t>
      </w:r>
    </w:p>
    <w:p w14:paraId="04DB79EE">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乙方负责在本协议期满后，对协议期内已收回全部专家评议意见的学位论文进行数据归档，归档后甲方仍可查看、下载学位论文及专家评议意见。</w:t>
      </w:r>
    </w:p>
    <w:p w14:paraId="39996DBA">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乙方为甲方提供年度学位论文评议情况统计报告，内容包括学位论文送评情况、学位论文评议结果、专家使用情况及服务费使用情况，以及对甲方学位论文质量监测工作的建议等。</w:t>
      </w:r>
    </w:p>
    <w:p w14:paraId="1507AB95">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乙方负责每年免费对甲方一级账户管理员进行至少一次平台操作培训，为甲方提供和更新平台操作规程说明等；如甲方需要，乙方每年可为甲方提供一次个性化培训或二级账户管理员专项培训服务。</w:t>
      </w:r>
    </w:p>
    <w:p w14:paraId="2E385EDC">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任何情况下，乙方不得干扰甲方专家遴选工作，不得透露甲方学位论文评议专家个人信息，不得篡改甲方学位论文专家评议结果。</w:t>
      </w:r>
    </w:p>
    <w:p w14:paraId="75B66F31">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乙方为甲方提供学位论文质量监测服务，不接受甲方学位论文作者、导师等个人对评议结果提出的异议。</w:t>
      </w:r>
    </w:p>
    <w:p w14:paraId="1231E0AC">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乙方不得向除甲方评议专家外的其他个人或机构提供甲方任何学位论文评议材料和相关信息，包括但不限于评阅书内容、评议规则、学位论文信息、评议意见等。</w:t>
      </w:r>
    </w:p>
    <w:p w14:paraId="29C0869D">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乙方负责及时向本协议有效期内实际参与甲方学位论文评议的专家支付劳务费。</w:t>
      </w:r>
    </w:p>
    <w:p w14:paraId="3E1A6B15">
      <w:pPr>
        <w:numPr>
          <w:ilvl w:val="0"/>
          <w:numId w:val="7"/>
        </w:numPr>
        <w:spacing w:line="360" w:lineRule="auto"/>
        <w:ind w:left="0"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与学位论文质量监测服务相关的其他义务。</w:t>
      </w:r>
    </w:p>
    <w:p w14:paraId="22C723C5">
      <w:pPr>
        <w:widowControl/>
        <w:numPr>
          <w:ilvl w:val="0"/>
          <w:numId w:val="1"/>
        </w:numPr>
        <w:spacing w:line="360" w:lineRule="auto"/>
        <w:ind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服务费标准与金额</w:t>
      </w:r>
    </w:p>
    <w:p w14:paraId="35257D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一</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rPr>
        <w:t>博士学位论文质量监测服务费（含初评、复评、增评）为￥</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rPr>
        <w:t>元/篇次，</w:t>
      </w:r>
      <w:r>
        <w:rPr>
          <w:rFonts w:hint="eastAsia" w:asciiTheme="majorEastAsia" w:hAnsiTheme="majorEastAsia" w:eastAsiaTheme="majorEastAsia" w:cstheme="majorEastAsia"/>
          <w:b/>
          <w:bCs/>
          <w:color w:val="auto"/>
          <w:sz w:val="24"/>
          <w:szCs w:val="24"/>
          <w:highlight w:val="none"/>
        </w:rPr>
        <w:t>其中</w:t>
      </w:r>
      <w:r>
        <w:rPr>
          <w:rFonts w:hint="eastAsia" w:asciiTheme="majorEastAsia" w:hAnsiTheme="majorEastAsia" w:eastAsiaTheme="majorEastAsia" w:cstheme="majorEastAsia"/>
          <w:color w:val="auto"/>
          <w:sz w:val="24"/>
          <w:szCs w:val="24"/>
          <w:highlight w:val="none"/>
        </w:rPr>
        <w:t>使用外国语言文字撰写的博士学位论文（不包括文学学科门类）质量监测服务费（含初评、复评、增评）为￥</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rPr>
        <w:t>元/篇次；硕士学位论文质量监测服务费（含初评、复评、增评）为￥</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rPr>
        <w:t>元/篇次，</w:t>
      </w:r>
      <w:r>
        <w:rPr>
          <w:rFonts w:hint="eastAsia" w:asciiTheme="majorEastAsia" w:hAnsiTheme="majorEastAsia" w:eastAsiaTheme="majorEastAsia" w:cstheme="majorEastAsia"/>
          <w:b/>
          <w:bCs/>
          <w:color w:val="auto"/>
          <w:sz w:val="24"/>
          <w:szCs w:val="24"/>
          <w:highlight w:val="none"/>
        </w:rPr>
        <w:t>其中</w:t>
      </w:r>
      <w:r>
        <w:rPr>
          <w:rFonts w:hint="eastAsia" w:asciiTheme="majorEastAsia" w:hAnsiTheme="majorEastAsia" w:eastAsiaTheme="majorEastAsia" w:cstheme="majorEastAsia"/>
          <w:color w:val="auto"/>
          <w:sz w:val="24"/>
          <w:szCs w:val="24"/>
          <w:highlight w:val="none"/>
        </w:rPr>
        <w:t>使用外国语言文字撰写的硕士学位论文（不包括文学学科门类）质量监测服务费（含初评、复评、增评）为￥</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rPr>
        <w:t>元/篇次。</w:t>
      </w:r>
    </w:p>
    <w:p w14:paraId="2B38B5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二</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rPr>
        <w:t>本协议服务费总额依据服务费标准与甲方预估送评学位论文篇次数量进行计算。甲方须如实填写上传平台的论文层次、撰写语种等学位论文信息，以确定适用的服务费标准。如出现信息与实际送评学位论文原文不一致的情况，将以学位论文原文为准计费。</w:t>
      </w:r>
    </w:p>
    <w:p w14:paraId="4FF33CC4">
      <w:pPr>
        <w:numPr>
          <w:ilvl w:val="0"/>
          <w:numId w:val="0"/>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三</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rPr>
        <w:t>本协议有效期内甲方预计送评博士学位论文</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rPr>
        <w:t>篇次、硕士学位论文</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rPr>
        <w:t>篇次，</w:t>
      </w:r>
      <w:r>
        <w:rPr>
          <w:rFonts w:hint="eastAsia" w:asciiTheme="majorEastAsia" w:hAnsiTheme="majorEastAsia" w:eastAsiaTheme="majorEastAsia" w:cstheme="majorEastAsia"/>
          <w:b/>
          <w:bCs/>
          <w:color w:val="auto"/>
          <w:sz w:val="24"/>
          <w:szCs w:val="24"/>
          <w:highlight w:val="none"/>
        </w:rPr>
        <w:t>其中</w:t>
      </w:r>
      <w:r>
        <w:rPr>
          <w:rFonts w:hint="eastAsia" w:asciiTheme="majorEastAsia" w:hAnsiTheme="majorEastAsia" w:eastAsiaTheme="majorEastAsia" w:cstheme="majorEastAsia"/>
          <w:color w:val="auto"/>
          <w:sz w:val="24"/>
          <w:szCs w:val="24"/>
          <w:highlight w:val="none"/>
        </w:rPr>
        <w:t>使用外国语言文字撰写（不包括文学学科门类）的硕士学位论文</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rPr>
        <w:t>篇次；预估甲方支付服务费总额为￥</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rPr>
        <w:t>元（大写：人民币</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rPr>
        <w:t>元整）。</w:t>
      </w:r>
    </w:p>
    <w:p w14:paraId="6EB758C9">
      <w:pPr>
        <w:widowControl/>
        <w:numPr>
          <w:ilvl w:val="0"/>
          <w:numId w:val="1"/>
        </w:numPr>
        <w:spacing w:line="360" w:lineRule="auto"/>
        <w:ind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服务费支付与结算</w:t>
      </w:r>
    </w:p>
    <w:p w14:paraId="5D9C3D52">
      <w:pPr>
        <w:numPr>
          <w:ilvl w:val="0"/>
          <w:numId w:val="8"/>
        </w:numPr>
        <w:spacing w:line="360" w:lineRule="auto"/>
        <w:ind w:left="0" w:firstLine="42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可采取服务费一次性支付或分期支付方式。若甲方采取一次性支付方式，须于协议签署后，开始上传学位论文前，支付全部服务费。若甲方采取分期支付方式，本协议有效期内支付次数为两次。第一次支付金额不低于甲方预估服务费总额的60%，即￥</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rPr>
        <w:t>元（大写：人民币元整），须于协议签署后，开始上传学位论文前完成支付；第二次根据实际送审篇次支付剩余全部服务费，须于202</w:t>
      </w:r>
      <w:r>
        <w:rPr>
          <w:rFonts w:hint="eastAsia" w:asciiTheme="majorEastAsia" w:hAnsiTheme="majorEastAsia" w:eastAsiaTheme="majorEastAsia" w:cstheme="majorEastAsia"/>
          <w:color w:val="auto"/>
          <w:sz w:val="24"/>
          <w:szCs w:val="24"/>
          <w:highlight w:val="none"/>
          <w:lang w:val="en-US" w:eastAsia="zh-CN"/>
        </w:rPr>
        <w:t>6</w:t>
      </w:r>
      <w:r>
        <w:rPr>
          <w:rFonts w:hint="eastAsia" w:asciiTheme="majorEastAsia" w:hAnsiTheme="majorEastAsia" w:eastAsiaTheme="majorEastAsia" w:cstheme="majorEastAsia"/>
          <w:color w:val="auto"/>
          <w:sz w:val="24"/>
          <w:szCs w:val="24"/>
          <w:highlight w:val="none"/>
        </w:rPr>
        <w:t>年</w:t>
      </w:r>
      <w:r>
        <w:rPr>
          <w:rFonts w:hint="eastAsia" w:asciiTheme="majorEastAsia" w:hAnsiTheme="majorEastAsia" w:eastAsiaTheme="majorEastAsia" w:cstheme="majorEastAsia"/>
          <w:color w:val="auto"/>
          <w:sz w:val="24"/>
          <w:szCs w:val="24"/>
          <w:highlight w:val="none"/>
          <w:lang w:val="en-US" w:eastAsia="zh-CN"/>
        </w:rPr>
        <w:t>06</w:t>
      </w:r>
      <w:r>
        <w:rPr>
          <w:rFonts w:hint="eastAsia" w:asciiTheme="majorEastAsia" w:hAnsiTheme="majorEastAsia" w:eastAsiaTheme="majorEastAsia" w:cstheme="majorEastAsia"/>
          <w:color w:val="auto"/>
          <w:sz w:val="24"/>
          <w:szCs w:val="24"/>
          <w:highlight w:val="none"/>
        </w:rPr>
        <w:t>月20日前完成支付。</w:t>
      </w:r>
    </w:p>
    <w:p w14:paraId="0F45E47E">
      <w:pPr>
        <w:numPr>
          <w:ilvl w:val="0"/>
          <w:numId w:val="8"/>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服务费金额以实际返回评议意见的学位论文篇次数量（即专家实际提交评议意见数量）计算，平台根据甲方学位论文送评进度自动计算服务费并在预付款中扣除，甲方可在平台实时查看服务费使用情况。完成阶段性送评后，甲方可在线申请下载《学位论文质量监测服务费用结算说明》（以下简称《结算说明》），乙方根据《结算说明》开具增值税专用发票。</w:t>
      </w:r>
    </w:p>
    <w:p w14:paraId="34C714C9">
      <w:pPr>
        <w:numPr>
          <w:ilvl w:val="0"/>
          <w:numId w:val="8"/>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可通过网银或支票汇款，汇款时须在“附言”处填入“院系（可选）+论文质量监测”字样，并在平台“缴费管理”中填写汇款信息、上传汇款凭证扫描件，经乙方确认款项到达乙方指定银行账户后，视为完成汇款；若平台收到甲方汇款凭证扫描件但乙方未查询到款项，甲方有义务配合乙方完成汇款情况确认。</w:t>
      </w:r>
    </w:p>
    <w:p w14:paraId="71FB3F95">
      <w:pPr>
        <w:numPr>
          <w:ilvl w:val="0"/>
          <w:numId w:val="8"/>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本协议有效期满，扣除实际发生的服务费后，若存在结余，按第</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rPr>
        <w:t>种方式进行处理。</w:t>
      </w:r>
    </w:p>
    <w:p w14:paraId="3D0D918C">
      <w:pPr>
        <w:numPr>
          <w:ilvl w:val="0"/>
          <w:numId w:val="9"/>
        </w:numPr>
        <w:spacing w:line="360" w:lineRule="auto"/>
        <w:ind w:firstLine="56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如需继续开展合作，待签署协议后转为甲方下期协议预付服务费。</w:t>
      </w:r>
    </w:p>
    <w:p w14:paraId="74519C5E">
      <w:pPr>
        <w:numPr>
          <w:ilvl w:val="0"/>
          <w:numId w:val="9"/>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甲方提交退款申请，乙方确认后将结余退回至甲方指定银行账户。</w:t>
      </w:r>
    </w:p>
    <w:p w14:paraId="4298AB63">
      <w:pPr>
        <w:widowControl/>
        <w:numPr>
          <w:ilvl w:val="0"/>
          <w:numId w:val="1"/>
        </w:numPr>
        <w:spacing w:line="360" w:lineRule="auto"/>
        <w:ind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协议的有效期及变更与终止</w:t>
      </w:r>
    </w:p>
    <w:p w14:paraId="2CC06522">
      <w:pPr>
        <w:numPr>
          <w:ilvl w:val="0"/>
          <w:numId w:val="10"/>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本协议有效期为协议签署之日起至</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none"/>
        </w:rPr>
        <w:t>年</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u w:val="none"/>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u w:val="none"/>
        </w:rPr>
        <w:t>日</w:t>
      </w:r>
      <w:r>
        <w:rPr>
          <w:rFonts w:hint="eastAsia" w:asciiTheme="majorEastAsia" w:hAnsiTheme="majorEastAsia" w:eastAsiaTheme="majorEastAsia" w:cstheme="majorEastAsia"/>
          <w:color w:val="auto"/>
          <w:sz w:val="24"/>
          <w:szCs w:val="24"/>
          <w:highlight w:val="none"/>
        </w:rPr>
        <w:t>，协议有效期满后自动终止，如需继续开展服务合作须另行签订协议。根据《财政部关于推进和完善服务项目政府采购有关问题的通知》（财库〔2014〕37号）有关规定，本项目在合同期满前，采购人将对中标</w:t>
      </w:r>
      <w:r>
        <w:rPr>
          <w:rFonts w:hint="eastAsia" w:asciiTheme="majorEastAsia" w:hAnsiTheme="majorEastAsia" w:eastAsiaTheme="majorEastAsia" w:cstheme="majorEastAsia"/>
          <w:color w:val="auto"/>
          <w:sz w:val="24"/>
          <w:szCs w:val="24"/>
          <w:highlight w:val="none"/>
          <w:lang w:val="en-US" w:eastAsia="zh-CN"/>
        </w:rPr>
        <w:t>人</w:t>
      </w:r>
      <w:r>
        <w:rPr>
          <w:rFonts w:hint="eastAsia" w:asciiTheme="majorEastAsia" w:hAnsiTheme="majorEastAsia" w:eastAsiaTheme="majorEastAsia" w:cstheme="majorEastAsia"/>
          <w:color w:val="auto"/>
          <w:sz w:val="24"/>
          <w:szCs w:val="24"/>
          <w:highlight w:val="none"/>
        </w:rPr>
        <w:t>进行考核，根据服务满意程度，采购人有权决定是否续签合同，累计合同履行期限不超过3年</w:t>
      </w:r>
    </w:p>
    <w:p w14:paraId="1C7A77FB">
      <w:pPr>
        <w:numPr>
          <w:ilvl w:val="0"/>
          <w:numId w:val="10"/>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本协议条款不得随意变更或删除，如确须变更协议内容，须经双方协商同意后，另行签订补充服务协议。</w:t>
      </w:r>
    </w:p>
    <w:p w14:paraId="48BDC0D7">
      <w:pPr>
        <w:numPr>
          <w:ilvl w:val="0"/>
          <w:numId w:val="10"/>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因自然灾害、战争、政策调整等不可抗力等原因导致本协议无法履行，本协议将自动终止。协议终止后乙方应于一个月内将扣除实际发生服务费后的结余退回甲方。</w:t>
      </w:r>
    </w:p>
    <w:p w14:paraId="5B987CCD">
      <w:pPr>
        <w:widowControl/>
        <w:numPr>
          <w:ilvl w:val="0"/>
          <w:numId w:val="1"/>
        </w:numPr>
        <w:spacing w:line="360" w:lineRule="auto"/>
        <w:ind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违约责任</w:t>
      </w:r>
    </w:p>
    <w:p w14:paraId="5EFC4CF2">
      <w:pPr>
        <w:numPr>
          <w:ilvl w:val="0"/>
          <w:numId w:val="11"/>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若因甲方人为因素导致送评工作无法顺利进行，影响学位论文送评工作进度以及专家评议结果的，甲方按过错承担责任，因此产生的质量监测服务费由甲方在责任范围内承担，乙方有权暂停甲方平台使用权限或与甲方终止合作。</w:t>
      </w:r>
    </w:p>
    <w:p w14:paraId="7D5476F5">
      <w:pPr>
        <w:numPr>
          <w:ilvl w:val="0"/>
          <w:numId w:val="11"/>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若因甲方未按约定及时支付质量监测服务费，导致平台送评服务中断，责任由甲方承担。</w:t>
      </w:r>
    </w:p>
    <w:p w14:paraId="2BBFE58C">
      <w:pPr>
        <w:numPr>
          <w:ilvl w:val="0"/>
          <w:numId w:val="11"/>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若因乙方人为因素导致送评工作无法顺利进行，影响学位论文送评工作进度以及专家评议结果的，乙方按过错承担责任，因此产生的质量监测服务费由乙方在责任范围内承担，甲方有权终止合作。</w:t>
      </w:r>
    </w:p>
    <w:p w14:paraId="6F829553">
      <w:pPr>
        <w:numPr>
          <w:ilvl w:val="0"/>
          <w:numId w:val="11"/>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若因人为因素以外的客观原因导致送评工作无法顺利进行，则双方互不承担责任，所产生的费用由双方按照平等原则分担。</w:t>
      </w:r>
    </w:p>
    <w:p w14:paraId="658FAE95">
      <w:pPr>
        <w:widowControl/>
        <w:numPr>
          <w:ilvl w:val="0"/>
          <w:numId w:val="1"/>
        </w:numPr>
        <w:spacing w:line="360" w:lineRule="auto"/>
        <w:ind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争议解决办法</w:t>
      </w:r>
    </w:p>
    <w:p w14:paraId="13CCCA47">
      <w:p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若双方就本协议内容或在执行过程中发生任何争议，由双方协商或请有关部门调解解决；如协商或调解不成，向乙方所在地的法院提出诉讼。</w:t>
      </w:r>
    </w:p>
    <w:p w14:paraId="328D4E76">
      <w:pPr>
        <w:widowControl/>
        <w:numPr>
          <w:ilvl w:val="0"/>
          <w:numId w:val="1"/>
        </w:numPr>
        <w:spacing w:line="360" w:lineRule="auto"/>
        <w:ind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其他</w:t>
      </w:r>
    </w:p>
    <w:p w14:paraId="3581C45D">
      <w:pPr>
        <w:numPr>
          <w:ilvl w:val="0"/>
          <w:numId w:val="12"/>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本协议一式肆份，甲、乙双方各执贰份。公章须为双方法人公章或合同专用章，签字须为双方法定代表人或委托代理人，由委托代理人签字的须提供本单位法定代表人授权的书面证明。</w:t>
      </w:r>
    </w:p>
    <w:p w14:paraId="7B2C150F">
      <w:pPr>
        <w:numPr>
          <w:ilvl w:val="0"/>
          <w:numId w:val="12"/>
        </w:numPr>
        <w:spacing w:line="360" w:lineRule="auto"/>
        <w:ind w:firstLine="480" w:firstLineChars="20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本协议最终解释权归乙方所有，自双方法定代表人或委托代理人签字并加盖公章之日起生效。</w:t>
      </w:r>
    </w:p>
    <w:p w14:paraId="0BCB8234">
      <w:pPr>
        <w:numPr>
          <w:ilvl w:val="0"/>
          <w:numId w:val="0"/>
        </w:numPr>
        <w:spacing w:line="360" w:lineRule="auto"/>
        <w:rPr>
          <w:rFonts w:hint="eastAsia" w:asciiTheme="majorEastAsia" w:hAnsiTheme="majorEastAsia" w:eastAsiaTheme="majorEastAsia" w:cstheme="majorEastAsia"/>
          <w:color w:val="auto"/>
          <w:sz w:val="24"/>
          <w:szCs w:val="24"/>
          <w:highlight w:val="none"/>
        </w:rPr>
      </w:pPr>
    </w:p>
    <w:tbl>
      <w:tblPr>
        <w:tblStyle w:val="3"/>
        <w:tblW w:w="8239" w:type="dxa"/>
        <w:jc w:val="center"/>
        <w:tblLayout w:type="fixed"/>
        <w:tblCellMar>
          <w:top w:w="0" w:type="dxa"/>
          <w:left w:w="108" w:type="dxa"/>
          <w:bottom w:w="0" w:type="dxa"/>
          <w:right w:w="108" w:type="dxa"/>
        </w:tblCellMar>
      </w:tblPr>
      <w:tblGrid>
        <w:gridCol w:w="4444"/>
        <w:gridCol w:w="3795"/>
      </w:tblGrid>
      <w:tr w14:paraId="288F7D90">
        <w:tblPrEx>
          <w:tblCellMar>
            <w:top w:w="0" w:type="dxa"/>
            <w:left w:w="108" w:type="dxa"/>
            <w:bottom w:w="0" w:type="dxa"/>
            <w:right w:w="108" w:type="dxa"/>
          </w:tblCellMar>
        </w:tblPrEx>
        <w:trPr>
          <w:trHeight w:val="604" w:hRule="atLeast"/>
          <w:jc w:val="center"/>
        </w:trPr>
        <w:tc>
          <w:tcPr>
            <w:tcW w:w="4444" w:type="dxa"/>
            <w:noWrap w:val="0"/>
            <w:vAlign w:val="center"/>
          </w:tcPr>
          <w:p w14:paraId="2D74F03F">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甲方：西安石油大学（盖章）</w:t>
            </w:r>
          </w:p>
        </w:tc>
        <w:tc>
          <w:tcPr>
            <w:tcW w:w="3795" w:type="dxa"/>
            <w:noWrap w:val="0"/>
            <w:vAlign w:val="center"/>
          </w:tcPr>
          <w:p w14:paraId="6841828B">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乙方：××公司（盖章）</w:t>
            </w:r>
          </w:p>
        </w:tc>
      </w:tr>
      <w:tr w14:paraId="3116733B">
        <w:tblPrEx>
          <w:tblCellMar>
            <w:top w:w="0" w:type="dxa"/>
            <w:left w:w="108" w:type="dxa"/>
            <w:bottom w:w="0" w:type="dxa"/>
            <w:right w:w="108" w:type="dxa"/>
          </w:tblCellMar>
        </w:tblPrEx>
        <w:trPr>
          <w:trHeight w:val="604" w:hRule="atLeast"/>
          <w:jc w:val="center"/>
        </w:trPr>
        <w:tc>
          <w:tcPr>
            <w:tcW w:w="4444" w:type="dxa"/>
            <w:noWrap w:val="0"/>
            <w:vAlign w:val="center"/>
          </w:tcPr>
          <w:p w14:paraId="78D49758">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法人或委托代理人：</w:t>
            </w:r>
          </w:p>
        </w:tc>
        <w:tc>
          <w:tcPr>
            <w:tcW w:w="3795" w:type="dxa"/>
            <w:noWrap w:val="0"/>
            <w:vAlign w:val="center"/>
          </w:tcPr>
          <w:p w14:paraId="469FEB5D">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法人或委托代理人：</w:t>
            </w:r>
          </w:p>
        </w:tc>
      </w:tr>
      <w:tr w14:paraId="0879F927">
        <w:tblPrEx>
          <w:tblCellMar>
            <w:top w:w="0" w:type="dxa"/>
            <w:left w:w="108" w:type="dxa"/>
            <w:bottom w:w="0" w:type="dxa"/>
            <w:right w:w="108" w:type="dxa"/>
          </w:tblCellMar>
        </w:tblPrEx>
        <w:trPr>
          <w:trHeight w:val="604" w:hRule="atLeast"/>
          <w:jc w:val="center"/>
        </w:trPr>
        <w:tc>
          <w:tcPr>
            <w:tcW w:w="4444" w:type="dxa"/>
            <w:noWrap w:val="0"/>
            <w:vAlign w:val="center"/>
          </w:tcPr>
          <w:p w14:paraId="6B167DAD">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户名：</w:t>
            </w:r>
          </w:p>
        </w:tc>
        <w:tc>
          <w:tcPr>
            <w:tcW w:w="3795" w:type="dxa"/>
            <w:noWrap w:val="0"/>
            <w:vAlign w:val="center"/>
          </w:tcPr>
          <w:p w14:paraId="0E61EEAB">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户名：</w:t>
            </w:r>
          </w:p>
        </w:tc>
      </w:tr>
      <w:tr w14:paraId="6CEFD6D0">
        <w:tblPrEx>
          <w:tblCellMar>
            <w:top w:w="0" w:type="dxa"/>
            <w:left w:w="108" w:type="dxa"/>
            <w:bottom w:w="0" w:type="dxa"/>
            <w:right w:w="108" w:type="dxa"/>
          </w:tblCellMar>
        </w:tblPrEx>
        <w:trPr>
          <w:trHeight w:val="604" w:hRule="atLeast"/>
          <w:jc w:val="center"/>
        </w:trPr>
        <w:tc>
          <w:tcPr>
            <w:tcW w:w="4444" w:type="dxa"/>
            <w:noWrap w:val="0"/>
            <w:vAlign w:val="center"/>
          </w:tcPr>
          <w:p w14:paraId="37C0F4A8">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开户行：</w:t>
            </w:r>
          </w:p>
        </w:tc>
        <w:tc>
          <w:tcPr>
            <w:tcW w:w="3795" w:type="dxa"/>
            <w:noWrap w:val="0"/>
            <w:vAlign w:val="center"/>
          </w:tcPr>
          <w:p w14:paraId="5FEFCA57">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开户行：</w:t>
            </w:r>
          </w:p>
        </w:tc>
      </w:tr>
      <w:tr w14:paraId="541A0743">
        <w:tblPrEx>
          <w:tblCellMar>
            <w:top w:w="0" w:type="dxa"/>
            <w:left w:w="108" w:type="dxa"/>
            <w:bottom w:w="0" w:type="dxa"/>
            <w:right w:w="108" w:type="dxa"/>
          </w:tblCellMar>
        </w:tblPrEx>
        <w:trPr>
          <w:trHeight w:val="604" w:hRule="atLeast"/>
          <w:jc w:val="center"/>
        </w:trPr>
        <w:tc>
          <w:tcPr>
            <w:tcW w:w="4444" w:type="dxa"/>
            <w:noWrap w:val="0"/>
            <w:vAlign w:val="center"/>
          </w:tcPr>
          <w:p w14:paraId="7B3A4AC3">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帐号：</w:t>
            </w:r>
          </w:p>
        </w:tc>
        <w:tc>
          <w:tcPr>
            <w:tcW w:w="3795" w:type="dxa"/>
            <w:noWrap w:val="0"/>
            <w:vAlign w:val="center"/>
          </w:tcPr>
          <w:p w14:paraId="1AA65D61">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帐号：</w:t>
            </w:r>
          </w:p>
        </w:tc>
      </w:tr>
      <w:tr w14:paraId="1BD6BF4E">
        <w:tblPrEx>
          <w:tblCellMar>
            <w:top w:w="0" w:type="dxa"/>
            <w:left w:w="108" w:type="dxa"/>
            <w:bottom w:w="0" w:type="dxa"/>
            <w:right w:w="108" w:type="dxa"/>
          </w:tblCellMar>
        </w:tblPrEx>
        <w:trPr>
          <w:trHeight w:val="604" w:hRule="atLeast"/>
          <w:jc w:val="center"/>
        </w:trPr>
        <w:tc>
          <w:tcPr>
            <w:tcW w:w="4444" w:type="dxa"/>
            <w:noWrap w:val="0"/>
            <w:vAlign w:val="center"/>
          </w:tcPr>
          <w:p w14:paraId="67CA8568">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电话：</w:t>
            </w:r>
          </w:p>
        </w:tc>
        <w:tc>
          <w:tcPr>
            <w:tcW w:w="3795" w:type="dxa"/>
            <w:noWrap w:val="0"/>
            <w:vAlign w:val="center"/>
          </w:tcPr>
          <w:p w14:paraId="698F95CF">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 xml:space="preserve">电话: </w:t>
            </w:r>
          </w:p>
        </w:tc>
      </w:tr>
      <w:tr w14:paraId="6A3CF294">
        <w:tblPrEx>
          <w:tblCellMar>
            <w:top w:w="0" w:type="dxa"/>
            <w:left w:w="108" w:type="dxa"/>
            <w:bottom w:w="0" w:type="dxa"/>
            <w:right w:w="108" w:type="dxa"/>
          </w:tblCellMar>
        </w:tblPrEx>
        <w:trPr>
          <w:trHeight w:val="604" w:hRule="atLeast"/>
          <w:jc w:val="center"/>
        </w:trPr>
        <w:tc>
          <w:tcPr>
            <w:tcW w:w="4444" w:type="dxa"/>
            <w:noWrap w:val="0"/>
            <w:vAlign w:val="center"/>
          </w:tcPr>
          <w:p w14:paraId="04609C7C">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地址：西安市电子二路18号</w:t>
            </w:r>
          </w:p>
        </w:tc>
        <w:tc>
          <w:tcPr>
            <w:tcW w:w="3795" w:type="dxa"/>
            <w:noWrap w:val="0"/>
            <w:vAlign w:val="center"/>
          </w:tcPr>
          <w:p w14:paraId="62C4AA5C">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地址：</w:t>
            </w:r>
          </w:p>
        </w:tc>
      </w:tr>
      <w:tr w14:paraId="6D07D377">
        <w:tblPrEx>
          <w:tblCellMar>
            <w:top w:w="0" w:type="dxa"/>
            <w:left w:w="108" w:type="dxa"/>
            <w:bottom w:w="0" w:type="dxa"/>
            <w:right w:w="108" w:type="dxa"/>
          </w:tblCellMar>
        </w:tblPrEx>
        <w:trPr>
          <w:trHeight w:val="604" w:hRule="atLeast"/>
          <w:jc w:val="center"/>
        </w:trPr>
        <w:tc>
          <w:tcPr>
            <w:tcW w:w="4444" w:type="dxa"/>
            <w:noWrap w:val="0"/>
            <w:vAlign w:val="center"/>
          </w:tcPr>
          <w:p w14:paraId="5BC5C495">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日期:   年  月  日</w:t>
            </w:r>
          </w:p>
        </w:tc>
        <w:tc>
          <w:tcPr>
            <w:tcW w:w="3795" w:type="dxa"/>
            <w:noWrap w:val="0"/>
            <w:vAlign w:val="center"/>
          </w:tcPr>
          <w:p w14:paraId="3606F677">
            <w:pPr>
              <w:spacing w:line="48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日期:   年  月  日</w:t>
            </w:r>
          </w:p>
        </w:tc>
      </w:tr>
    </w:tbl>
    <w:p w14:paraId="2DF94FEB">
      <w:pPr>
        <w:keepNext w:val="0"/>
        <w:keepLines w:val="0"/>
        <w:pageBreakBefore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color w:val="auto"/>
          <w:sz w:val="24"/>
          <w:szCs w:val="24"/>
          <w:highlight w:val="none"/>
          <w:lang w:val="en-US" w:eastAsia="zh-Hans"/>
        </w:rPr>
      </w:pPr>
    </w:p>
    <w:p w14:paraId="1399660C">
      <w:pPr>
        <w:rPr>
          <w:rFonts w:hint="eastAsia" w:asciiTheme="majorEastAsia" w:hAnsiTheme="majorEastAsia" w:eastAsiaTheme="majorEastAsia" w:cstheme="majorEastAsia"/>
          <w:color w:val="auto"/>
          <w:sz w:val="24"/>
          <w:szCs w:val="24"/>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809FB">
    <w:pPr>
      <w:pStyle w:val="2"/>
      <w:spacing w:line="173" w:lineRule="auto"/>
      <w:ind w:left="4309"/>
      <w:rPr>
        <w:rFonts w:ascii="Lucida Sans Unicode" w:hAnsi="Lucida Sans Unicode" w:eastAsia="Lucida Sans Unicode" w:cs="Lucida Sans Unicode"/>
        <w:sz w:val="24"/>
        <w:szCs w:val="2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703584"/>
    <w:multiLevelType w:val="singleLevel"/>
    <w:tmpl w:val="AA703584"/>
    <w:lvl w:ilvl="0" w:tentative="0">
      <w:start w:val="1"/>
      <w:numFmt w:val="chineseCounting"/>
      <w:suff w:val="nothing"/>
      <w:lvlText w:val="（%1）"/>
      <w:lvlJc w:val="left"/>
      <w:rPr>
        <w:rFonts w:hint="eastAsia"/>
      </w:rPr>
    </w:lvl>
  </w:abstractNum>
  <w:abstractNum w:abstractNumId="1">
    <w:nsid w:val="C0DBED7D"/>
    <w:multiLevelType w:val="singleLevel"/>
    <w:tmpl w:val="C0DBED7D"/>
    <w:lvl w:ilvl="0" w:tentative="0">
      <w:start w:val="1"/>
      <w:numFmt w:val="chineseCounting"/>
      <w:suff w:val="nothing"/>
      <w:lvlText w:val="（%1）"/>
      <w:lvlJc w:val="left"/>
      <w:pPr>
        <w:ind w:left="0" w:firstLine="420"/>
      </w:pPr>
      <w:rPr>
        <w:rFonts w:hint="eastAsia"/>
      </w:rPr>
    </w:lvl>
  </w:abstractNum>
  <w:abstractNum w:abstractNumId="2">
    <w:nsid w:val="DB7B02B1"/>
    <w:multiLevelType w:val="singleLevel"/>
    <w:tmpl w:val="DB7B02B1"/>
    <w:lvl w:ilvl="0" w:tentative="0">
      <w:start w:val="1"/>
      <w:numFmt w:val="chineseCounting"/>
      <w:suff w:val="nothing"/>
      <w:lvlText w:val="（%1）"/>
      <w:lvlJc w:val="left"/>
      <w:pPr>
        <w:ind w:left="0" w:firstLine="420"/>
      </w:pPr>
      <w:rPr>
        <w:rFonts w:hint="eastAsia"/>
      </w:rPr>
    </w:lvl>
  </w:abstractNum>
  <w:abstractNum w:abstractNumId="3">
    <w:nsid w:val="E53AE426"/>
    <w:multiLevelType w:val="singleLevel"/>
    <w:tmpl w:val="E53AE426"/>
    <w:lvl w:ilvl="0" w:tentative="0">
      <w:start w:val="1"/>
      <w:numFmt w:val="chineseCounting"/>
      <w:suff w:val="nothing"/>
      <w:lvlText w:val="（%1）"/>
      <w:lvlJc w:val="left"/>
      <w:pPr>
        <w:ind w:left="-210" w:firstLine="420"/>
      </w:pPr>
      <w:rPr>
        <w:rFonts w:hint="eastAsia"/>
      </w:rPr>
    </w:lvl>
  </w:abstractNum>
  <w:abstractNum w:abstractNumId="4">
    <w:nsid w:val="EBC3FBBF"/>
    <w:multiLevelType w:val="singleLevel"/>
    <w:tmpl w:val="EBC3FBBF"/>
    <w:lvl w:ilvl="0" w:tentative="0">
      <w:start w:val="1"/>
      <w:numFmt w:val="chineseCounting"/>
      <w:suff w:val="nothing"/>
      <w:lvlText w:val="（%1）"/>
      <w:lvlJc w:val="left"/>
      <w:pPr>
        <w:ind w:left="0" w:firstLine="420"/>
      </w:pPr>
      <w:rPr>
        <w:rFonts w:hint="eastAsia"/>
      </w:rPr>
    </w:lvl>
  </w:abstractNum>
  <w:abstractNum w:abstractNumId="5">
    <w:nsid w:val="F181BAFF"/>
    <w:multiLevelType w:val="singleLevel"/>
    <w:tmpl w:val="F181BAFF"/>
    <w:lvl w:ilvl="0" w:tentative="0">
      <w:start w:val="1"/>
      <w:numFmt w:val="decimal"/>
      <w:lvlText w:val="%1."/>
      <w:lvlJc w:val="left"/>
      <w:pPr>
        <w:tabs>
          <w:tab w:val="left" w:pos="312"/>
        </w:tabs>
      </w:pPr>
    </w:lvl>
  </w:abstractNum>
  <w:abstractNum w:abstractNumId="6">
    <w:nsid w:val="0C771DDB"/>
    <w:multiLevelType w:val="singleLevel"/>
    <w:tmpl w:val="0C771DDB"/>
    <w:lvl w:ilvl="0" w:tentative="0">
      <w:start w:val="2"/>
      <w:numFmt w:val="chineseCounting"/>
      <w:suff w:val="space"/>
      <w:lvlText w:val="第%1条"/>
      <w:lvlJc w:val="left"/>
      <w:rPr>
        <w:rFonts w:hint="eastAsia"/>
      </w:rPr>
    </w:lvl>
  </w:abstractNum>
  <w:abstractNum w:abstractNumId="7">
    <w:nsid w:val="0FA23393"/>
    <w:multiLevelType w:val="singleLevel"/>
    <w:tmpl w:val="0FA23393"/>
    <w:lvl w:ilvl="0" w:tentative="0">
      <w:start w:val="1"/>
      <w:numFmt w:val="decimal"/>
      <w:lvlText w:val="%1."/>
      <w:lvlJc w:val="left"/>
      <w:pPr>
        <w:tabs>
          <w:tab w:val="left" w:pos="312"/>
        </w:tabs>
      </w:pPr>
    </w:lvl>
  </w:abstractNum>
  <w:abstractNum w:abstractNumId="8">
    <w:nsid w:val="2B8E75AB"/>
    <w:multiLevelType w:val="singleLevel"/>
    <w:tmpl w:val="2B8E75AB"/>
    <w:lvl w:ilvl="0" w:tentative="0">
      <w:start w:val="1"/>
      <w:numFmt w:val="chineseCounting"/>
      <w:suff w:val="nothing"/>
      <w:lvlText w:val="（%1）"/>
      <w:lvlJc w:val="left"/>
      <w:rPr>
        <w:rFonts w:hint="eastAsia"/>
      </w:rPr>
    </w:lvl>
  </w:abstractNum>
  <w:abstractNum w:abstractNumId="9">
    <w:nsid w:val="3BEF8355"/>
    <w:multiLevelType w:val="singleLevel"/>
    <w:tmpl w:val="3BEF8355"/>
    <w:lvl w:ilvl="0" w:tentative="0">
      <w:start w:val="1"/>
      <w:numFmt w:val="chineseCounting"/>
      <w:suff w:val="nothing"/>
      <w:lvlText w:val="（%1）"/>
      <w:lvlJc w:val="left"/>
      <w:pPr>
        <w:ind w:left="0" w:firstLine="420"/>
      </w:pPr>
      <w:rPr>
        <w:rFonts w:hint="eastAsia"/>
      </w:rPr>
    </w:lvl>
  </w:abstractNum>
  <w:abstractNum w:abstractNumId="10">
    <w:nsid w:val="5440B15D"/>
    <w:multiLevelType w:val="singleLevel"/>
    <w:tmpl w:val="5440B15D"/>
    <w:lvl w:ilvl="0" w:tentative="0">
      <w:start w:val="1"/>
      <w:numFmt w:val="chineseCounting"/>
      <w:suff w:val="nothing"/>
      <w:lvlText w:val="（%1）"/>
      <w:lvlJc w:val="left"/>
      <w:pPr>
        <w:ind w:left="0" w:firstLine="420"/>
      </w:pPr>
      <w:rPr>
        <w:rFonts w:hint="eastAsia"/>
      </w:rPr>
    </w:lvl>
  </w:abstractNum>
  <w:abstractNum w:abstractNumId="11">
    <w:nsid w:val="73B16C72"/>
    <w:multiLevelType w:val="singleLevel"/>
    <w:tmpl w:val="73B16C72"/>
    <w:lvl w:ilvl="0" w:tentative="0">
      <w:start w:val="1"/>
      <w:numFmt w:val="decimal"/>
      <w:lvlText w:val="%1."/>
      <w:lvlJc w:val="left"/>
      <w:pPr>
        <w:tabs>
          <w:tab w:val="left" w:pos="312"/>
        </w:tabs>
      </w:pPr>
    </w:lvl>
  </w:abstractNum>
  <w:num w:numId="1">
    <w:abstractNumId w:val="6"/>
  </w:num>
  <w:num w:numId="2">
    <w:abstractNumId w:val="1"/>
  </w:num>
  <w:num w:numId="3">
    <w:abstractNumId w:val="7"/>
  </w:num>
  <w:num w:numId="4">
    <w:abstractNumId w:val="2"/>
  </w:num>
  <w:num w:numId="5">
    <w:abstractNumId w:val="0"/>
  </w:num>
  <w:num w:numId="6">
    <w:abstractNumId w:val="5"/>
  </w:num>
  <w:num w:numId="7">
    <w:abstractNumId w:val="3"/>
  </w:num>
  <w:num w:numId="8">
    <w:abstractNumId w:val="10"/>
  </w:num>
  <w:num w:numId="9">
    <w:abstractNumId w:val="11"/>
  </w:num>
  <w:num w:numId="10">
    <w:abstractNumId w:val="9"/>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055AE"/>
    <w:rsid w:val="58605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0"/>
      <w:szCs w:val="20"/>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2026-01-19T10:08:00Z</dcterms:created>
  <dc:creator>默.</dc:creator>
  <cp:lastModifiedBy>默.</cp:lastModifiedBy>
  <dcterms:modified xsi:type="dcterms:W3CDTF">2026-01-19T10:08:30Z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3F2B4D1CD0D247588CD4300F52824D47_11</vt:lpwstr>
  </property>
  <property fmtid="{D5CDD505-2E9C-101B-9397-08002B2CF9AE}" pid="4" name="KSOTemplateDocerSaveRecord">
    <vt:lpwstr>eyJoZGlkIjoiMDFhNGRjM2IyY2I1ZTdjZDQ1YjM3MWYxMGIwMWY2NjIiLCJ1c2VySWQiOiI0MjU4NjcyNzgifQ==</vt:lpwstr>
  </property>
</Properties>
</file>