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81395F">
      <w:pPr>
        <w:widowControl/>
        <w:adjustRightInd w:val="0"/>
        <w:snapToGrid w:val="0"/>
        <w:spacing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西安科技大学设备采购合同</w:t>
      </w:r>
    </w:p>
    <w:p w14:paraId="77E47921">
      <w:pPr>
        <w:widowControl/>
        <w:adjustRightInd w:val="0"/>
        <w:snapToGrid w:val="0"/>
        <w:spacing w:line="360" w:lineRule="auto"/>
        <w:jc w:val="center"/>
        <w:rPr>
          <w:rFonts w:hint="eastAsia" w:ascii="宋体" w:hAnsi="宋体" w:eastAsia="宋体" w:cs="宋体"/>
          <w:kern w:val="0"/>
          <w:sz w:val="24"/>
          <w:szCs w:val="24"/>
          <w:u w:val="single"/>
        </w:rPr>
      </w:pPr>
    </w:p>
    <w:p w14:paraId="1CD82EB2">
      <w:pPr>
        <w:widowControl/>
        <w:adjustRightInd w:val="0"/>
        <w:snapToGrid w:val="0"/>
        <w:spacing w:line="360" w:lineRule="auto"/>
        <w:ind w:right="-660" w:rightChars="-330"/>
        <w:rPr>
          <w:rFonts w:hint="eastAsia" w:ascii="宋体" w:hAnsi="宋体" w:eastAsia="宋体" w:cs="宋体"/>
          <w:b/>
          <w:kern w:val="0"/>
          <w:sz w:val="24"/>
          <w:szCs w:val="24"/>
          <w:u w:val="single"/>
        </w:rPr>
      </w:pPr>
      <w:r>
        <w:rPr>
          <w:rFonts w:hint="eastAsia" w:ascii="宋体" w:hAnsi="宋体" w:eastAsia="宋体" w:cs="宋体"/>
          <w:b/>
          <w:bCs/>
          <w:kern w:val="0"/>
          <w:sz w:val="24"/>
          <w:szCs w:val="24"/>
        </w:rPr>
        <w:t xml:space="preserve">需方（以下简称“甲方”）：西安科技大学      合同编号： </w:t>
      </w:r>
    </w:p>
    <w:p w14:paraId="21E2C73B">
      <w:pPr>
        <w:widowControl/>
        <w:adjustRightInd w:val="0"/>
        <w:snapToGrid w:val="0"/>
        <w:spacing w:line="360" w:lineRule="auto"/>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供方（以下简称“乙方”）：</w:t>
      </w:r>
    </w:p>
    <w:p w14:paraId="6DB27D89">
      <w:pPr>
        <w:widowControl/>
        <w:adjustRightInd w:val="0"/>
        <w:snapToGrid w:val="0"/>
        <w:spacing w:line="360" w:lineRule="auto"/>
        <w:ind w:firstLine="540"/>
        <w:jc w:val="left"/>
        <w:rPr>
          <w:rFonts w:hint="eastAsia" w:ascii="宋体" w:hAnsi="宋体" w:eastAsia="宋体" w:cs="宋体"/>
          <w:kern w:val="0"/>
          <w:sz w:val="24"/>
          <w:szCs w:val="24"/>
        </w:rPr>
      </w:pPr>
      <w:r>
        <w:rPr>
          <w:rFonts w:hint="eastAsia" w:ascii="宋体" w:hAnsi="宋体" w:eastAsia="宋体" w:cs="宋体"/>
          <w:kern w:val="0"/>
          <w:sz w:val="24"/>
          <w:szCs w:val="24"/>
        </w:rPr>
        <w:t>依据《中华人民共和国民法典》，甲乙双方经协商一致，就购买</w:t>
      </w:r>
      <w:r>
        <w:rPr>
          <w:rFonts w:hint="eastAsia" w:ascii="宋体" w:hAnsi="宋体" w:eastAsia="宋体" w:cs="宋体"/>
          <w:sz w:val="24"/>
          <w:szCs w:val="24"/>
          <w:u w:val="single"/>
        </w:rPr>
        <w:t xml:space="preserve"> (         ) 设备</w:t>
      </w:r>
      <w:r>
        <w:rPr>
          <w:rFonts w:hint="eastAsia" w:ascii="宋体" w:hAnsi="宋体" w:eastAsia="宋体" w:cs="宋体"/>
          <w:kern w:val="0"/>
          <w:sz w:val="24"/>
          <w:szCs w:val="24"/>
        </w:rPr>
        <w:t>事宜，确立本合同,双方共同遵守：</w:t>
      </w:r>
    </w:p>
    <w:p w14:paraId="339DD4ED">
      <w:pPr>
        <w:widowControl/>
        <w:adjustRightInd w:val="0"/>
        <w:snapToGrid w:val="0"/>
        <w:spacing w:line="360" w:lineRule="auto"/>
        <w:rPr>
          <w:rFonts w:hint="eastAsia" w:ascii="宋体" w:hAnsi="宋体" w:eastAsia="宋体" w:cs="宋体"/>
          <w:b/>
          <w:kern w:val="0"/>
          <w:sz w:val="24"/>
          <w:szCs w:val="24"/>
        </w:rPr>
      </w:pPr>
      <w:r>
        <w:rPr>
          <w:rFonts w:hint="eastAsia" w:ascii="宋体" w:hAnsi="宋体" w:eastAsia="宋体" w:cs="宋体"/>
          <w:b/>
          <w:kern w:val="0"/>
          <w:sz w:val="24"/>
          <w:szCs w:val="24"/>
        </w:rPr>
        <w:t xml:space="preserve">一、产品名称、数量、价格：                         </w:t>
      </w:r>
    </w:p>
    <w:tbl>
      <w:tblPr>
        <w:tblStyle w:val="13"/>
        <w:tblpPr w:leftFromText="180" w:rightFromText="180" w:vertAnchor="text" w:horzAnchor="margin" w:tblpX="-253" w:tblpY="158"/>
        <w:tblOverlap w:val="never"/>
        <w:tblW w:w="91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
        <w:gridCol w:w="2049"/>
        <w:gridCol w:w="1080"/>
        <w:gridCol w:w="900"/>
        <w:gridCol w:w="1260"/>
        <w:gridCol w:w="900"/>
        <w:gridCol w:w="1080"/>
        <w:gridCol w:w="1260"/>
      </w:tblGrid>
      <w:tr w14:paraId="3C3FFF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trPr>
        <w:tc>
          <w:tcPr>
            <w:tcW w:w="646" w:type="dxa"/>
            <w:tcBorders>
              <w:top w:val="single" w:color="auto" w:sz="4" w:space="0"/>
              <w:left w:val="single" w:color="auto" w:sz="4" w:space="0"/>
              <w:bottom w:val="single" w:color="auto" w:sz="4" w:space="0"/>
              <w:right w:val="single" w:color="auto" w:sz="4" w:space="0"/>
            </w:tcBorders>
            <w:shd w:val="clear" w:color="auto" w:fill="D9D9D9"/>
            <w:vAlign w:val="center"/>
          </w:tcPr>
          <w:p w14:paraId="4AEC798A">
            <w:pPr>
              <w:adjustRightInd w:val="0"/>
              <w:snapToGrid w:val="0"/>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序号</w:t>
            </w:r>
          </w:p>
        </w:tc>
        <w:tc>
          <w:tcPr>
            <w:tcW w:w="2049" w:type="dxa"/>
            <w:tcBorders>
              <w:top w:val="single" w:color="auto" w:sz="4" w:space="0"/>
              <w:left w:val="single" w:color="auto" w:sz="4" w:space="0"/>
              <w:bottom w:val="single" w:color="auto" w:sz="4" w:space="0"/>
              <w:right w:val="single" w:color="auto" w:sz="4" w:space="0"/>
            </w:tcBorders>
            <w:shd w:val="clear" w:color="auto" w:fill="D9D9D9"/>
            <w:vAlign w:val="center"/>
          </w:tcPr>
          <w:p w14:paraId="2E78B5DA">
            <w:pPr>
              <w:adjustRightInd w:val="0"/>
              <w:snapToGrid w:val="0"/>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设备名称</w:t>
            </w:r>
          </w:p>
        </w:tc>
        <w:tc>
          <w:tcPr>
            <w:tcW w:w="1080" w:type="dxa"/>
            <w:tcBorders>
              <w:top w:val="single" w:color="auto" w:sz="4" w:space="0"/>
              <w:left w:val="single" w:color="auto" w:sz="4" w:space="0"/>
              <w:bottom w:val="single" w:color="auto" w:sz="4" w:space="0"/>
              <w:right w:val="single" w:color="auto" w:sz="4" w:space="0"/>
            </w:tcBorders>
            <w:shd w:val="clear" w:color="auto" w:fill="D9D9D9"/>
            <w:vAlign w:val="center"/>
          </w:tcPr>
          <w:p w14:paraId="538472A4">
            <w:pPr>
              <w:adjustRightInd w:val="0"/>
              <w:snapToGrid w:val="0"/>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规格型号</w:t>
            </w:r>
          </w:p>
        </w:tc>
        <w:tc>
          <w:tcPr>
            <w:tcW w:w="900" w:type="dxa"/>
            <w:tcBorders>
              <w:top w:val="single" w:color="auto" w:sz="4" w:space="0"/>
              <w:left w:val="single" w:color="auto" w:sz="4" w:space="0"/>
              <w:bottom w:val="single" w:color="auto" w:sz="4" w:space="0"/>
              <w:right w:val="single" w:color="auto" w:sz="4" w:space="0"/>
            </w:tcBorders>
            <w:shd w:val="clear" w:color="auto" w:fill="D9D9D9"/>
            <w:vAlign w:val="center"/>
          </w:tcPr>
          <w:p w14:paraId="74B916D6">
            <w:pPr>
              <w:adjustRightInd w:val="0"/>
              <w:snapToGrid w:val="0"/>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品牌</w:t>
            </w:r>
          </w:p>
        </w:tc>
        <w:tc>
          <w:tcPr>
            <w:tcW w:w="1260" w:type="dxa"/>
            <w:tcBorders>
              <w:top w:val="single" w:color="auto" w:sz="4" w:space="0"/>
              <w:left w:val="single" w:color="auto" w:sz="4" w:space="0"/>
              <w:bottom w:val="single" w:color="auto" w:sz="4" w:space="0"/>
              <w:right w:val="single" w:color="auto" w:sz="4" w:space="0"/>
            </w:tcBorders>
            <w:shd w:val="clear" w:color="auto" w:fill="D9D9D9"/>
            <w:vAlign w:val="center"/>
          </w:tcPr>
          <w:p w14:paraId="07419475">
            <w:pPr>
              <w:adjustRightInd w:val="0"/>
              <w:snapToGrid w:val="0"/>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生产厂家</w:t>
            </w:r>
          </w:p>
        </w:tc>
        <w:tc>
          <w:tcPr>
            <w:tcW w:w="900" w:type="dxa"/>
            <w:tcBorders>
              <w:top w:val="single" w:color="auto" w:sz="4" w:space="0"/>
              <w:left w:val="single" w:color="auto" w:sz="4" w:space="0"/>
              <w:bottom w:val="single" w:color="auto" w:sz="4" w:space="0"/>
              <w:right w:val="single" w:color="auto" w:sz="4" w:space="0"/>
            </w:tcBorders>
            <w:shd w:val="clear" w:color="auto" w:fill="D9D9D9"/>
            <w:vAlign w:val="center"/>
          </w:tcPr>
          <w:p w14:paraId="6002A1C5">
            <w:pPr>
              <w:adjustRightInd w:val="0"/>
              <w:snapToGrid w:val="0"/>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数量</w:t>
            </w:r>
          </w:p>
        </w:tc>
        <w:tc>
          <w:tcPr>
            <w:tcW w:w="1080" w:type="dxa"/>
            <w:tcBorders>
              <w:top w:val="single" w:color="auto" w:sz="4" w:space="0"/>
              <w:left w:val="single" w:color="auto" w:sz="4" w:space="0"/>
              <w:bottom w:val="single" w:color="auto" w:sz="4" w:space="0"/>
              <w:right w:val="single" w:color="auto" w:sz="4" w:space="0"/>
            </w:tcBorders>
            <w:shd w:val="clear" w:color="auto" w:fill="D9D9D9"/>
            <w:vAlign w:val="center"/>
          </w:tcPr>
          <w:p w14:paraId="6E8033EE">
            <w:pPr>
              <w:adjustRightInd w:val="0"/>
              <w:snapToGrid w:val="0"/>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单价(元)</w:t>
            </w:r>
          </w:p>
        </w:tc>
        <w:tc>
          <w:tcPr>
            <w:tcW w:w="1260" w:type="dxa"/>
            <w:tcBorders>
              <w:top w:val="single" w:color="auto" w:sz="4" w:space="0"/>
              <w:left w:val="single" w:color="auto" w:sz="4" w:space="0"/>
              <w:bottom w:val="single" w:color="auto" w:sz="4" w:space="0"/>
              <w:right w:val="single" w:color="auto" w:sz="4" w:space="0"/>
            </w:tcBorders>
            <w:shd w:val="clear" w:color="auto" w:fill="D9D9D9"/>
            <w:vAlign w:val="center"/>
          </w:tcPr>
          <w:p w14:paraId="6A39E16B">
            <w:pPr>
              <w:adjustRightInd w:val="0"/>
              <w:snapToGrid w:val="0"/>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合计( 元)</w:t>
            </w:r>
          </w:p>
        </w:tc>
      </w:tr>
      <w:tr w14:paraId="165DCB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646" w:type="dxa"/>
            <w:tcBorders>
              <w:top w:val="single" w:color="auto" w:sz="4" w:space="0"/>
              <w:left w:val="single" w:color="auto" w:sz="4" w:space="0"/>
              <w:bottom w:val="single" w:color="auto" w:sz="4" w:space="0"/>
              <w:right w:val="single" w:color="auto" w:sz="4" w:space="0"/>
            </w:tcBorders>
            <w:vAlign w:val="center"/>
          </w:tcPr>
          <w:p w14:paraId="66BE8CC2">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1</w:t>
            </w:r>
          </w:p>
        </w:tc>
        <w:tc>
          <w:tcPr>
            <w:tcW w:w="2049" w:type="dxa"/>
            <w:tcBorders>
              <w:top w:val="single" w:color="auto" w:sz="4" w:space="0"/>
              <w:left w:val="single" w:color="auto" w:sz="4" w:space="0"/>
              <w:bottom w:val="single" w:color="auto" w:sz="4" w:space="0"/>
              <w:right w:val="single" w:color="auto" w:sz="4" w:space="0"/>
            </w:tcBorders>
            <w:vAlign w:val="center"/>
          </w:tcPr>
          <w:p w14:paraId="124279F4">
            <w:pPr>
              <w:adjustRightInd w:val="0"/>
              <w:snapToGrid w:val="0"/>
              <w:spacing w:line="360" w:lineRule="auto"/>
              <w:jc w:val="center"/>
              <w:rPr>
                <w:rFonts w:hint="eastAsia" w:ascii="宋体" w:hAnsi="宋体" w:eastAsia="宋体" w:cs="宋体"/>
                <w:sz w:val="24"/>
                <w:szCs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666959FE">
            <w:pPr>
              <w:adjustRightInd w:val="0"/>
              <w:snapToGrid w:val="0"/>
              <w:spacing w:line="360" w:lineRule="auto"/>
              <w:jc w:val="center"/>
              <w:rPr>
                <w:rFonts w:hint="eastAsia" w:ascii="宋体" w:hAnsi="宋体" w:eastAsia="宋体" w:cs="宋体"/>
                <w:sz w:val="24"/>
                <w:szCs w:val="24"/>
              </w:rPr>
            </w:pPr>
          </w:p>
        </w:tc>
        <w:tc>
          <w:tcPr>
            <w:tcW w:w="900" w:type="dxa"/>
            <w:tcBorders>
              <w:top w:val="single" w:color="auto" w:sz="4" w:space="0"/>
              <w:left w:val="single" w:color="auto" w:sz="4" w:space="0"/>
              <w:bottom w:val="single" w:color="auto" w:sz="4" w:space="0"/>
              <w:right w:val="single" w:color="auto" w:sz="4" w:space="0"/>
            </w:tcBorders>
            <w:vAlign w:val="top"/>
          </w:tcPr>
          <w:p w14:paraId="6828E0ED">
            <w:pPr>
              <w:adjustRightInd w:val="0"/>
              <w:snapToGrid w:val="0"/>
              <w:spacing w:line="360" w:lineRule="auto"/>
              <w:jc w:val="center"/>
              <w:rPr>
                <w:rFonts w:hint="eastAsia" w:ascii="宋体" w:hAnsi="宋体" w:eastAsia="宋体" w:cs="宋体"/>
                <w:sz w:val="24"/>
                <w:szCs w:val="24"/>
              </w:rPr>
            </w:pPr>
          </w:p>
        </w:tc>
        <w:tc>
          <w:tcPr>
            <w:tcW w:w="1260" w:type="dxa"/>
            <w:tcBorders>
              <w:top w:val="single" w:color="auto" w:sz="4" w:space="0"/>
              <w:left w:val="single" w:color="auto" w:sz="4" w:space="0"/>
              <w:bottom w:val="single" w:color="auto" w:sz="4" w:space="0"/>
              <w:right w:val="single" w:color="auto" w:sz="4" w:space="0"/>
            </w:tcBorders>
            <w:vAlign w:val="center"/>
          </w:tcPr>
          <w:p w14:paraId="6F3B5249">
            <w:pPr>
              <w:adjustRightInd w:val="0"/>
              <w:snapToGrid w:val="0"/>
              <w:spacing w:line="360" w:lineRule="auto"/>
              <w:jc w:val="center"/>
              <w:rPr>
                <w:rFonts w:hint="eastAsia" w:ascii="宋体" w:hAnsi="宋体" w:eastAsia="宋体" w:cs="宋体"/>
                <w:sz w:val="24"/>
                <w:szCs w:val="24"/>
              </w:rPr>
            </w:pPr>
          </w:p>
        </w:tc>
        <w:tc>
          <w:tcPr>
            <w:tcW w:w="900" w:type="dxa"/>
            <w:tcBorders>
              <w:top w:val="single" w:color="auto" w:sz="4" w:space="0"/>
              <w:left w:val="single" w:color="auto" w:sz="4" w:space="0"/>
              <w:bottom w:val="single" w:color="auto" w:sz="4" w:space="0"/>
              <w:right w:val="single" w:color="auto" w:sz="4" w:space="0"/>
            </w:tcBorders>
            <w:vAlign w:val="center"/>
          </w:tcPr>
          <w:p w14:paraId="2BB5AE03">
            <w:pPr>
              <w:adjustRightInd w:val="0"/>
              <w:snapToGrid w:val="0"/>
              <w:spacing w:line="360" w:lineRule="auto"/>
              <w:jc w:val="center"/>
              <w:rPr>
                <w:rFonts w:hint="eastAsia" w:ascii="宋体" w:hAnsi="宋体" w:eastAsia="宋体" w:cs="宋体"/>
                <w:sz w:val="24"/>
                <w:szCs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05269EC4">
            <w:pPr>
              <w:adjustRightInd w:val="0"/>
              <w:snapToGrid w:val="0"/>
              <w:spacing w:line="360" w:lineRule="auto"/>
              <w:jc w:val="center"/>
              <w:rPr>
                <w:rFonts w:hint="eastAsia" w:ascii="宋体" w:hAnsi="宋体" w:eastAsia="宋体" w:cs="宋体"/>
                <w:sz w:val="24"/>
                <w:szCs w:val="24"/>
              </w:rPr>
            </w:pPr>
          </w:p>
        </w:tc>
        <w:tc>
          <w:tcPr>
            <w:tcW w:w="1260" w:type="dxa"/>
            <w:tcBorders>
              <w:top w:val="single" w:color="auto" w:sz="4" w:space="0"/>
              <w:left w:val="single" w:color="auto" w:sz="4" w:space="0"/>
              <w:bottom w:val="single" w:color="auto" w:sz="4" w:space="0"/>
              <w:right w:val="single" w:color="auto" w:sz="4" w:space="0"/>
            </w:tcBorders>
            <w:vAlign w:val="center"/>
          </w:tcPr>
          <w:p w14:paraId="5661B2BD">
            <w:pPr>
              <w:adjustRightInd w:val="0"/>
              <w:snapToGrid w:val="0"/>
              <w:spacing w:line="360" w:lineRule="auto"/>
              <w:jc w:val="center"/>
              <w:rPr>
                <w:rFonts w:hint="eastAsia" w:ascii="宋体" w:hAnsi="宋体" w:eastAsia="宋体" w:cs="宋体"/>
                <w:sz w:val="24"/>
                <w:szCs w:val="24"/>
              </w:rPr>
            </w:pPr>
          </w:p>
        </w:tc>
      </w:tr>
      <w:tr w14:paraId="7651E7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646" w:type="dxa"/>
            <w:tcBorders>
              <w:top w:val="single" w:color="auto" w:sz="4" w:space="0"/>
              <w:left w:val="single" w:color="auto" w:sz="4" w:space="0"/>
              <w:bottom w:val="single" w:color="auto" w:sz="4" w:space="0"/>
              <w:right w:val="single" w:color="auto" w:sz="4" w:space="0"/>
            </w:tcBorders>
            <w:vAlign w:val="center"/>
          </w:tcPr>
          <w:p w14:paraId="44BF5B47">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2</w:t>
            </w:r>
          </w:p>
        </w:tc>
        <w:tc>
          <w:tcPr>
            <w:tcW w:w="2049" w:type="dxa"/>
            <w:tcBorders>
              <w:top w:val="single" w:color="auto" w:sz="4" w:space="0"/>
              <w:left w:val="single" w:color="auto" w:sz="4" w:space="0"/>
              <w:bottom w:val="single" w:color="auto" w:sz="4" w:space="0"/>
              <w:right w:val="single" w:color="auto" w:sz="4" w:space="0"/>
            </w:tcBorders>
            <w:vAlign w:val="center"/>
          </w:tcPr>
          <w:p w14:paraId="4135588D">
            <w:pPr>
              <w:adjustRightInd w:val="0"/>
              <w:snapToGrid w:val="0"/>
              <w:spacing w:line="360" w:lineRule="auto"/>
              <w:jc w:val="center"/>
              <w:rPr>
                <w:rFonts w:hint="eastAsia" w:ascii="宋体" w:hAnsi="宋体" w:eastAsia="宋体" w:cs="宋体"/>
                <w:sz w:val="24"/>
                <w:szCs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576AC271">
            <w:pPr>
              <w:adjustRightInd w:val="0"/>
              <w:snapToGrid w:val="0"/>
              <w:spacing w:line="360" w:lineRule="auto"/>
              <w:jc w:val="center"/>
              <w:rPr>
                <w:rFonts w:hint="eastAsia" w:ascii="宋体" w:hAnsi="宋体" w:eastAsia="宋体" w:cs="宋体"/>
                <w:sz w:val="24"/>
                <w:szCs w:val="24"/>
              </w:rPr>
            </w:pPr>
          </w:p>
        </w:tc>
        <w:tc>
          <w:tcPr>
            <w:tcW w:w="900" w:type="dxa"/>
            <w:tcBorders>
              <w:top w:val="single" w:color="auto" w:sz="4" w:space="0"/>
              <w:left w:val="single" w:color="auto" w:sz="4" w:space="0"/>
              <w:bottom w:val="single" w:color="auto" w:sz="4" w:space="0"/>
              <w:right w:val="single" w:color="auto" w:sz="4" w:space="0"/>
            </w:tcBorders>
            <w:vAlign w:val="top"/>
          </w:tcPr>
          <w:p w14:paraId="614FAA7A">
            <w:pPr>
              <w:adjustRightInd w:val="0"/>
              <w:snapToGrid w:val="0"/>
              <w:spacing w:line="360" w:lineRule="auto"/>
              <w:jc w:val="center"/>
              <w:rPr>
                <w:rFonts w:hint="eastAsia" w:ascii="宋体" w:hAnsi="宋体" w:eastAsia="宋体" w:cs="宋体"/>
                <w:sz w:val="24"/>
                <w:szCs w:val="24"/>
              </w:rPr>
            </w:pPr>
          </w:p>
        </w:tc>
        <w:tc>
          <w:tcPr>
            <w:tcW w:w="1260" w:type="dxa"/>
            <w:tcBorders>
              <w:top w:val="single" w:color="auto" w:sz="4" w:space="0"/>
              <w:left w:val="single" w:color="auto" w:sz="4" w:space="0"/>
              <w:bottom w:val="single" w:color="auto" w:sz="4" w:space="0"/>
              <w:right w:val="single" w:color="auto" w:sz="4" w:space="0"/>
            </w:tcBorders>
            <w:vAlign w:val="center"/>
          </w:tcPr>
          <w:p w14:paraId="045E8387">
            <w:pPr>
              <w:adjustRightInd w:val="0"/>
              <w:snapToGrid w:val="0"/>
              <w:spacing w:line="360" w:lineRule="auto"/>
              <w:jc w:val="center"/>
              <w:rPr>
                <w:rFonts w:hint="eastAsia" w:ascii="宋体" w:hAnsi="宋体" w:eastAsia="宋体" w:cs="宋体"/>
                <w:sz w:val="24"/>
                <w:szCs w:val="24"/>
              </w:rPr>
            </w:pPr>
          </w:p>
        </w:tc>
        <w:tc>
          <w:tcPr>
            <w:tcW w:w="900" w:type="dxa"/>
            <w:tcBorders>
              <w:top w:val="single" w:color="auto" w:sz="4" w:space="0"/>
              <w:left w:val="single" w:color="auto" w:sz="4" w:space="0"/>
              <w:bottom w:val="single" w:color="auto" w:sz="4" w:space="0"/>
              <w:right w:val="single" w:color="auto" w:sz="4" w:space="0"/>
            </w:tcBorders>
            <w:vAlign w:val="center"/>
          </w:tcPr>
          <w:p w14:paraId="101DB5A6">
            <w:pPr>
              <w:adjustRightInd w:val="0"/>
              <w:snapToGrid w:val="0"/>
              <w:spacing w:line="360" w:lineRule="auto"/>
              <w:jc w:val="center"/>
              <w:rPr>
                <w:rFonts w:hint="eastAsia" w:ascii="宋体" w:hAnsi="宋体" w:eastAsia="宋体" w:cs="宋体"/>
                <w:sz w:val="24"/>
                <w:szCs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01A83668">
            <w:pPr>
              <w:adjustRightInd w:val="0"/>
              <w:snapToGrid w:val="0"/>
              <w:spacing w:line="360" w:lineRule="auto"/>
              <w:jc w:val="center"/>
              <w:rPr>
                <w:rFonts w:hint="eastAsia" w:ascii="宋体" w:hAnsi="宋体" w:eastAsia="宋体" w:cs="宋体"/>
                <w:sz w:val="24"/>
                <w:szCs w:val="24"/>
              </w:rPr>
            </w:pPr>
          </w:p>
        </w:tc>
        <w:tc>
          <w:tcPr>
            <w:tcW w:w="1260" w:type="dxa"/>
            <w:tcBorders>
              <w:top w:val="single" w:color="auto" w:sz="4" w:space="0"/>
              <w:left w:val="single" w:color="auto" w:sz="4" w:space="0"/>
              <w:bottom w:val="single" w:color="auto" w:sz="4" w:space="0"/>
              <w:right w:val="single" w:color="auto" w:sz="4" w:space="0"/>
            </w:tcBorders>
            <w:vAlign w:val="center"/>
          </w:tcPr>
          <w:p w14:paraId="68B2965B">
            <w:pPr>
              <w:adjustRightInd w:val="0"/>
              <w:snapToGrid w:val="0"/>
              <w:spacing w:line="360" w:lineRule="auto"/>
              <w:jc w:val="center"/>
              <w:rPr>
                <w:rFonts w:hint="eastAsia" w:ascii="宋体" w:hAnsi="宋体" w:eastAsia="宋体" w:cs="宋体"/>
                <w:sz w:val="24"/>
                <w:szCs w:val="24"/>
              </w:rPr>
            </w:pPr>
          </w:p>
        </w:tc>
      </w:tr>
      <w:tr w14:paraId="68BE5B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646" w:type="dxa"/>
            <w:tcBorders>
              <w:top w:val="single" w:color="auto" w:sz="4" w:space="0"/>
              <w:left w:val="single" w:color="auto" w:sz="4" w:space="0"/>
              <w:bottom w:val="single" w:color="auto" w:sz="4" w:space="0"/>
              <w:right w:val="single" w:color="auto" w:sz="4" w:space="0"/>
            </w:tcBorders>
            <w:vAlign w:val="center"/>
          </w:tcPr>
          <w:p w14:paraId="04E1C600">
            <w:pPr>
              <w:adjustRightInd w:val="0"/>
              <w:snapToGrid w:val="0"/>
              <w:spacing w:line="360" w:lineRule="auto"/>
              <w:jc w:val="center"/>
              <w:rPr>
                <w:rFonts w:hint="eastAsia" w:ascii="宋体" w:hAnsi="宋体" w:eastAsia="宋体" w:cs="宋体"/>
                <w:sz w:val="24"/>
                <w:szCs w:val="24"/>
              </w:rPr>
            </w:pPr>
          </w:p>
        </w:tc>
        <w:tc>
          <w:tcPr>
            <w:tcW w:w="2049" w:type="dxa"/>
            <w:tcBorders>
              <w:top w:val="single" w:color="auto" w:sz="4" w:space="0"/>
              <w:left w:val="single" w:color="auto" w:sz="4" w:space="0"/>
              <w:bottom w:val="single" w:color="auto" w:sz="4" w:space="0"/>
              <w:right w:val="single" w:color="auto" w:sz="4" w:space="0"/>
            </w:tcBorders>
            <w:vAlign w:val="center"/>
          </w:tcPr>
          <w:p w14:paraId="511D5140">
            <w:pPr>
              <w:adjustRightInd w:val="0"/>
              <w:snapToGrid w:val="0"/>
              <w:spacing w:line="360" w:lineRule="auto"/>
              <w:jc w:val="center"/>
              <w:rPr>
                <w:rFonts w:hint="eastAsia" w:ascii="宋体" w:hAnsi="宋体" w:eastAsia="宋体" w:cs="宋体"/>
                <w:sz w:val="24"/>
                <w:szCs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13A95F25">
            <w:pPr>
              <w:adjustRightInd w:val="0"/>
              <w:snapToGrid w:val="0"/>
              <w:spacing w:line="360" w:lineRule="auto"/>
              <w:jc w:val="center"/>
              <w:rPr>
                <w:rFonts w:hint="eastAsia" w:ascii="宋体" w:hAnsi="宋体" w:eastAsia="宋体" w:cs="宋体"/>
                <w:sz w:val="24"/>
                <w:szCs w:val="24"/>
              </w:rPr>
            </w:pPr>
          </w:p>
        </w:tc>
        <w:tc>
          <w:tcPr>
            <w:tcW w:w="900" w:type="dxa"/>
            <w:tcBorders>
              <w:top w:val="single" w:color="auto" w:sz="4" w:space="0"/>
              <w:left w:val="single" w:color="auto" w:sz="4" w:space="0"/>
              <w:bottom w:val="single" w:color="auto" w:sz="4" w:space="0"/>
              <w:right w:val="single" w:color="auto" w:sz="4" w:space="0"/>
            </w:tcBorders>
            <w:vAlign w:val="top"/>
          </w:tcPr>
          <w:p w14:paraId="6798ED60">
            <w:pPr>
              <w:adjustRightInd w:val="0"/>
              <w:snapToGrid w:val="0"/>
              <w:spacing w:line="360" w:lineRule="auto"/>
              <w:jc w:val="center"/>
              <w:rPr>
                <w:rFonts w:hint="eastAsia" w:ascii="宋体" w:hAnsi="宋体" w:eastAsia="宋体" w:cs="宋体"/>
                <w:sz w:val="24"/>
                <w:szCs w:val="24"/>
              </w:rPr>
            </w:pPr>
          </w:p>
        </w:tc>
        <w:tc>
          <w:tcPr>
            <w:tcW w:w="1260" w:type="dxa"/>
            <w:tcBorders>
              <w:top w:val="single" w:color="auto" w:sz="4" w:space="0"/>
              <w:left w:val="single" w:color="auto" w:sz="4" w:space="0"/>
              <w:bottom w:val="single" w:color="auto" w:sz="4" w:space="0"/>
              <w:right w:val="single" w:color="auto" w:sz="4" w:space="0"/>
            </w:tcBorders>
            <w:vAlign w:val="center"/>
          </w:tcPr>
          <w:p w14:paraId="11FF2120">
            <w:pPr>
              <w:adjustRightInd w:val="0"/>
              <w:snapToGrid w:val="0"/>
              <w:spacing w:line="360" w:lineRule="auto"/>
              <w:jc w:val="center"/>
              <w:rPr>
                <w:rFonts w:hint="eastAsia" w:ascii="宋体" w:hAnsi="宋体" w:eastAsia="宋体" w:cs="宋体"/>
                <w:sz w:val="24"/>
                <w:szCs w:val="24"/>
              </w:rPr>
            </w:pPr>
          </w:p>
        </w:tc>
        <w:tc>
          <w:tcPr>
            <w:tcW w:w="900" w:type="dxa"/>
            <w:tcBorders>
              <w:top w:val="single" w:color="auto" w:sz="4" w:space="0"/>
              <w:left w:val="single" w:color="auto" w:sz="4" w:space="0"/>
              <w:bottom w:val="single" w:color="auto" w:sz="4" w:space="0"/>
              <w:right w:val="single" w:color="auto" w:sz="4" w:space="0"/>
            </w:tcBorders>
            <w:vAlign w:val="center"/>
          </w:tcPr>
          <w:p w14:paraId="41249442">
            <w:pPr>
              <w:adjustRightInd w:val="0"/>
              <w:snapToGrid w:val="0"/>
              <w:spacing w:line="360" w:lineRule="auto"/>
              <w:jc w:val="center"/>
              <w:rPr>
                <w:rFonts w:hint="eastAsia" w:ascii="宋体" w:hAnsi="宋体" w:eastAsia="宋体" w:cs="宋体"/>
                <w:sz w:val="24"/>
                <w:szCs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4A4B86D7">
            <w:pPr>
              <w:adjustRightInd w:val="0"/>
              <w:snapToGrid w:val="0"/>
              <w:spacing w:line="360" w:lineRule="auto"/>
              <w:jc w:val="center"/>
              <w:rPr>
                <w:rFonts w:hint="eastAsia" w:ascii="宋体" w:hAnsi="宋体" w:eastAsia="宋体" w:cs="宋体"/>
                <w:sz w:val="24"/>
                <w:szCs w:val="24"/>
              </w:rPr>
            </w:pPr>
          </w:p>
        </w:tc>
        <w:tc>
          <w:tcPr>
            <w:tcW w:w="1260" w:type="dxa"/>
            <w:tcBorders>
              <w:top w:val="single" w:color="auto" w:sz="4" w:space="0"/>
              <w:left w:val="single" w:color="auto" w:sz="4" w:space="0"/>
              <w:bottom w:val="single" w:color="auto" w:sz="4" w:space="0"/>
              <w:right w:val="single" w:color="auto" w:sz="4" w:space="0"/>
            </w:tcBorders>
            <w:vAlign w:val="center"/>
          </w:tcPr>
          <w:p w14:paraId="1C786A05">
            <w:pPr>
              <w:adjustRightInd w:val="0"/>
              <w:snapToGrid w:val="0"/>
              <w:spacing w:line="360" w:lineRule="auto"/>
              <w:jc w:val="center"/>
              <w:rPr>
                <w:rFonts w:hint="eastAsia" w:ascii="宋体" w:hAnsi="宋体" w:eastAsia="宋体" w:cs="宋体"/>
                <w:sz w:val="24"/>
                <w:szCs w:val="24"/>
              </w:rPr>
            </w:pPr>
          </w:p>
        </w:tc>
      </w:tr>
      <w:tr w14:paraId="37E676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646" w:type="dxa"/>
            <w:tcBorders>
              <w:top w:val="single" w:color="auto" w:sz="4" w:space="0"/>
              <w:left w:val="single" w:color="auto" w:sz="4" w:space="0"/>
              <w:bottom w:val="single" w:color="auto" w:sz="4" w:space="0"/>
              <w:right w:val="single" w:color="auto" w:sz="4" w:space="0"/>
            </w:tcBorders>
            <w:vAlign w:val="center"/>
          </w:tcPr>
          <w:p w14:paraId="73187598">
            <w:pPr>
              <w:adjustRightInd w:val="0"/>
              <w:snapToGrid w:val="0"/>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合计</w:t>
            </w:r>
          </w:p>
        </w:tc>
        <w:tc>
          <w:tcPr>
            <w:tcW w:w="7269" w:type="dxa"/>
            <w:gridSpan w:val="6"/>
            <w:tcBorders>
              <w:top w:val="single" w:color="auto" w:sz="4" w:space="0"/>
              <w:left w:val="single" w:color="auto" w:sz="4" w:space="0"/>
              <w:bottom w:val="single" w:color="auto" w:sz="4" w:space="0"/>
              <w:right w:val="single" w:color="auto" w:sz="4" w:space="0"/>
            </w:tcBorders>
            <w:vAlign w:val="center"/>
          </w:tcPr>
          <w:p w14:paraId="365F423B">
            <w:pPr>
              <w:adjustRightInd w:val="0"/>
              <w:snapToGrid w:val="0"/>
              <w:spacing w:line="360" w:lineRule="auto"/>
              <w:rPr>
                <w:rFonts w:hint="eastAsia" w:ascii="宋体" w:hAnsi="宋体" w:eastAsia="宋体" w:cs="宋体"/>
                <w:b/>
                <w:sz w:val="24"/>
                <w:szCs w:val="24"/>
              </w:rPr>
            </w:pPr>
            <w:r>
              <w:rPr>
                <w:rFonts w:hint="eastAsia" w:ascii="宋体" w:hAnsi="宋体" w:eastAsia="宋体" w:cs="宋体"/>
                <w:b/>
                <w:sz w:val="24"/>
                <w:szCs w:val="24"/>
              </w:rPr>
              <w:t>大写：                                      （含税价）</w:t>
            </w:r>
          </w:p>
        </w:tc>
        <w:tc>
          <w:tcPr>
            <w:tcW w:w="1260" w:type="dxa"/>
            <w:tcBorders>
              <w:top w:val="single" w:color="auto" w:sz="4" w:space="0"/>
              <w:left w:val="single" w:color="auto" w:sz="4" w:space="0"/>
              <w:bottom w:val="single" w:color="auto" w:sz="4" w:space="0"/>
              <w:right w:val="single" w:color="auto" w:sz="4" w:space="0"/>
            </w:tcBorders>
            <w:vAlign w:val="center"/>
          </w:tcPr>
          <w:p w14:paraId="787B77AA">
            <w:pPr>
              <w:adjustRightInd w:val="0"/>
              <w:snapToGrid w:val="0"/>
              <w:spacing w:line="360" w:lineRule="auto"/>
              <w:jc w:val="center"/>
              <w:rPr>
                <w:rFonts w:hint="eastAsia" w:ascii="宋体" w:hAnsi="宋体" w:eastAsia="宋体" w:cs="宋体"/>
                <w:b/>
                <w:sz w:val="24"/>
                <w:szCs w:val="24"/>
              </w:rPr>
            </w:pPr>
          </w:p>
        </w:tc>
      </w:tr>
    </w:tbl>
    <w:p w14:paraId="67B9413E">
      <w:pPr>
        <w:widowControl/>
        <w:adjustRightInd w:val="0"/>
        <w:snapToGrid w:val="0"/>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1、合同总金额包括货物价款、附件、专用工具、安装、调试、检验、技术培训及技术资料和包装、运输、保险、税费等全部费用，如果招投标文件对其另有规定的，从其规定。</w:t>
      </w:r>
    </w:p>
    <w:p w14:paraId="5FB296F7">
      <w:pPr>
        <w:widowControl/>
        <w:adjustRightInd w:val="0"/>
        <w:snapToGrid w:val="0"/>
        <w:spacing w:line="360" w:lineRule="auto"/>
        <w:jc w:val="left"/>
        <w:rPr>
          <w:rFonts w:hint="eastAsia" w:ascii="宋体" w:hAnsi="宋体" w:eastAsia="宋体" w:cs="宋体"/>
          <w:b/>
          <w:kern w:val="0"/>
          <w:sz w:val="24"/>
          <w:szCs w:val="24"/>
        </w:rPr>
      </w:pPr>
      <w:r>
        <w:rPr>
          <w:rFonts w:hint="eastAsia" w:ascii="宋体" w:hAnsi="宋体" w:eastAsia="宋体" w:cs="宋体"/>
          <w:b/>
          <w:kern w:val="0"/>
          <w:sz w:val="24"/>
          <w:szCs w:val="24"/>
        </w:rPr>
        <w:t>二、质量标准：</w:t>
      </w:r>
    </w:p>
    <w:p w14:paraId="45BF1BF8">
      <w:pPr>
        <w:widowControl/>
        <w:adjustRightInd w:val="0"/>
        <w:snapToGrid w:val="0"/>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sz w:val="24"/>
          <w:szCs w:val="24"/>
        </w:rPr>
        <w:t>乙方提供的货物必须符合中华人民共和国国家安全环保标准，国家及有关行业产品质量认证标准。响应文件的质量要求及双方签字确认的技术协议</w:t>
      </w:r>
      <w:r>
        <w:rPr>
          <w:rFonts w:hint="eastAsia" w:ascii="宋体" w:hAnsi="宋体" w:eastAsia="宋体" w:cs="宋体"/>
          <w:kern w:val="0"/>
          <w:sz w:val="24"/>
          <w:szCs w:val="24"/>
        </w:rPr>
        <w:t>作为本合同的有效附件。</w:t>
      </w:r>
    </w:p>
    <w:p w14:paraId="56744F05">
      <w:pPr>
        <w:widowControl/>
        <w:adjustRightInd w:val="0"/>
        <w:snapToGrid w:val="0"/>
        <w:spacing w:line="360" w:lineRule="auto"/>
        <w:jc w:val="left"/>
        <w:rPr>
          <w:rFonts w:hint="eastAsia" w:ascii="宋体" w:hAnsi="宋体" w:eastAsia="宋体" w:cs="宋体"/>
          <w:b/>
          <w:kern w:val="0"/>
          <w:sz w:val="24"/>
          <w:szCs w:val="24"/>
        </w:rPr>
      </w:pPr>
      <w:r>
        <w:rPr>
          <w:rFonts w:hint="eastAsia" w:ascii="宋体" w:hAnsi="宋体" w:eastAsia="宋体" w:cs="宋体"/>
          <w:b/>
          <w:kern w:val="0"/>
          <w:sz w:val="24"/>
          <w:szCs w:val="24"/>
        </w:rPr>
        <w:t>三、交货日期、方式及地点：</w:t>
      </w:r>
    </w:p>
    <w:p w14:paraId="3F2908C1">
      <w:pPr>
        <w:widowControl/>
        <w:adjustRightInd w:val="0"/>
        <w:snapToGrid w:val="0"/>
        <w:spacing w:line="360" w:lineRule="auto"/>
        <w:ind w:firstLine="470" w:firstLineChars="196"/>
        <w:jc w:val="left"/>
        <w:rPr>
          <w:rFonts w:hint="eastAsia" w:ascii="宋体" w:hAnsi="宋体" w:eastAsia="宋体" w:cs="宋体"/>
          <w:sz w:val="24"/>
          <w:szCs w:val="24"/>
        </w:rPr>
      </w:pPr>
      <w:r>
        <w:rPr>
          <w:rFonts w:hint="eastAsia" w:ascii="宋体" w:hAnsi="宋体" w:eastAsia="宋体" w:cs="宋体"/>
          <w:sz w:val="24"/>
          <w:szCs w:val="24"/>
        </w:rPr>
        <w:t>合同生效后，于     年   月    日前，乙方将所供设备送至西安科技大学指定位置并安装调试完毕。</w:t>
      </w:r>
    </w:p>
    <w:p w14:paraId="23B7CD18">
      <w:pPr>
        <w:widowControl/>
        <w:adjustRightInd w:val="0"/>
        <w:snapToGrid w:val="0"/>
        <w:spacing w:line="360" w:lineRule="auto"/>
        <w:jc w:val="left"/>
        <w:rPr>
          <w:rFonts w:hint="eastAsia" w:ascii="宋体" w:hAnsi="宋体" w:eastAsia="宋体" w:cs="宋体"/>
          <w:b/>
          <w:bCs/>
          <w:kern w:val="0"/>
          <w:sz w:val="24"/>
          <w:szCs w:val="24"/>
        </w:rPr>
      </w:pPr>
      <w:r>
        <w:rPr>
          <w:rFonts w:hint="eastAsia" w:ascii="宋体" w:hAnsi="宋体" w:eastAsia="宋体" w:cs="宋体"/>
          <w:b/>
          <w:kern w:val="0"/>
          <w:sz w:val="24"/>
          <w:szCs w:val="24"/>
        </w:rPr>
        <w:t>四、乙方对质量保证的条件及期限：</w:t>
      </w:r>
    </w:p>
    <w:p w14:paraId="339DC3BC">
      <w:pPr>
        <w:widowControl/>
        <w:adjustRightInd w:val="0"/>
        <w:snapToGrid w:val="0"/>
        <w:spacing w:line="360" w:lineRule="auto"/>
        <w:ind w:firstLine="420"/>
        <w:jc w:val="left"/>
        <w:rPr>
          <w:rFonts w:hint="eastAsia" w:ascii="宋体" w:hAnsi="宋体" w:eastAsia="宋体" w:cs="宋体"/>
          <w:kern w:val="0"/>
          <w:sz w:val="24"/>
          <w:szCs w:val="24"/>
        </w:rPr>
      </w:pPr>
      <w:r>
        <w:rPr>
          <w:rFonts w:hint="eastAsia" w:ascii="宋体" w:hAnsi="宋体" w:eastAsia="宋体" w:cs="宋体"/>
          <w:kern w:val="0"/>
          <w:sz w:val="24"/>
          <w:szCs w:val="24"/>
        </w:rPr>
        <w:t>1、设备自验收合格之日起保质期</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年</w:t>
      </w:r>
      <w:r>
        <w:rPr>
          <w:rFonts w:hint="eastAsia" w:ascii="宋体" w:hAnsi="宋体" w:eastAsia="宋体" w:cs="宋体"/>
          <w:b/>
          <w:bCs/>
          <w:kern w:val="0"/>
          <w:sz w:val="24"/>
          <w:szCs w:val="24"/>
        </w:rPr>
        <w:t>。</w:t>
      </w:r>
      <w:r>
        <w:rPr>
          <w:rFonts w:hint="eastAsia" w:ascii="宋体" w:hAnsi="宋体" w:eastAsia="宋体" w:cs="宋体"/>
          <w:kern w:val="0"/>
          <w:sz w:val="24"/>
          <w:szCs w:val="24"/>
        </w:rPr>
        <w:t>在保质期内因设备本身的质量问题，乙方负责免费修理、更换零部件或退换，并须对设备出现的有关技术性问题或安全问题负责处理、解决。</w:t>
      </w:r>
    </w:p>
    <w:p w14:paraId="758E4B6D">
      <w:pPr>
        <w:widowControl/>
        <w:adjustRightInd w:val="0"/>
        <w:snapToGrid w:val="0"/>
        <w:spacing w:line="360" w:lineRule="auto"/>
        <w:ind w:firstLine="420"/>
        <w:jc w:val="left"/>
        <w:rPr>
          <w:rFonts w:hint="eastAsia" w:ascii="宋体" w:hAnsi="宋体" w:eastAsia="宋体" w:cs="宋体"/>
          <w:kern w:val="0"/>
          <w:sz w:val="24"/>
          <w:szCs w:val="24"/>
        </w:rPr>
      </w:pPr>
      <w:r>
        <w:rPr>
          <w:rFonts w:hint="eastAsia" w:ascii="宋体" w:hAnsi="宋体" w:eastAsia="宋体" w:cs="宋体"/>
          <w:sz w:val="24"/>
          <w:szCs w:val="24"/>
        </w:rPr>
        <w:t>2、乙方所供的货物必须是双方招投标文件规定的全新、未使用的原装产品，并保证所供货物附件齐全且能够独立正常运行，因缺少附件及质量问题而发生的任何损失由乙方负责。</w:t>
      </w:r>
    </w:p>
    <w:p w14:paraId="172DD2D6">
      <w:pPr>
        <w:widowControl/>
        <w:adjustRightInd w:val="0"/>
        <w:snapToGrid w:val="0"/>
        <w:spacing w:line="360" w:lineRule="auto"/>
        <w:jc w:val="left"/>
        <w:rPr>
          <w:rFonts w:hint="eastAsia" w:ascii="宋体" w:hAnsi="宋体" w:eastAsia="宋体" w:cs="宋体"/>
          <w:b/>
          <w:kern w:val="0"/>
          <w:sz w:val="24"/>
          <w:szCs w:val="24"/>
        </w:rPr>
      </w:pPr>
      <w:r>
        <w:rPr>
          <w:rFonts w:hint="eastAsia" w:ascii="宋体" w:hAnsi="宋体" w:eastAsia="宋体" w:cs="宋体"/>
          <w:b/>
          <w:kern w:val="0"/>
          <w:sz w:val="24"/>
          <w:szCs w:val="24"/>
        </w:rPr>
        <w:t>五、设备的包装及运输：</w:t>
      </w:r>
    </w:p>
    <w:p w14:paraId="0C80527B">
      <w:pPr>
        <w:widowControl/>
        <w:adjustRightInd w:val="0"/>
        <w:snapToGrid w:val="0"/>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1、乙方应在设备发运前对其进行满足于运输距离、防震、防锈和防破损装卸要求的包装，以保证货物安全运输到达甲方指定地点。途中发生包装物破损的情况，甲方有权拒收货物。</w:t>
      </w:r>
    </w:p>
    <w:p w14:paraId="2A89AE1B">
      <w:pPr>
        <w:widowControl/>
        <w:adjustRightInd w:val="0"/>
        <w:snapToGrid w:val="0"/>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2、包装上注明货物品种及数量。</w:t>
      </w:r>
    </w:p>
    <w:p w14:paraId="18590D5D">
      <w:pPr>
        <w:widowControl/>
        <w:adjustRightInd w:val="0"/>
        <w:snapToGrid w:val="0"/>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3、使用说明书、质量检验证明书、随配附件和工具以及清单与设备一起发送。</w:t>
      </w:r>
    </w:p>
    <w:p w14:paraId="3BC7A77F">
      <w:pPr>
        <w:widowControl/>
        <w:adjustRightInd w:val="0"/>
        <w:snapToGrid w:val="0"/>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4、运输方式：乙方负责运输并承担运输、装卸、倒运及运保费等费用。</w:t>
      </w:r>
    </w:p>
    <w:p w14:paraId="6FD28DEF">
      <w:pPr>
        <w:widowControl/>
        <w:adjustRightInd w:val="0"/>
        <w:snapToGrid w:val="0"/>
        <w:spacing w:line="360" w:lineRule="auto"/>
        <w:jc w:val="left"/>
        <w:rPr>
          <w:rFonts w:hint="eastAsia" w:ascii="宋体" w:hAnsi="宋体" w:eastAsia="宋体" w:cs="宋体"/>
          <w:b/>
          <w:kern w:val="0"/>
          <w:sz w:val="24"/>
          <w:szCs w:val="24"/>
        </w:rPr>
      </w:pPr>
      <w:r>
        <w:rPr>
          <w:rFonts w:hint="eastAsia" w:ascii="宋体" w:hAnsi="宋体" w:eastAsia="宋体" w:cs="宋体"/>
          <w:b/>
          <w:kern w:val="0"/>
          <w:sz w:val="24"/>
          <w:szCs w:val="24"/>
        </w:rPr>
        <w:t>六、设备的安装、调试及验收：</w:t>
      </w:r>
    </w:p>
    <w:p w14:paraId="487648A9">
      <w:pPr>
        <w:widowControl/>
        <w:adjustRightInd w:val="0"/>
        <w:snapToGrid w:val="0"/>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1、乙方负责安装调试，甲方提供必要的工作条件（水电等）。</w:t>
      </w:r>
    </w:p>
    <w:p w14:paraId="5E71AE8C">
      <w:pPr>
        <w:widowControl/>
        <w:adjustRightInd w:val="0"/>
        <w:snapToGrid w:val="0"/>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2、验收标准和方法</w:t>
      </w:r>
    </w:p>
    <w:p w14:paraId="6084C6C2">
      <w:pPr>
        <w:widowControl/>
        <w:adjustRightInd w:val="0"/>
        <w:snapToGrid w:val="0"/>
        <w:spacing w:line="360" w:lineRule="auto"/>
        <w:ind w:firstLine="482" w:firstLineChars="200"/>
        <w:jc w:val="left"/>
        <w:rPr>
          <w:rFonts w:hint="eastAsia" w:ascii="宋体" w:hAnsi="宋体" w:eastAsia="宋体" w:cs="宋体"/>
          <w:kern w:val="0"/>
          <w:sz w:val="24"/>
          <w:szCs w:val="24"/>
        </w:rPr>
      </w:pPr>
      <w:r>
        <w:rPr>
          <w:rFonts w:hint="eastAsia" w:ascii="宋体" w:hAnsi="宋体" w:eastAsia="宋体" w:cs="宋体"/>
          <w:b/>
          <w:bCs/>
          <w:kern w:val="0"/>
          <w:sz w:val="24"/>
          <w:szCs w:val="24"/>
        </w:rPr>
        <w:t>进口产品：</w:t>
      </w:r>
      <w:r>
        <w:rPr>
          <w:rFonts w:hint="eastAsia" w:ascii="宋体" w:hAnsi="宋体" w:eastAsia="宋体" w:cs="宋体"/>
          <w:kern w:val="0"/>
          <w:sz w:val="24"/>
          <w:szCs w:val="24"/>
        </w:rPr>
        <w:t>（1）交付检验：所供货物到货后，甲方和乙方指定人员共同参加开箱检验，乙方负责开箱，甲乙双方及时对货物名称、厂家、数量、品种、型号、规格、参数、功能需求等（乙方协助）进行核对、检验。若货物与合同约定不符，甲方有权拒绝接收，乙方应无条件退换货直至合格，并承担逾期交货的违约责任，赔偿甲方损失。（2）初验：货物通过试运行测试后进入试运行，试运行不少于30日历日。由乙方向甲方（用户）提供详细的试运行报告，报告中至少应详细记录各种实测、运行数据。项目试运行且通过乙方自测后提交甲方（用户）进行初验。验收内容按试运行报告，现场查看货物运行情况。初验合格后，甲方（用户）填写初验验收报告。（3）整体验收即终验：该项目初验合格后，甲方根据供应商提供的初验验收报告，组织甲方相关人员或甲方专家组成验收小组对设备进行最终验收。验收依据为本合同文本、招投标文件和国内相应的标准、规范。验收合格后，甲方填写终验验收单，作为付款依据。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货款尾款甲方有权不予支付。</w:t>
      </w:r>
    </w:p>
    <w:p w14:paraId="63205DCB">
      <w:pPr>
        <w:widowControl/>
        <w:adjustRightInd w:val="0"/>
        <w:snapToGrid w:val="0"/>
        <w:spacing w:line="360" w:lineRule="auto"/>
        <w:ind w:firstLine="482" w:firstLineChars="200"/>
        <w:jc w:val="left"/>
        <w:rPr>
          <w:rFonts w:hint="eastAsia" w:ascii="宋体" w:hAnsi="宋体" w:eastAsia="宋体" w:cs="宋体"/>
          <w:kern w:val="0"/>
          <w:sz w:val="24"/>
          <w:szCs w:val="24"/>
        </w:rPr>
      </w:pPr>
      <w:r>
        <w:rPr>
          <w:rFonts w:hint="eastAsia" w:ascii="宋体" w:hAnsi="宋体" w:eastAsia="宋体" w:cs="宋体"/>
          <w:b/>
          <w:bCs/>
          <w:kern w:val="0"/>
          <w:sz w:val="24"/>
          <w:szCs w:val="24"/>
        </w:rPr>
        <w:t>国产产品：</w:t>
      </w:r>
      <w:r>
        <w:rPr>
          <w:rFonts w:hint="eastAsia" w:ascii="宋体" w:hAnsi="宋体" w:eastAsia="宋体" w:cs="宋体"/>
          <w:kern w:val="0"/>
          <w:sz w:val="24"/>
          <w:szCs w:val="24"/>
        </w:rPr>
        <w:t xml:space="preserve">（1）初验：货物安装调试合格后，进行试运行测试，通过试运行测试后进入试运行，试运行不少于30日历日。由乙方向甲方提供详细的试运行报告，报告中至少应详细记录各种实测、运行数据。项目试运行且通过乙方自测后提交甲方使用单位进行初验。验收内容按试运行报告，现场查看货物运行情况。初验完成后，乙方填写初验验收报告并经甲方使用单位确认。（2）整体验收即终验：该项目初验完成后，甲方根据使用单位提供的初验验收报告，组织甲方相关人员和专家组成的验收小组对系统设备进行最终验收。验收依据为本合同文本、招投标文件和国内相应的标准、规范，本合同内所列功能参数逐条验收，并符合甲方稳定安全正常使用的需求。验收合格后，甲方填写终验验收单，并由乙方向甲方提交货物所包含的所有资料，以便甲方使用单位日后管理和维护。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                                                                           </w:t>
      </w:r>
    </w:p>
    <w:p w14:paraId="2DD1DF29">
      <w:pPr>
        <w:widowControl/>
        <w:tabs>
          <w:tab w:val="left" w:pos="94"/>
        </w:tabs>
        <w:adjustRightInd w:val="0"/>
        <w:snapToGrid w:val="0"/>
        <w:spacing w:line="360" w:lineRule="auto"/>
        <w:ind w:hanging="94"/>
        <w:jc w:val="left"/>
        <w:rPr>
          <w:rFonts w:hint="eastAsia" w:ascii="宋体" w:hAnsi="宋体" w:eastAsia="宋体" w:cs="宋体"/>
          <w:b/>
          <w:kern w:val="0"/>
          <w:sz w:val="24"/>
          <w:szCs w:val="24"/>
        </w:rPr>
      </w:pPr>
      <w:r>
        <w:rPr>
          <w:rFonts w:hint="eastAsia" w:ascii="宋体" w:hAnsi="宋体" w:eastAsia="宋体" w:cs="宋体"/>
          <w:b/>
          <w:kern w:val="0"/>
          <w:sz w:val="24"/>
          <w:szCs w:val="24"/>
        </w:rPr>
        <w:t>七、付款方式及期限：</w:t>
      </w:r>
    </w:p>
    <w:p w14:paraId="75B34559">
      <w:pPr>
        <w:widowControl/>
        <w:tabs>
          <w:tab w:val="left" w:pos="94"/>
        </w:tabs>
        <w:adjustRightInd w:val="0"/>
        <w:snapToGrid w:val="0"/>
        <w:spacing w:line="360" w:lineRule="auto"/>
        <w:ind w:firstLine="240" w:firstLineChars="100"/>
        <w:jc w:val="left"/>
        <w:rPr>
          <w:rFonts w:hint="eastAsia" w:ascii="宋体" w:hAnsi="宋体" w:eastAsia="宋体" w:cs="宋体"/>
          <w:kern w:val="0"/>
          <w:sz w:val="24"/>
          <w:szCs w:val="24"/>
        </w:rPr>
      </w:pPr>
      <w:r>
        <w:rPr>
          <w:rFonts w:hint="eastAsia" w:ascii="宋体" w:hAnsi="宋体" w:eastAsia="宋体" w:cs="宋体"/>
          <w:kern w:val="0"/>
          <w:sz w:val="24"/>
          <w:szCs w:val="24"/>
        </w:rPr>
        <w:t>1.结算单位：采购人结算，在付款前必须开具全额增值税发票给采购人。</w:t>
      </w:r>
    </w:p>
    <w:p w14:paraId="7CA447A6">
      <w:pPr>
        <w:widowControl/>
        <w:tabs>
          <w:tab w:val="left" w:pos="94"/>
        </w:tabs>
        <w:adjustRightInd w:val="0"/>
        <w:snapToGrid w:val="0"/>
        <w:spacing w:line="360" w:lineRule="auto"/>
        <w:ind w:firstLine="240" w:firstLineChars="100"/>
        <w:jc w:val="left"/>
        <w:rPr>
          <w:rFonts w:hint="eastAsia" w:ascii="宋体" w:hAnsi="宋体" w:eastAsia="宋体" w:cs="宋体"/>
          <w:kern w:val="0"/>
          <w:sz w:val="24"/>
          <w:szCs w:val="24"/>
        </w:rPr>
      </w:pPr>
      <w:r>
        <w:rPr>
          <w:rFonts w:hint="eastAsia" w:ascii="宋体" w:hAnsi="宋体" w:eastAsia="宋体" w:cs="宋体"/>
          <w:kern w:val="0"/>
          <w:sz w:val="24"/>
          <w:szCs w:val="24"/>
        </w:rPr>
        <w:t>2.进口产品付款方式：进口产品付款条件：签订合同前向学校缴纳5%的履约保证金，由采购人委托外贸进出口公司开出100%不可撤销信用证，采购人与中标商签订技术协议后，采购人将全额中标金额付至采购人与指定外贸公司开立的保证金账户，外贸公司凭甲方出具的《外贸业务委托单》实施开立即期不可撤销信用证等操作;货到采购人指定地点验收合格后，100%货款凭最终用户&lt;西安科技大学&gt;签署的验收报告解付，解付需甲方指令。缴纳的5%履约保证金无质量问题一次性无息退还。</w:t>
      </w:r>
    </w:p>
    <w:p w14:paraId="06BCFC9E">
      <w:pPr>
        <w:widowControl/>
        <w:tabs>
          <w:tab w:val="left" w:pos="94"/>
        </w:tabs>
        <w:adjustRightInd w:val="0"/>
        <w:snapToGrid w:val="0"/>
        <w:spacing w:line="360" w:lineRule="auto"/>
        <w:ind w:firstLine="240" w:firstLineChars="100"/>
        <w:jc w:val="left"/>
        <w:rPr>
          <w:rFonts w:hint="eastAsia" w:ascii="宋体" w:hAnsi="宋体" w:eastAsia="宋体" w:cs="宋体"/>
          <w:kern w:val="0"/>
          <w:sz w:val="24"/>
          <w:szCs w:val="24"/>
        </w:rPr>
      </w:pPr>
      <w:r>
        <w:rPr>
          <w:rFonts w:hint="eastAsia" w:ascii="宋体" w:hAnsi="宋体" w:eastAsia="宋体" w:cs="宋体"/>
          <w:kern w:val="0"/>
          <w:sz w:val="24"/>
          <w:szCs w:val="24"/>
        </w:rPr>
        <w:t>国产产品付款方式：（1）非中小企业中标付款方式：签订合同前向学校缴纳5%的履约保证金，国内产品安装调试经学校验收合格后一次性支付全款，同时缴纳的5%履约保证金无质量问题一次性无息退还。（2）中小企业中标付款方式：签订合同前向学校缴纳5%的履约保证金，合同签订后采购人支付40%合同金额的预付款。国内产品安装调试经学校验收合格后一次性支付60%合同金额的余款，同时缴纳的5%履约保证金无质量问题一次性无息退还。</w:t>
      </w:r>
    </w:p>
    <w:p w14:paraId="551D1ED3">
      <w:pPr>
        <w:widowControl/>
        <w:tabs>
          <w:tab w:val="left" w:pos="94"/>
        </w:tabs>
        <w:adjustRightInd w:val="0"/>
        <w:snapToGrid w:val="0"/>
        <w:spacing w:line="360" w:lineRule="auto"/>
        <w:ind w:firstLine="482" w:firstLineChars="200"/>
        <w:jc w:val="left"/>
        <w:rPr>
          <w:rFonts w:hint="eastAsia" w:ascii="宋体" w:hAnsi="宋体" w:eastAsia="宋体" w:cs="宋体"/>
          <w:b/>
          <w:kern w:val="0"/>
          <w:sz w:val="24"/>
          <w:szCs w:val="24"/>
        </w:rPr>
      </w:pPr>
      <w:r>
        <w:rPr>
          <w:rFonts w:hint="eastAsia" w:ascii="宋体" w:hAnsi="宋体" w:eastAsia="宋体" w:cs="宋体"/>
          <w:b/>
          <w:kern w:val="0"/>
          <w:sz w:val="24"/>
          <w:szCs w:val="24"/>
        </w:rPr>
        <w:t>八、违约责任：</w:t>
      </w:r>
    </w:p>
    <w:p w14:paraId="21599063">
      <w:pPr>
        <w:widowControl/>
        <w:adjustRightInd w:val="0"/>
        <w:snapToGrid w:val="0"/>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1、除本合同约定的违约责任之外，双方按《中华人民共和国民法典》中的相关条款执行。 2、提供的货物不符合合同要求，或者不能满足招标文件技术要求，乙方必须无条件退换直到合格，并承担逾期供货违约责任。否则，甲方有权终止合同，乙方及制造厂商共同退还货款，并支付合同金额30%的违约金，违约金不足以弥补损失的，应继续赔偿损失。 3、除因不可抗力，乙方逾期交货，每天应按合同总价的千分之一向甲方支付违约金。如乙方逾期三十天仍未交齐货物的，甲方有权终止合同，乙方及制造厂商共同退还货款，并按合同总价30%向甲方支付违约金，违约金不足以弥补损失的，应继续赔偿损失。 4、乙方所交货物的类型、版本、参数、功能需求等在使用中如发生不符合合同约定、国家标准，或者所供货物达不到约定技术要求的，或者运行存在较大潜在风险的，导致甲方无法正常使用的，乙方应无条件全额向甲方退还已收取的合同款，并向甲方支付合同总价款30%的违约金，违约金不足以弥补损失的，应继续赔偿损失。 5、乙方所供货物在合理使用期限内，因质量或安装问题造成甲方或第三方人身伤亡、财产损失的，乙方应负责解决并承担赔偿责任，并赔偿甲方所有损失（包含但不限于律师费、诉讼费等一切损失）；乙方应按甲方要求采取退货、换货等方式处理，退换货的一切费用由乙方承担，并应退还甲方支付的合同总货款。 6、若交货后三十日历日内乙方未完成安装调试的，每逾期一日应按合同总价的千分之一向甲方支付违约金。违约金不足以弥补损失的，应继续赔偿甲方损失。</w:t>
      </w:r>
    </w:p>
    <w:p w14:paraId="0CFE869B">
      <w:pPr>
        <w:widowControl/>
        <w:adjustRightInd w:val="0"/>
        <w:snapToGrid w:val="0"/>
        <w:spacing w:line="360" w:lineRule="auto"/>
        <w:jc w:val="left"/>
        <w:rPr>
          <w:rFonts w:hint="eastAsia" w:ascii="宋体" w:hAnsi="宋体" w:eastAsia="宋体" w:cs="宋体"/>
          <w:b/>
          <w:kern w:val="0"/>
          <w:sz w:val="24"/>
          <w:szCs w:val="24"/>
        </w:rPr>
      </w:pPr>
      <w:r>
        <w:rPr>
          <w:rFonts w:hint="eastAsia" w:ascii="宋体" w:hAnsi="宋体" w:eastAsia="宋体" w:cs="宋体"/>
          <w:b/>
          <w:kern w:val="0"/>
          <w:sz w:val="24"/>
          <w:szCs w:val="24"/>
        </w:rPr>
        <w:t>九、争议解决方式：</w:t>
      </w:r>
    </w:p>
    <w:p w14:paraId="65C51818">
      <w:pPr>
        <w:widowControl/>
        <w:adjustRightInd w:val="0"/>
        <w:snapToGrid w:val="0"/>
        <w:spacing w:line="360" w:lineRule="auto"/>
        <w:ind w:firstLine="480" w:firstLineChars="200"/>
        <w:jc w:val="left"/>
        <w:rPr>
          <w:rFonts w:hint="eastAsia" w:ascii="宋体" w:hAnsi="宋体" w:eastAsia="宋体" w:cs="宋体"/>
          <w:b/>
          <w:kern w:val="0"/>
          <w:sz w:val="24"/>
          <w:szCs w:val="24"/>
        </w:rPr>
      </w:pPr>
      <w:r>
        <w:rPr>
          <w:rFonts w:hint="eastAsia" w:ascii="宋体" w:hAnsi="宋体" w:eastAsia="宋体" w:cs="宋体"/>
          <w:kern w:val="0"/>
          <w:sz w:val="24"/>
          <w:szCs w:val="24"/>
        </w:rPr>
        <w:t>本合同在履行过程中，如发生争议，双方友好协商解决，如协商不成，双方同意向甲方所在地法院起诉解决。</w:t>
      </w:r>
    </w:p>
    <w:p w14:paraId="3C0436DF">
      <w:pPr>
        <w:widowControl/>
        <w:adjustRightInd w:val="0"/>
        <w:snapToGrid w:val="0"/>
        <w:spacing w:line="360" w:lineRule="auto"/>
        <w:jc w:val="left"/>
        <w:rPr>
          <w:rFonts w:hint="eastAsia" w:ascii="宋体" w:hAnsi="宋体" w:eastAsia="宋体" w:cs="宋体"/>
          <w:b/>
          <w:kern w:val="0"/>
          <w:sz w:val="24"/>
          <w:szCs w:val="24"/>
        </w:rPr>
      </w:pPr>
      <w:r>
        <w:rPr>
          <w:rFonts w:hint="eastAsia" w:ascii="宋体" w:hAnsi="宋体" w:eastAsia="宋体" w:cs="宋体"/>
          <w:b/>
          <w:kern w:val="0"/>
          <w:sz w:val="24"/>
          <w:szCs w:val="24"/>
        </w:rPr>
        <w:t>十、其他：</w:t>
      </w:r>
    </w:p>
    <w:p w14:paraId="02CE4206">
      <w:pPr>
        <w:widowControl/>
        <w:adjustRightInd w:val="0"/>
        <w:snapToGrid w:val="0"/>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本合同自双方签字盖章之日起生效。本合同一式伍份，甲方执肆份，乙方执壹份，具有同等法律效力。 </w:t>
      </w:r>
    </w:p>
    <w:p w14:paraId="29E40AB5">
      <w:pPr>
        <w:widowControl/>
        <w:adjustRightInd w:val="0"/>
        <w:snapToGrid w:val="0"/>
        <w:spacing w:line="360" w:lineRule="auto"/>
        <w:jc w:val="left"/>
        <w:rPr>
          <w:rFonts w:hint="eastAsia" w:ascii="宋体" w:hAnsi="宋体" w:eastAsia="宋体" w:cs="宋体"/>
          <w:kern w:val="0"/>
          <w:sz w:val="24"/>
          <w:szCs w:val="24"/>
        </w:rPr>
      </w:pPr>
    </w:p>
    <w:p w14:paraId="061D6851">
      <w:pPr>
        <w:widowControl/>
        <w:adjustRightInd w:val="0"/>
        <w:snapToGrid w:val="0"/>
        <w:spacing w:line="360" w:lineRule="auto"/>
        <w:jc w:val="left"/>
        <w:rPr>
          <w:rFonts w:hint="eastAsia" w:ascii="宋体" w:hAnsi="宋体" w:eastAsia="宋体" w:cs="宋体"/>
          <w:bCs/>
          <w:kern w:val="0"/>
          <w:sz w:val="24"/>
          <w:szCs w:val="24"/>
        </w:rPr>
      </w:pPr>
      <w:r>
        <w:rPr>
          <w:rFonts w:hint="eastAsia" w:ascii="宋体" w:hAnsi="宋体" w:eastAsia="宋体" w:cs="宋体"/>
          <w:bCs/>
          <w:kern w:val="0"/>
          <w:sz w:val="24"/>
          <w:szCs w:val="24"/>
        </w:rPr>
        <w:t>需方(甲方)</w:t>
      </w:r>
      <w:r>
        <w:rPr>
          <w:rFonts w:hint="eastAsia" w:ascii="宋体" w:hAnsi="宋体" w:eastAsia="宋体" w:cs="宋体"/>
          <w:kern w:val="0"/>
          <w:sz w:val="24"/>
          <w:szCs w:val="24"/>
        </w:rPr>
        <w:t xml:space="preserve">：西安科技大学                    </w:t>
      </w:r>
      <w:r>
        <w:rPr>
          <w:rFonts w:hint="eastAsia" w:ascii="宋体" w:hAnsi="宋体" w:eastAsia="宋体" w:cs="宋体"/>
          <w:bCs/>
          <w:kern w:val="0"/>
          <w:sz w:val="24"/>
          <w:szCs w:val="24"/>
        </w:rPr>
        <w:t>供方(</w:t>
      </w:r>
      <w:r>
        <w:rPr>
          <w:rFonts w:hint="eastAsia" w:ascii="宋体" w:hAnsi="宋体" w:eastAsia="宋体" w:cs="宋体"/>
          <w:kern w:val="0"/>
          <w:sz w:val="24"/>
          <w:szCs w:val="24"/>
        </w:rPr>
        <w:t>乙方</w:t>
      </w:r>
      <w:r>
        <w:rPr>
          <w:rFonts w:hint="eastAsia" w:ascii="宋体" w:hAnsi="宋体" w:eastAsia="宋体" w:cs="宋体"/>
          <w:bCs/>
          <w:kern w:val="0"/>
          <w:sz w:val="24"/>
          <w:szCs w:val="24"/>
        </w:rPr>
        <w:t>)</w:t>
      </w:r>
      <w:r>
        <w:rPr>
          <w:rFonts w:hint="eastAsia" w:ascii="宋体" w:hAnsi="宋体" w:eastAsia="宋体" w:cs="宋体"/>
          <w:kern w:val="0"/>
          <w:sz w:val="24"/>
          <w:szCs w:val="24"/>
        </w:rPr>
        <w:t xml:space="preserve">：                       </w:t>
      </w:r>
    </w:p>
    <w:p w14:paraId="494A452D">
      <w:pPr>
        <w:widowControl/>
        <w:adjustRightInd w:val="0"/>
        <w:snapToGrid w:val="0"/>
        <w:spacing w:line="360" w:lineRule="auto"/>
        <w:jc w:val="left"/>
        <w:rPr>
          <w:rFonts w:hint="eastAsia" w:ascii="宋体" w:hAnsi="宋体" w:eastAsia="宋体" w:cs="宋体"/>
          <w:spacing w:val="-16"/>
          <w:kern w:val="0"/>
          <w:sz w:val="24"/>
          <w:szCs w:val="24"/>
        </w:rPr>
      </w:pPr>
      <w:r>
        <w:rPr>
          <w:rFonts w:hint="eastAsia" w:ascii="宋体" w:hAnsi="宋体" w:eastAsia="宋体" w:cs="宋体"/>
          <w:spacing w:val="-16"/>
          <w:kern w:val="0"/>
          <w:sz w:val="24"/>
          <w:szCs w:val="24"/>
        </w:rPr>
        <w:t xml:space="preserve">项目负责人：                                              法定代表人：    </w:t>
      </w:r>
    </w:p>
    <w:p w14:paraId="1444C333">
      <w:pPr>
        <w:widowControl/>
        <w:adjustRightInd w:val="0"/>
        <w:snapToGrid w:val="0"/>
        <w:spacing w:line="360" w:lineRule="auto"/>
        <w:jc w:val="left"/>
        <w:rPr>
          <w:rFonts w:hint="eastAsia" w:ascii="宋体" w:hAnsi="宋体" w:eastAsia="宋体" w:cs="宋体"/>
          <w:spacing w:val="-16"/>
          <w:kern w:val="0"/>
          <w:sz w:val="24"/>
          <w:szCs w:val="24"/>
        </w:rPr>
      </w:pPr>
    </w:p>
    <w:p w14:paraId="6036FF0E">
      <w:pPr>
        <w:widowControl/>
        <w:adjustRightInd w:val="0"/>
        <w:snapToGrid w:val="0"/>
        <w:spacing w:line="360" w:lineRule="auto"/>
        <w:jc w:val="left"/>
        <w:rPr>
          <w:rFonts w:hint="eastAsia" w:ascii="宋体" w:hAnsi="宋体" w:eastAsia="宋体" w:cs="宋体"/>
          <w:spacing w:val="-16"/>
          <w:kern w:val="0"/>
          <w:sz w:val="24"/>
          <w:szCs w:val="24"/>
        </w:rPr>
      </w:pPr>
      <w:r>
        <w:rPr>
          <w:rFonts w:hint="eastAsia" w:ascii="宋体" w:hAnsi="宋体" w:eastAsia="宋体" w:cs="宋体"/>
          <w:kern w:val="0"/>
          <w:sz w:val="24"/>
          <w:szCs w:val="24"/>
        </w:rPr>
        <w:t>授权代表</w:t>
      </w:r>
      <w:r>
        <w:rPr>
          <w:rFonts w:hint="eastAsia" w:ascii="宋体" w:hAnsi="宋体" w:eastAsia="宋体" w:cs="宋体"/>
          <w:spacing w:val="-16"/>
          <w:kern w:val="0"/>
          <w:sz w:val="24"/>
          <w:szCs w:val="24"/>
        </w:rPr>
        <w:t xml:space="preserve">：  </w:t>
      </w:r>
      <w:r>
        <w:rPr>
          <w:rFonts w:hint="eastAsia" w:ascii="宋体" w:hAnsi="宋体" w:eastAsia="宋体" w:cs="宋体"/>
          <w:kern w:val="0"/>
          <w:sz w:val="24"/>
          <w:szCs w:val="24"/>
        </w:rPr>
        <w:t xml:space="preserve">                       </w:t>
      </w:r>
      <w:r>
        <w:rPr>
          <w:rFonts w:hint="eastAsia" w:ascii="宋体" w:hAnsi="宋体" w:eastAsia="宋体" w:cs="宋体"/>
          <w:spacing w:val="-16"/>
          <w:kern w:val="0"/>
          <w:sz w:val="24"/>
          <w:szCs w:val="24"/>
        </w:rPr>
        <w:t xml:space="preserve">   　        </w:t>
      </w:r>
      <w:r>
        <w:rPr>
          <w:rFonts w:hint="eastAsia" w:ascii="宋体" w:hAnsi="宋体" w:eastAsia="宋体" w:cs="宋体"/>
          <w:kern w:val="0"/>
          <w:sz w:val="24"/>
          <w:szCs w:val="24"/>
        </w:rPr>
        <w:t>授权代表</w:t>
      </w:r>
      <w:r>
        <w:rPr>
          <w:rFonts w:hint="eastAsia" w:ascii="宋体" w:hAnsi="宋体" w:eastAsia="宋体" w:cs="宋体"/>
          <w:spacing w:val="-16"/>
          <w:kern w:val="0"/>
          <w:sz w:val="24"/>
          <w:szCs w:val="24"/>
        </w:rPr>
        <w:t>：</w:t>
      </w:r>
    </w:p>
    <w:p w14:paraId="1F9294F3">
      <w:pPr>
        <w:widowControl/>
        <w:adjustRightInd w:val="0"/>
        <w:snapToGrid w:val="0"/>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电话：                                      电    话： </w:t>
      </w:r>
    </w:p>
    <w:p w14:paraId="72DBBA3F">
      <w:pPr>
        <w:widowControl/>
        <w:adjustRightInd w:val="0"/>
        <w:snapToGrid w:val="0"/>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传真：                                      传    真： </w:t>
      </w:r>
    </w:p>
    <w:p w14:paraId="1DA74CD4">
      <w:pPr>
        <w:widowControl/>
        <w:adjustRightInd w:val="0"/>
        <w:snapToGrid w:val="0"/>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开户银行：                                  开户银行： </w:t>
      </w:r>
    </w:p>
    <w:p w14:paraId="2F44BE63">
      <w:pPr>
        <w:widowControl/>
        <w:adjustRightInd w:val="0"/>
        <w:snapToGrid w:val="0"/>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帐号：                                       帐    号：   </w:t>
      </w:r>
    </w:p>
    <w:p w14:paraId="056632FB">
      <w:pPr>
        <w:widowControl/>
        <w:adjustRightInd w:val="0"/>
        <w:snapToGrid w:val="0"/>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邮政编码：                                   邮政编码： </w:t>
      </w:r>
    </w:p>
    <w:p w14:paraId="0BAB91AE">
      <w:pPr>
        <w:spacing w:line="360" w:lineRule="auto"/>
        <w:rPr>
          <w:rFonts w:hint="eastAsia" w:ascii="宋体" w:hAnsi="宋体" w:eastAsia="宋体" w:cs="宋体"/>
          <w:sz w:val="24"/>
          <w:szCs w:val="24"/>
        </w:rPr>
      </w:pPr>
      <w:r>
        <w:rPr>
          <w:rFonts w:hint="eastAsia" w:ascii="宋体" w:hAnsi="宋体" w:eastAsia="宋体" w:cs="宋体"/>
          <w:kern w:val="0"/>
          <w:sz w:val="24"/>
          <w:szCs w:val="24"/>
        </w:rPr>
        <w:t>签约时间：20**年  月  日                     签约时间：20**年  月  日</w:t>
      </w:r>
    </w:p>
    <w:p w14:paraId="21A43F6E">
      <w:pPr>
        <w:rPr>
          <w:color w:val="auto"/>
          <w:highlight w:val="none"/>
        </w:rPr>
      </w:pP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 w:name="MingLiU_HKSCS">
    <w:altName w:val="MingLiU-ExtB"/>
    <w:panose1 w:val="00000000000000000000"/>
    <w:charset w:val="88"/>
    <w:family w:val="roman"/>
    <w:pitch w:val="default"/>
    <w:sig w:usb0="00000000" w:usb1="00000000" w:usb2="00000016" w:usb3="00000000" w:csb0="00100001" w:csb1="00000000"/>
  </w:font>
  <w:font w:name="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0F41C0">
    <w:pPr>
      <w:pStyle w:val="1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6632418">
                          <w:pPr>
                            <w:pStyle w:val="10"/>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56632418">
                    <w:pPr>
                      <w:pStyle w:val="10"/>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0AD87462"/>
    <w:rsid w:val="10AC5218"/>
    <w:rsid w:val="264F0079"/>
    <w:rsid w:val="36DE2219"/>
    <w:rsid w:val="403B217E"/>
    <w:rsid w:val="58BC239B"/>
    <w:rsid w:val="64DF3A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1" w:semiHidden="0" w:name="heading 2"/>
    <w:lsdException w:qFormat="1" w:unhideWhenUsed="0" w:uiPriority="1"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wordWrap w:val="0"/>
      <w:autoSpaceDE w:val="0"/>
      <w:autoSpaceDN w:val="0"/>
      <w:jc w:val="both"/>
    </w:pPr>
    <w:rPr>
      <w:rFonts w:ascii="宋体" w:hAnsi="Times New Roman" w:eastAsia="宋体" w:cs="Times New Roman"/>
      <w:kern w:val="2"/>
      <w:szCs w:val="24"/>
      <w:lang w:val="en-US" w:eastAsia="ko-KR" w:bidi="ar-SA"/>
    </w:rPr>
  </w:style>
  <w:style w:type="paragraph" w:styleId="2">
    <w:name w:val="heading 2"/>
    <w:basedOn w:val="1"/>
    <w:next w:val="1"/>
    <w:qFormat/>
    <w:uiPriority w:val="1"/>
    <w:pPr>
      <w:ind w:left="501" w:hanging="401"/>
      <w:outlineLvl w:val="1"/>
    </w:pPr>
    <w:rPr>
      <w:rFonts w:ascii="Microsoft JhengHei" w:hAnsi="Microsoft JhengHei" w:eastAsia="Microsoft JhengHei" w:cs="Microsoft JhengHei"/>
      <w:b/>
      <w:bCs/>
      <w:szCs w:val="32"/>
    </w:rPr>
  </w:style>
  <w:style w:type="paragraph" w:styleId="3">
    <w:name w:val="heading 3"/>
    <w:basedOn w:val="1"/>
    <w:next w:val="1"/>
    <w:qFormat/>
    <w:uiPriority w:val="1"/>
    <w:pPr>
      <w:ind w:left="726" w:hanging="489"/>
      <w:outlineLvl w:val="2"/>
    </w:pPr>
    <w:rPr>
      <w:rFonts w:ascii="宋体" w:hAnsi="宋体" w:eastAsia="宋体" w:cs="宋体"/>
      <w:sz w:val="28"/>
      <w:szCs w:val="28"/>
    </w:rPr>
  </w:style>
  <w:style w:type="paragraph" w:styleId="4">
    <w:name w:val="heading 4"/>
    <w:basedOn w:val="1"/>
    <w:next w:val="1"/>
    <w:qFormat/>
    <w:uiPriority w:val="99"/>
    <w:pPr>
      <w:keepNext/>
      <w:keepLines/>
      <w:spacing w:before="280" w:after="290" w:line="376" w:lineRule="auto"/>
      <w:outlineLvl w:val="3"/>
    </w:pPr>
    <w:rPr>
      <w:rFonts w:ascii="Arial" w:hAnsi="Arial" w:eastAsia="黑体"/>
      <w:b/>
      <w:bCs/>
      <w:sz w:val="28"/>
      <w:szCs w:val="28"/>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wordWrap/>
      <w:autoSpaceDE/>
      <w:autoSpaceDN/>
      <w:ind w:firstLine="420" w:firstLineChars="200"/>
    </w:pPr>
    <w:rPr>
      <w:rFonts w:ascii="Times New Roman"/>
      <w:sz w:val="21"/>
    </w:rPr>
  </w:style>
  <w:style w:type="paragraph" w:styleId="6">
    <w:name w:val="Body Text"/>
    <w:basedOn w:val="1"/>
    <w:qFormat/>
    <w:uiPriority w:val="1"/>
    <w:rPr>
      <w:rFonts w:ascii="宋体" w:hAnsi="宋体" w:eastAsia="宋体" w:cs="宋体"/>
      <w:sz w:val="21"/>
      <w:szCs w:val="21"/>
    </w:rPr>
  </w:style>
  <w:style w:type="paragraph" w:styleId="7">
    <w:name w:val="Body Text Indent"/>
    <w:basedOn w:val="1"/>
    <w:qFormat/>
    <w:uiPriority w:val="0"/>
    <w:pPr>
      <w:spacing w:after="120"/>
      <w:ind w:left="420" w:leftChars="200"/>
    </w:pPr>
  </w:style>
  <w:style w:type="paragraph" w:styleId="8">
    <w:name w:val="Plain Text"/>
    <w:basedOn w:val="1"/>
    <w:qFormat/>
    <w:uiPriority w:val="0"/>
    <w:rPr>
      <w:rFonts w:ascii="宋体" w:hAnsi="Courier New"/>
    </w:rPr>
  </w:style>
  <w:style w:type="paragraph" w:styleId="9">
    <w:name w:val="Body Text Indent 2"/>
    <w:basedOn w:val="1"/>
    <w:qFormat/>
    <w:uiPriority w:val="0"/>
    <w:pPr>
      <w:ind w:left="555"/>
    </w:pPr>
    <w:rPr>
      <w:sz w:val="28"/>
      <w:szCs w:val="20"/>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2">
    <w:name w:val="Body Text First Indent 2"/>
    <w:basedOn w:val="7"/>
    <w:qFormat/>
    <w:uiPriority w:val="0"/>
    <w:pPr>
      <w:spacing w:after="0"/>
      <w:ind w:left="0" w:leftChars="0" w:firstLine="420" w:firstLineChars="200"/>
    </w:pPr>
  </w:style>
  <w:style w:type="paragraph" w:customStyle="1" w:styleId="15">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16">
    <w:name w:val="List Paragraph"/>
    <w:basedOn w:val="1"/>
    <w:qFormat/>
    <w:uiPriority w:val="1"/>
    <w:pPr>
      <w:ind w:left="100" w:firstLine="420"/>
    </w:pPr>
    <w:rPr>
      <w:rFonts w:ascii="宋体" w:hAnsi="宋体" w:eastAsia="宋体" w:cs="宋体"/>
    </w:rPr>
  </w:style>
  <w:style w:type="paragraph" w:customStyle="1" w:styleId="17">
    <w:name w:val="Table Paragraph"/>
    <w:basedOn w:val="1"/>
    <w:qFormat/>
    <w:uiPriority w:val="1"/>
    <w:rPr>
      <w:rFonts w:ascii="宋体" w:hAnsi="宋体" w:eastAsia="宋体" w:cs="宋体"/>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6236</Words>
  <Characters>6692</Characters>
  <Lines>0</Lines>
  <Paragraphs>0</Paragraphs>
  <TotalTime>0</TotalTime>
  <ScaleCrop>false</ScaleCrop>
  <LinksUpToDate>false</LinksUpToDate>
  <CharactersWithSpaces>6840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2024-09-29T04:12:00Z</dcterms:created>
  <dc:creator>admin</dc:creator>
  <cp:lastModifiedBy>puppet</cp:lastModifiedBy>
  <dcterms:modified xsi:type="dcterms:W3CDTF">2025-09-29T14:27:57Z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1C5C188EE19943F0A7F30E53E3656961_12</vt:lpwstr>
  </property>
  <property fmtid="{D5CDD505-2E9C-101B-9397-08002B2CF9AE}" pid="4" name="KSOTemplateDocerSaveRecord">
    <vt:lpwstr>eyJoZGlkIjoiOWZlOTI0MzU1MTE4MDlkNWMzNDM3YTg4ZmE1ODFmZDgiLCJ1c2VySWQiOiI2NjUzNDI1ODcifQ==</vt:lpwstr>
  </property>
</Properties>
</file>