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版本号：KY2026-1-11220260130002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临潼校区14栋建筑物消防设施设备更换维修项目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KY2026-1-112</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临潼校区14栋建筑物消防设施设备更换维修项目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KY2026-1-112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临潼校区14栋建筑物消防设施设备更换维修项目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临潼校区14栋建筑物消防设施设备更换维修项目，1项，具体详见磋商文件第3章。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采购包1（临潼校区14栋建筑物消防设施设备更换维修项目）：属于专门面向中小企业采购。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5、承诺函：提供具有履行合同所必需的设备和专业技术能力的承诺函。</w:t>
      </w:r>
    </w:p>
    <w:p>
      <w:pPr>
        <w:pStyle w:val="null3"/>
      </w:pPr>
      <w:r>
        <w:rPr>
          <w:rFonts w:ascii="仿宋_GB2312" w:hAnsi="仿宋_GB2312" w:cs="仿宋_GB2312" w:eastAsia="仿宋_GB2312"/>
        </w:rPr>
        <w:t>6、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8、供应商资格要求：供应商须具备消防设施工程专业承包二级以上（含二级）资质及有效的安全生产许可证。</w:t>
      </w:r>
    </w:p>
    <w:p>
      <w:pPr>
        <w:pStyle w:val="null3"/>
      </w:pPr>
      <w:r>
        <w:rPr>
          <w:rFonts w:ascii="仿宋_GB2312" w:hAnsi="仿宋_GB2312" w:cs="仿宋_GB2312" w:eastAsia="仿宋_GB2312"/>
        </w:rPr>
        <w:t>9、项目经理资格要求：拟派项目经理须具备机电工程专业二级以上（含二级）注册建造师证书、安全生产考核合格证，在本单位注册且无在建工程（承诺书）。</w:t>
      </w:r>
    </w:p>
    <w:p>
      <w:pPr>
        <w:pStyle w:val="null3"/>
      </w:pPr>
      <w:r>
        <w:rPr>
          <w:rFonts w:ascii="仿宋_GB2312" w:hAnsi="仿宋_GB2312" w:cs="仿宋_GB2312" w:eastAsia="仿宋_GB2312"/>
        </w:rPr>
        <w:t>10、供应商及项目经理基本信息查询：供应商及项目经理基本信息在“陕西省住房和城乡建设厅”（https://js.shaanxi.gov.cn/）或全国建筑市场监管公共服务平台（https://jzsc.mohurd.gov.cn/）可查询。</w:t>
      </w:r>
    </w:p>
    <w:p>
      <w:pPr>
        <w:pStyle w:val="null3"/>
      </w:pPr>
      <w:r>
        <w:rPr>
          <w:rFonts w:ascii="仿宋_GB2312" w:hAnsi="仿宋_GB2312" w:cs="仿宋_GB2312" w:eastAsia="仿宋_GB2312"/>
        </w:rPr>
        <w:t>11、中小企业声明函：本项目专门面向中小企业采购，供应商应为中小企业或监狱企业或残疾人福利性单位，并提供声明函。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说明：1、供应商成交后凭成交通知书向采购人缴纳成交金额的3%作为履约保证金，待合同履约完毕后无息退还。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代理服务费收费标准：1、交费金额参照国家计委颁布的《招标代理服务收费管理暂行办法》（计价格[2002]1980号）及发改办价格[2003]857号文件规定标准的77.5%收取。 2.本项目代理服务费按工程计取。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踏勘时间：2026-02-03 10:00:00</w:t>
            </w:r>
          </w:p>
          <w:p>
            <w:pPr>
              <w:pStyle w:val="null3"/>
              <w:ind w:firstLine="975"/>
            </w:pPr>
            <w:r>
              <w:rPr>
                <w:rFonts w:ascii="仿宋_GB2312" w:hAnsi="仿宋_GB2312" w:cs="仿宋_GB2312" w:eastAsia="仿宋_GB2312"/>
              </w:rPr>
              <w:t>踏勘地点：西安科技大学骊山校园综合楼门口。备注： 1、凡因自身原因未在规定时间内进行踏勘导致对施工现场、施工环境、市场行情等了解不清而造成的后果和风险，由供应商自行承担。 2、踏勘相关费用及安全由供应商自行承担。 3、踏勘时各供应商有疑问可以在现场提出，由采购人当场解答，否则视为供应商再无疑义。</w:t>
            </w:r>
          </w:p>
          <w:p>
            <w:pPr>
              <w:pStyle w:val="null3"/>
              <w:ind w:firstLine="975"/>
            </w:pPr>
            <w:r>
              <w:rPr>
                <w:rFonts w:ascii="仿宋_GB2312" w:hAnsi="仿宋_GB2312" w:cs="仿宋_GB2312" w:eastAsia="仿宋_GB2312"/>
              </w:rPr>
              <w:t>联系人：余老师</w:t>
            </w:r>
          </w:p>
          <w:p>
            <w:pPr>
              <w:pStyle w:val="null3"/>
              <w:ind w:firstLine="975"/>
            </w:pPr>
            <w:r>
              <w:rPr>
                <w:rFonts w:ascii="仿宋_GB2312" w:hAnsi="仿宋_GB2312" w:cs="仿宋_GB2312" w:eastAsia="仿宋_GB2312"/>
              </w:rPr>
              <w:t>联系电话号码：18209271976</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一、按国家有关验收要求，工程质量达到合格标准。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联系人：汪涛、韩婷</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14栋建筑物消防设施设备更换维修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标的名称：14栋建筑物消防设施设备更换维修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1、项目概况：</w:t>
            </w:r>
          </w:p>
          <w:p>
            <w:pPr>
              <w:pStyle w:val="null3"/>
              <w:ind w:firstLine="480"/>
              <w:jc w:val="left"/>
            </w:pPr>
            <w:r>
              <w:rPr>
                <w:rFonts w:ascii="仿宋_GB2312" w:hAnsi="仿宋_GB2312" w:cs="仿宋_GB2312" w:eastAsia="仿宋_GB2312"/>
                <w:sz w:val="24"/>
              </w:rPr>
              <w:t>为提高学校消防安全建设水平，切实有效维护广大师生的人身财产安全，本次对西安科技大学临潼校区两校区部分建筑物消防设备、消防系统进行维修更换。</w:t>
            </w:r>
          </w:p>
          <w:p>
            <w:pPr>
              <w:pStyle w:val="null3"/>
              <w:jc w:val="left"/>
            </w:pPr>
            <w:r>
              <w:rPr>
                <w:rFonts w:ascii="仿宋_GB2312" w:hAnsi="仿宋_GB2312" w:cs="仿宋_GB2312" w:eastAsia="仿宋_GB2312"/>
                <w:sz w:val="24"/>
              </w:rPr>
              <w:t>维修更换内容：临潼校区骊山校园</w:t>
            </w:r>
            <w:r>
              <w:rPr>
                <w:rFonts w:ascii="仿宋_GB2312" w:hAnsi="仿宋_GB2312" w:cs="仿宋_GB2312" w:eastAsia="仿宋_GB2312"/>
                <w:sz w:val="24"/>
              </w:rPr>
              <w:t>10栋建筑、秦汉校园4栋建筑，共计14栋建筑物（其中骊山校园煤炭科技中心建筑面积23.01㎡、高度24.8米；）楼内的消防设备设施、消防系统（包含消火栓头、消火栓启泵按钮、室外消火栓、启泵线路铺设、火灾自动报警系统及设备、应急照明及疏散指示系统及设备、排烟设施、防火封堵、防火门、防火卷帘等设备的更换和维修），预算金额240万元。</w:t>
            </w:r>
          </w:p>
          <w:p>
            <w:pPr>
              <w:pStyle w:val="null3"/>
              <w:jc w:val="left"/>
            </w:pPr>
            <w:r>
              <w:rPr>
                <w:rFonts w:ascii="仿宋_GB2312" w:hAnsi="仿宋_GB2312" w:cs="仿宋_GB2312" w:eastAsia="仿宋_GB2312"/>
                <w:sz w:val="24"/>
                <w:b/>
              </w:rPr>
              <w:t>2、采购（招标）范围</w:t>
            </w:r>
          </w:p>
          <w:p>
            <w:pPr>
              <w:pStyle w:val="null3"/>
              <w:ind w:firstLine="480"/>
              <w:jc w:val="left"/>
            </w:pPr>
            <w:r>
              <w:rPr>
                <w:rFonts w:ascii="仿宋_GB2312" w:hAnsi="仿宋_GB2312" w:cs="仿宋_GB2312" w:eastAsia="仿宋_GB2312"/>
                <w:sz w:val="24"/>
              </w:rPr>
              <w:t>本项目为临潼校区</w:t>
            </w:r>
            <w:r>
              <w:rPr>
                <w:rFonts w:ascii="仿宋_GB2312" w:hAnsi="仿宋_GB2312" w:cs="仿宋_GB2312" w:eastAsia="仿宋_GB2312"/>
                <w:sz w:val="24"/>
              </w:rPr>
              <w:t>14栋建筑物消防设施设备更换维修项目。</w:t>
            </w:r>
          </w:p>
          <w:p>
            <w:pPr>
              <w:pStyle w:val="null3"/>
              <w:jc w:val="left"/>
            </w:pPr>
            <w:r>
              <w:rPr>
                <w:rFonts w:ascii="仿宋_GB2312" w:hAnsi="仿宋_GB2312" w:cs="仿宋_GB2312" w:eastAsia="仿宋_GB2312"/>
                <w:sz w:val="24"/>
                <w:b/>
              </w:rPr>
              <w:t>3、主要关键设备特殊需求表：</w:t>
            </w:r>
          </w:p>
          <w:tbl>
            <w:tblPr>
              <w:tblInd w:type="dxa" w:w="150"/>
              <w:tblBorders>
                <w:top w:val="none" w:color="000000" w:sz="4"/>
                <w:left w:val="none" w:color="000000" w:sz="4"/>
                <w:bottom w:val="none" w:color="000000" w:sz="4"/>
                <w:right w:val="none" w:color="000000" w:sz="4"/>
                <w:insideH w:val="none"/>
                <w:insideV w:val="none"/>
              </w:tblBorders>
            </w:tblPr>
            <w:tblGrid>
              <w:gridCol w:w="347"/>
              <w:gridCol w:w="2205"/>
            </w:tblGrid>
            <w:tr>
              <w:tc>
                <w:tcPr>
                  <w:tcW w:type="dxa" w:w="347"/>
                  <w:tcBorders>
                    <w:top w:val="singl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b/>
                    </w:rPr>
                    <w:t>序号</w:t>
                  </w:r>
                </w:p>
              </w:tc>
              <w:tc>
                <w:tcPr>
                  <w:tcW w:type="dxa" w:w="2205"/>
                  <w:tcBorders>
                    <w:top w:val="singl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b/>
                    </w:rPr>
                    <w:t>投标主要产品</w:t>
                  </w:r>
                </w:p>
              </w:tc>
            </w:tr>
            <w:tr>
              <w:tc>
                <w:tcPr>
                  <w:tcW w:type="dxa" w:w="347"/>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1</w:t>
                  </w:r>
                </w:p>
              </w:tc>
              <w:tc>
                <w:tcPr>
                  <w:tcW w:type="dxa" w:w="220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消防报警主机</w:t>
                  </w:r>
                </w:p>
                <w:p>
                  <w:pPr>
                    <w:pStyle w:val="null3"/>
                    <w:jc w:val="left"/>
                  </w:pPr>
                  <w:r>
                    <w:rPr>
                      <w:rFonts w:ascii="仿宋_GB2312" w:hAnsi="仿宋_GB2312" w:cs="仿宋_GB2312" w:eastAsia="仿宋_GB2312"/>
                      <w:sz w:val="24"/>
                    </w:rPr>
                    <w:t>1.名称:火灾报警控制器/消防联动控制器（1200点）。</w:t>
                  </w:r>
                </w:p>
                <w:p>
                  <w:pPr>
                    <w:pStyle w:val="null3"/>
                    <w:jc w:val="left"/>
                  </w:pPr>
                  <w:r>
                    <w:rPr>
                      <w:rFonts w:ascii="仿宋_GB2312" w:hAnsi="仿宋_GB2312" w:cs="仿宋_GB2312" w:eastAsia="仿宋_GB2312"/>
                      <w:sz w:val="24"/>
                    </w:rPr>
                    <w:t>2.类型:1台立柜式。</w:t>
                  </w:r>
                </w:p>
                <w:p>
                  <w:pPr>
                    <w:pStyle w:val="null3"/>
                    <w:jc w:val="left"/>
                  </w:pPr>
                  <w:r>
                    <w:rPr>
                      <w:rFonts w:ascii="仿宋_GB2312" w:hAnsi="仿宋_GB2312" w:cs="仿宋_GB2312" w:eastAsia="仿宋_GB2312"/>
                      <w:sz w:val="24"/>
                    </w:rPr>
                    <w:t>3.规格及属性:可以配置1-16回路，含3200个地址报警点和联动点，7寸液晶屏，带打印功能，含控制器系统电源和一路联动电源，不含备电，需单独购买12V24AH蓄电池一组。</w:t>
                  </w:r>
                </w:p>
                <w:p>
                  <w:pPr>
                    <w:pStyle w:val="null3"/>
                    <w:jc w:val="left"/>
                  </w:pPr>
                  <w:r>
                    <w:rPr>
                      <w:rFonts w:ascii="仿宋_GB2312" w:hAnsi="仿宋_GB2312" w:cs="仿宋_GB2312" w:eastAsia="仿宋_GB2312"/>
                      <w:sz w:val="24"/>
                    </w:rPr>
                    <w:t>4、本次主机配置：6回路、1200点；两套2U入柜式8路多线控制盘；一套4U入柜式128路总线联动控制盘；消防联动电源，2U入柜内置式,含备电、蓄电池;12V24AH蓄电池两组;30U立式机柜2个（1台用于火灾报警主机、1台广播、电话 ）、550mm宽×480mm厚×1770mm高。</w:t>
                  </w:r>
                </w:p>
              </w:tc>
            </w:tr>
            <w:tr>
              <w:tc>
                <w:tcPr>
                  <w:tcW w:type="dxa" w:w="347"/>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2</w:t>
                  </w:r>
                </w:p>
              </w:tc>
              <w:tc>
                <w:tcPr>
                  <w:tcW w:type="dxa" w:w="220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消防控制室图形显示装置</w:t>
                  </w:r>
                  <w:r>
                    <w:rPr>
                      <w:rFonts w:ascii="仿宋_GB2312" w:hAnsi="仿宋_GB2312" w:cs="仿宋_GB2312" w:eastAsia="仿宋_GB2312"/>
                      <w:sz w:val="24"/>
                    </w:rPr>
                    <w:t>1套：琴台柜式，专用工控机，含软件，含操作系统，含键盘鼠标。</w:t>
                  </w:r>
                </w:p>
              </w:tc>
            </w:tr>
            <w:tr>
              <w:tc>
                <w:tcPr>
                  <w:tcW w:type="dxa" w:w="347"/>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3</w:t>
                  </w:r>
                </w:p>
              </w:tc>
              <w:tc>
                <w:tcPr>
                  <w:tcW w:type="dxa" w:w="220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消防电话总机</w:t>
                  </w:r>
                  <w:r>
                    <w:rPr>
                      <w:rFonts w:ascii="仿宋_GB2312" w:hAnsi="仿宋_GB2312" w:cs="仿宋_GB2312" w:eastAsia="仿宋_GB2312"/>
                      <w:sz w:val="24"/>
                    </w:rPr>
                    <w:t>1台：总线制，入柜式1U，无极性二总线，系统最大容量126门。</w:t>
                  </w:r>
                </w:p>
              </w:tc>
            </w:tr>
            <w:tr>
              <w:tc>
                <w:tcPr>
                  <w:tcW w:type="dxa" w:w="347"/>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4</w:t>
                  </w:r>
                </w:p>
              </w:tc>
              <w:tc>
                <w:tcPr>
                  <w:tcW w:type="dxa" w:w="220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消防应急广播主机</w:t>
                  </w:r>
                  <w:r>
                    <w:rPr>
                      <w:rFonts w:ascii="仿宋_GB2312" w:hAnsi="仿宋_GB2312" w:cs="仿宋_GB2312" w:eastAsia="仿宋_GB2312"/>
                      <w:sz w:val="24"/>
                    </w:rPr>
                    <w:t>1套：含1套入柜式3U广播控制盘，包含广播分配盘，音源，电子录音及监听功能，需DC24V供电。1台600W功率放大器。</w:t>
                  </w:r>
                </w:p>
              </w:tc>
            </w:tr>
            <w:tr>
              <w:tc>
                <w:tcPr>
                  <w:tcW w:type="dxa" w:w="347"/>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5</w:t>
                  </w:r>
                </w:p>
              </w:tc>
              <w:tc>
                <w:tcPr>
                  <w:tcW w:type="dxa" w:w="220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消防报警连接线</w:t>
                  </w:r>
                  <w:r>
                    <w:rPr>
                      <w:rFonts w:ascii="仿宋_GB2312" w:hAnsi="仿宋_GB2312" w:cs="仿宋_GB2312" w:eastAsia="仿宋_GB2312"/>
                      <w:sz w:val="24"/>
                    </w:rPr>
                    <w:t>ZR-RVS-2*1.5、应急照明及疏散指示电源线WDZN-BYJ-2.5、消防电话线ZR-RVVP-2*1.0、消火栓直接启泵线NH-KVV-4*2.5、排烟风机及消防泵联动控制线NH-KVV-14*1.5。</w:t>
                  </w:r>
                </w:p>
              </w:tc>
            </w:tr>
            <w:tr>
              <w:tc>
                <w:tcPr>
                  <w:tcW w:type="dxa" w:w="347"/>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6</w:t>
                  </w:r>
                </w:p>
              </w:tc>
              <w:tc>
                <w:tcPr>
                  <w:tcW w:type="dxa" w:w="220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疏散指示灯、安全出口指示灯、应急照明灯规格及属性</w:t>
                  </w:r>
                  <w:r>
                    <w:rPr>
                      <w:rFonts w:ascii="仿宋_GB2312" w:hAnsi="仿宋_GB2312" w:cs="仿宋_GB2312" w:eastAsia="仿宋_GB2312"/>
                      <w:sz w:val="24"/>
                    </w:rPr>
                    <w:t>:电压24-220v灯具,功率3W,灯具应急时间不少于90min等。</w:t>
                  </w:r>
                </w:p>
              </w:tc>
            </w:tr>
            <w:tr>
              <w:tc>
                <w:tcPr>
                  <w:tcW w:type="dxa" w:w="347"/>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7</w:t>
                  </w:r>
                </w:p>
              </w:tc>
              <w:tc>
                <w:tcPr>
                  <w:tcW w:type="dxa" w:w="220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点型光电感烟火灾探测器、点型光电感温火灾探测器、消火栓按钮、手动火灾报警按钮带电话插孔、声光警报器、输入模块、输入</w:t>
                  </w:r>
                  <w:r>
                    <w:rPr>
                      <w:rFonts w:ascii="仿宋_GB2312" w:hAnsi="仿宋_GB2312" w:cs="仿宋_GB2312" w:eastAsia="仿宋_GB2312"/>
                      <w:sz w:val="24"/>
                    </w:rPr>
                    <w:t>/输出模块、隔离模块、模块箱、广播扬声器、消防电话分机，楼层显示器，以上均需与主机相匹配。</w:t>
                  </w:r>
                </w:p>
              </w:tc>
            </w:tr>
            <w:tr>
              <w:tc>
                <w:tcPr>
                  <w:tcW w:type="dxa" w:w="347"/>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8</w:t>
                  </w:r>
                </w:p>
              </w:tc>
              <w:tc>
                <w:tcPr>
                  <w:tcW w:type="dxa" w:w="220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防火门、防火窗、防火卷帘：钢质甲级防火门、防护窗、乙级木质防火门、特级防火卷帘。</w:t>
                  </w:r>
                </w:p>
              </w:tc>
            </w:tr>
            <w:tr>
              <w:tc>
                <w:tcPr>
                  <w:tcW w:type="dxa" w:w="347"/>
                  <w:tcBorders>
                    <w:top w:val="none" w:color="000000" w:sz="4"/>
                    <w:left w:val="single" w:color="000000" w:sz="4"/>
                    <w:bottom w:val="single" w:color="000000" w:sz="4"/>
                    <w:right w:val="single" w:color="000000" w:sz="4"/>
                  </w:tcBorders>
                  <w:tcMar>
                    <w:top w:type="dxa" w:w="0"/>
                    <w:left w:type="dxa" w:w="45"/>
                    <w:bottom w:type="dxa" w:w="0"/>
                    <w:right w:type="dxa" w:w="45"/>
                  </w:tcMar>
                  <w:vAlign w:val="top"/>
                </w:tcPr>
                <w:p>
                  <w:pPr>
                    <w:pStyle w:val="null3"/>
                    <w:jc w:val="center"/>
                  </w:pPr>
                  <w:r>
                    <w:rPr>
                      <w:rFonts w:ascii="仿宋_GB2312" w:hAnsi="仿宋_GB2312" w:cs="仿宋_GB2312" w:eastAsia="仿宋_GB2312"/>
                      <w:sz w:val="24"/>
                    </w:rPr>
                    <w:t>备注</w:t>
                  </w:r>
                </w:p>
              </w:tc>
              <w:tc>
                <w:tcPr>
                  <w:tcW w:type="dxa" w:w="2205"/>
                  <w:tcBorders>
                    <w:top w:val="none" w:color="000000" w:sz="4"/>
                    <w:left w:val="none" w:color="000000" w:sz="4"/>
                    <w:bottom w:val="single" w:color="000000" w:sz="4"/>
                    <w:right w:val="single" w:color="000000" w:sz="4"/>
                  </w:tcBorders>
                  <w:tcMar>
                    <w:top w:type="dxa" w:w="0"/>
                    <w:left w:type="dxa" w:w="45"/>
                    <w:bottom w:type="dxa" w:w="0"/>
                    <w:right w:type="dxa" w:w="45"/>
                  </w:tcMar>
                  <w:vAlign w:val="top"/>
                </w:tcPr>
                <w:p>
                  <w:pPr>
                    <w:pStyle w:val="null3"/>
                    <w:jc w:val="left"/>
                  </w:pPr>
                  <w:r>
                    <w:rPr>
                      <w:rFonts w:ascii="仿宋_GB2312" w:hAnsi="仿宋_GB2312" w:cs="仿宋_GB2312" w:eastAsia="仿宋_GB2312"/>
                      <w:sz w:val="24"/>
                    </w:rPr>
                    <w:t>为确保维修或更换相关设备与原消防系统充分匹配，正常联动，此类产品品牌型号均与原有设备保持配套兼容。（原有设备品牌详见工程量清单）</w:t>
                  </w:r>
                </w:p>
              </w:tc>
            </w:tr>
          </w:tbl>
          <w:p>
            <w:pPr>
              <w:pStyle w:val="null3"/>
              <w:jc w:val="left"/>
            </w:pPr>
            <w:r>
              <w:rPr>
                <w:rFonts w:ascii="仿宋_GB2312" w:hAnsi="仿宋_GB2312" w:cs="仿宋_GB2312" w:eastAsia="仿宋_GB2312"/>
                <w:sz w:val="24"/>
                <w:b/>
              </w:rPr>
              <w:t>4、工程验收的主要依据、标准及要求</w:t>
            </w:r>
          </w:p>
          <w:tbl>
            <w:tblPr>
              <w:tblBorders>
                <w:top w:val="none" w:color="000000" w:sz="4"/>
                <w:left w:val="none" w:color="000000" w:sz="4"/>
                <w:bottom w:val="none" w:color="000000" w:sz="4"/>
                <w:right w:val="none" w:color="000000" w:sz="4"/>
                <w:insideH w:val="none"/>
                <w:insideV w:val="none"/>
              </w:tblBorders>
            </w:tblPr>
            <w:tblGrid>
              <w:gridCol w:w="456"/>
              <w:gridCol w:w="2097"/>
            </w:tblGrid>
            <w:tr>
              <w:tc>
                <w:tcPr>
                  <w:tcW w:type="dxa" w:w="456"/>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b/>
                    </w:rPr>
                    <w:t>序号</w:t>
                  </w:r>
                </w:p>
              </w:tc>
              <w:tc>
                <w:tcPr>
                  <w:tcW w:type="dxa" w:w="209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b/>
                    </w:rPr>
                    <w:t>规范、规程、标准名称</w:t>
                  </w:r>
                </w:p>
              </w:tc>
            </w:tr>
            <w:tr>
              <w:tc>
                <w:tcPr>
                  <w:tcW w:type="dxa" w:w="45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1</w:t>
                  </w:r>
                </w:p>
              </w:tc>
              <w:tc>
                <w:tcPr>
                  <w:tcW w:type="dxa" w:w="209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《建筑工程施工及验收规范》和相关技术规程</w:t>
                  </w:r>
                </w:p>
              </w:tc>
            </w:tr>
            <w:tr>
              <w:tc>
                <w:tcPr>
                  <w:tcW w:type="dxa" w:w="45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2</w:t>
                  </w:r>
                </w:p>
              </w:tc>
              <w:tc>
                <w:tcPr>
                  <w:tcW w:type="dxa" w:w="209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《消防给水及消火栓系统技术规范》（</w:t>
                  </w:r>
                  <w:r>
                    <w:rPr>
                      <w:rFonts w:ascii="仿宋_GB2312" w:hAnsi="仿宋_GB2312" w:cs="仿宋_GB2312" w:eastAsia="仿宋_GB2312"/>
                      <w:sz w:val="21"/>
                    </w:rPr>
                    <w:t>GB50974-2014）</w:t>
                  </w:r>
                </w:p>
              </w:tc>
            </w:tr>
            <w:tr>
              <w:tc>
                <w:tcPr>
                  <w:tcW w:type="dxa" w:w="45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3</w:t>
                  </w:r>
                </w:p>
              </w:tc>
              <w:tc>
                <w:tcPr>
                  <w:tcW w:type="dxa" w:w="209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《消防应急照明和疏散指示系统技术标准》（</w:t>
                  </w:r>
                  <w:r>
                    <w:rPr>
                      <w:rFonts w:ascii="仿宋_GB2312" w:hAnsi="仿宋_GB2312" w:cs="仿宋_GB2312" w:eastAsia="仿宋_GB2312"/>
                      <w:sz w:val="21"/>
                      <w:color w:val="000000"/>
                    </w:rPr>
                    <w:t>GB51309-2018）</w:t>
                  </w:r>
                </w:p>
              </w:tc>
            </w:tr>
            <w:tr>
              <w:tc>
                <w:tcPr>
                  <w:tcW w:type="dxa" w:w="45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4</w:t>
                  </w:r>
                </w:p>
              </w:tc>
              <w:tc>
                <w:tcPr>
                  <w:tcW w:type="dxa" w:w="209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《火灾自动报警系统施工及验收标准》（</w:t>
                  </w:r>
                  <w:r>
                    <w:rPr>
                      <w:rFonts w:ascii="仿宋_GB2312" w:hAnsi="仿宋_GB2312" w:cs="仿宋_GB2312" w:eastAsia="仿宋_GB2312"/>
                      <w:sz w:val="21"/>
                      <w:color w:val="000000"/>
                    </w:rPr>
                    <w:t>GB50166-2019）</w:t>
                  </w:r>
                </w:p>
              </w:tc>
            </w:tr>
            <w:tr>
              <w:tc>
                <w:tcPr>
                  <w:tcW w:type="dxa" w:w="45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5</w:t>
                  </w:r>
                </w:p>
              </w:tc>
              <w:tc>
                <w:tcPr>
                  <w:tcW w:type="dxa" w:w="209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《自动喷水灭火系统施工及验收规范》（</w:t>
                  </w:r>
                  <w:r>
                    <w:rPr>
                      <w:rFonts w:ascii="仿宋_GB2312" w:hAnsi="仿宋_GB2312" w:cs="仿宋_GB2312" w:eastAsia="仿宋_GB2312"/>
                      <w:sz w:val="21"/>
                      <w:color w:val="000000"/>
                    </w:rPr>
                    <w:t>GB50261-2017）</w:t>
                  </w:r>
                </w:p>
              </w:tc>
            </w:tr>
            <w:tr>
              <w:tc>
                <w:tcPr>
                  <w:tcW w:type="dxa" w:w="45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6</w:t>
                  </w:r>
                </w:p>
              </w:tc>
              <w:tc>
                <w:tcPr>
                  <w:tcW w:type="dxa" w:w="209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《建筑防烟、排烟系统技术标准》（</w:t>
                  </w:r>
                  <w:r>
                    <w:rPr>
                      <w:rFonts w:ascii="仿宋_GB2312" w:hAnsi="仿宋_GB2312" w:cs="仿宋_GB2312" w:eastAsia="仿宋_GB2312"/>
                      <w:sz w:val="21"/>
                      <w:color w:val="000000"/>
                    </w:rPr>
                    <w:t>GB51251-2017）</w:t>
                  </w:r>
                </w:p>
              </w:tc>
            </w:tr>
            <w:tr>
              <w:tc>
                <w:tcPr>
                  <w:tcW w:type="dxa" w:w="45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7</w:t>
                  </w:r>
                </w:p>
              </w:tc>
              <w:tc>
                <w:tcPr>
                  <w:tcW w:type="dxa" w:w="209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《建筑设计防火规范》（</w:t>
                  </w:r>
                  <w:r>
                    <w:rPr>
                      <w:rFonts w:ascii="仿宋_GB2312" w:hAnsi="仿宋_GB2312" w:cs="仿宋_GB2312" w:eastAsia="仿宋_GB2312"/>
                      <w:sz w:val="21"/>
                    </w:rPr>
                    <w:t>GB50016-2014）/（GB50016-2006）</w:t>
                  </w:r>
                  <w:r>
                    <w:br/>
                  </w:r>
                  <w:r>
                    <w:rPr>
                      <w:rFonts w:ascii="仿宋_GB2312" w:hAnsi="仿宋_GB2312" w:cs="仿宋_GB2312" w:eastAsia="仿宋_GB2312"/>
                      <w:sz w:val="21"/>
                      <w:color w:val="000000"/>
                    </w:rPr>
                    <w:t>注：根据建筑物建成年代分别适用</w:t>
                  </w:r>
                </w:p>
              </w:tc>
            </w:tr>
            <w:tr>
              <w:tc>
                <w:tcPr>
                  <w:tcW w:type="dxa" w:w="45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8</w:t>
                  </w:r>
                </w:p>
              </w:tc>
              <w:tc>
                <w:tcPr>
                  <w:tcW w:type="dxa" w:w="209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rPr>
                    <w:t xml:space="preserve"> </w:t>
                  </w:r>
                  <w:r>
                    <w:rPr>
                      <w:rFonts w:ascii="仿宋_GB2312" w:hAnsi="仿宋_GB2312" w:cs="仿宋_GB2312" w:eastAsia="仿宋_GB2312"/>
                      <w:sz w:val="21"/>
                    </w:rPr>
                    <w:t>防火卷帘、防火门、防火窗施工及验收规范</w:t>
                  </w:r>
                  <w:r>
                    <w:rPr>
                      <w:rFonts w:ascii="仿宋_GB2312" w:hAnsi="仿宋_GB2312" w:cs="仿宋_GB2312" w:eastAsia="仿宋_GB2312"/>
                      <w:sz w:val="21"/>
                    </w:rPr>
                    <w:t>GB50877-2014</w:t>
                  </w:r>
                </w:p>
              </w:tc>
            </w:tr>
            <w:tr>
              <w:tc>
                <w:tcPr>
                  <w:tcW w:type="dxa" w:w="45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9</w:t>
                  </w:r>
                </w:p>
              </w:tc>
              <w:tc>
                <w:tcPr>
                  <w:tcW w:type="dxa" w:w="209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color w:val="000000"/>
                    </w:rPr>
                    <w:t>《建设工程消防验收评定规则》（</w:t>
                  </w:r>
                  <w:r>
                    <w:rPr>
                      <w:rFonts w:ascii="仿宋_GB2312" w:hAnsi="仿宋_GB2312" w:cs="仿宋_GB2312" w:eastAsia="仿宋_GB2312"/>
                      <w:sz w:val="21"/>
                      <w:color w:val="000000"/>
                    </w:rPr>
                    <w:t>XF 836-2016）</w:t>
                  </w:r>
                </w:p>
              </w:tc>
            </w:tr>
            <w:tr>
              <w:tc>
                <w:tcPr>
                  <w:tcW w:type="dxa" w:w="45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10</w:t>
                  </w:r>
                </w:p>
              </w:tc>
              <w:tc>
                <w:tcPr>
                  <w:tcW w:type="dxa" w:w="209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1"/>
                    </w:rPr>
                    <w:t>《建设工程消防监督管理规定》</w:t>
                  </w:r>
                </w:p>
              </w:tc>
            </w:tr>
          </w:tbl>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rPr>
              <w:t>编制依据</w:t>
            </w:r>
          </w:p>
          <w:p>
            <w:pPr>
              <w:pStyle w:val="null3"/>
              <w:jc w:val="left"/>
            </w:pPr>
            <w:r>
              <w:rPr>
                <w:rFonts w:ascii="仿宋_GB2312" w:hAnsi="仿宋_GB2312" w:cs="仿宋_GB2312" w:eastAsia="仿宋_GB2312"/>
                <w:sz w:val="24"/>
              </w:rPr>
              <w:t>①国家、省建设主管部门颁发的计价依据和办法。</w:t>
            </w:r>
          </w:p>
          <w:p>
            <w:pPr>
              <w:pStyle w:val="null3"/>
              <w:jc w:val="left"/>
            </w:pPr>
            <w:r>
              <w:rPr>
                <w:rFonts w:ascii="仿宋_GB2312" w:hAnsi="仿宋_GB2312" w:cs="仿宋_GB2312" w:eastAsia="仿宋_GB2312"/>
                <w:sz w:val="24"/>
              </w:rPr>
              <w:t>②答疑等资料。</w:t>
            </w:r>
          </w:p>
          <w:p>
            <w:pPr>
              <w:pStyle w:val="null3"/>
              <w:jc w:val="left"/>
            </w:pPr>
            <w:r>
              <w:rPr>
                <w:rFonts w:ascii="仿宋_GB2312" w:hAnsi="仿宋_GB2312" w:cs="仿宋_GB2312" w:eastAsia="仿宋_GB2312"/>
                <w:sz w:val="24"/>
              </w:rPr>
              <w:t>③与建设工程项目有关的标准、规范、技术资料，现行有关法律、法规。</w:t>
            </w:r>
          </w:p>
          <w:p>
            <w:pPr>
              <w:pStyle w:val="null3"/>
              <w:jc w:val="left"/>
            </w:pPr>
            <w:r>
              <w:rPr>
                <w:rFonts w:ascii="仿宋_GB2312" w:hAnsi="仿宋_GB2312" w:cs="仿宋_GB2312" w:eastAsia="仿宋_GB2312"/>
                <w:sz w:val="24"/>
              </w:rPr>
              <w:t>④本工程招标文件对工程量清单编制的相关要求。</w:t>
            </w:r>
          </w:p>
          <w:p>
            <w:pPr>
              <w:pStyle w:val="null3"/>
              <w:jc w:val="left"/>
            </w:pPr>
            <w:r>
              <w:rPr>
                <w:rFonts w:ascii="仿宋_GB2312" w:hAnsi="仿宋_GB2312" w:cs="仿宋_GB2312" w:eastAsia="仿宋_GB2312"/>
                <w:sz w:val="24"/>
              </w:rPr>
              <w:t>⑤工程清单项目特征中注明做法的，其工程内容为做法所含全部内容，未注明做法的，其工程内容同《计价规则》对应项工程内容。</w:t>
            </w:r>
          </w:p>
          <w:p>
            <w:pPr>
              <w:pStyle w:val="null3"/>
              <w:jc w:val="left"/>
            </w:pPr>
            <w:r>
              <w:rPr>
                <w:rFonts w:ascii="仿宋_GB2312" w:hAnsi="仿宋_GB2312" w:cs="仿宋_GB2312" w:eastAsia="仿宋_GB2312"/>
                <w:sz w:val="24"/>
              </w:rPr>
              <w:t>⑥工程量清单采用广联达GCCP7.0编制，版本为7.5000.23.1。</w:t>
            </w:r>
          </w:p>
          <w:p>
            <w:pPr>
              <w:pStyle w:val="null3"/>
              <w:jc w:val="left"/>
            </w:pPr>
            <w:r>
              <w:rPr>
                <w:rFonts w:ascii="仿宋_GB2312" w:hAnsi="仿宋_GB2312" w:cs="仿宋_GB2312" w:eastAsia="仿宋_GB2312"/>
                <w:sz w:val="24"/>
              </w:rPr>
              <w:t>陕西省建设工程工程量清单计价计算标准</w:t>
            </w:r>
            <w:r>
              <w:rPr>
                <w:rFonts w:ascii="仿宋_GB2312" w:hAnsi="仿宋_GB2312" w:cs="仿宋_GB2312" w:eastAsia="仿宋_GB2312"/>
                <w:sz w:val="24"/>
              </w:rPr>
              <w:t>(2025);《陕西省房屋建筑与装饰、通用安装、市政园林绿化工程工程量计算标准》；《陕西省房屋建筑与装饰、通用安装、市政、园林绿化工程消耗量定额(2025)》及定额相配套使用的《陕西省房屋建筑与装饰、通用安装、市政、园林绿化工程基价表(2025)》《陕西省建设工程施工机械台班、施工仪器仪表台班费用定额(2025)》、《陕西省建设工程费用规则》(2025)及其他相关的计价依据和办法。</w:t>
            </w:r>
          </w:p>
          <w:p>
            <w:pPr>
              <w:pStyle w:val="null3"/>
              <w:jc w:val="left"/>
            </w:pPr>
            <w:r>
              <w:rPr>
                <w:rFonts w:ascii="仿宋_GB2312" w:hAnsi="仿宋_GB2312" w:cs="仿宋_GB2312" w:eastAsia="仿宋_GB2312"/>
                <w:sz w:val="24"/>
                <w:b/>
              </w:rPr>
              <w:t>6、“《工程量清单》或《采购清单》”要求</w:t>
            </w:r>
          </w:p>
          <w:p>
            <w:pPr>
              <w:pStyle w:val="null3"/>
              <w:jc w:val="left"/>
            </w:pPr>
            <w:r>
              <w:rPr>
                <w:rFonts w:ascii="仿宋_GB2312" w:hAnsi="仿宋_GB2312" w:cs="仿宋_GB2312" w:eastAsia="仿宋_GB2312"/>
                <w:sz w:val="24"/>
              </w:rPr>
              <w:t>《工程量清单》见附件</w:t>
            </w:r>
          </w:p>
          <w:p>
            <w:pPr>
              <w:pStyle w:val="null3"/>
              <w:jc w:val="left"/>
            </w:pPr>
            <w:r>
              <w:rPr>
                <w:rFonts w:ascii="仿宋_GB2312" w:hAnsi="仿宋_GB2312" w:cs="仿宋_GB2312" w:eastAsia="仿宋_GB2312"/>
                <w:sz w:val="24"/>
              </w:rPr>
              <w:t>供应商提供的《工程量清单》编制单位名称、印章、签字完整，同时提供电子版（正版广联达系统生成）和《采购清单》一份，编制单位名称、印章、签字完整，同时提供电子版。</w:t>
            </w:r>
          </w:p>
          <w:p>
            <w:pPr>
              <w:pStyle w:val="null3"/>
              <w:jc w:val="left"/>
            </w:pPr>
            <w:r>
              <w:rPr>
                <w:rFonts w:ascii="仿宋_GB2312" w:hAnsi="仿宋_GB2312" w:cs="仿宋_GB2312" w:eastAsia="仿宋_GB2312"/>
                <w:sz w:val="24"/>
                <w:b/>
              </w:rPr>
              <w:t>7、“施工图纸”要求</w:t>
            </w:r>
          </w:p>
          <w:p>
            <w:pPr>
              <w:pStyle w:val="null3"/>
              <w:jc w:val="left"/>
            </w:pPr>
            <w:r>
              <w:rPr>
                <w:rFonts w:ascii="仿宋_GB2312" w:hAnsi="仿宋_GB2312" w:cs="仿宋_GB2312" w:eastAsia="仿宋_GB2312"/>
                <w:sz w:val="24"/>
              </w:rPr>
              <w:t>如有新增和变更原有建筑消防设计时，乙方需在施工前提供设计图纸及图审。</w:t>
            </w:r>
          </w:p>
          <w:p>
            <w:pPr>
              <w:pStyle w:val="null3"/>
              <w:spacing w:before="105" w:after="105"/>
              <w:jc w:val="left"/>
            </w:pPr>
            <w:r>
              <w:rPr>
                <w:rFonts w:ascii="仿宋_GB2312" w:hAnsi="仿宋_GB2312" w:cs="仿宋_GB2312" w:eastAsia="仿宋_GB2312"/>
                <w:sz w:val="24"/>
                <w:b/>
                <w:color w:val="000000"/>
              </w:rPr>
              <w:t>8、针对本项目配备满足完成项目需求的专业人员团队。</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商务要求</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工期及工程质量</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工期：</w:t>
            </w:r>
            <w:r>
              <w:rPr>
                <w:rFonts w:ascii="仿宋_GB2312" w:hAnsi="仿宋_GB2312" w:cs="仿宋_GB2312" w:eastAsia="仿宋_GB2312"/>
                <w:sz w:val="24"/>
              </w:rPr>
              <w:t>50天，自甲方发出开工令当天为准。乙方需在2月25日开学前完成两校园餐厅整改内容。</w:t>
            </w:r>
          </w:p>
          <w:p>
            <w:pPr>
              <w:pStyle w:val="null3"/>
            </w:pPr>
            <w:r>
              <w:rPr>
                <w:rFonts w:ascii="仿宋_GB2312" w:hAnsi="仿宋_GB2312" w:cs="仿宋_GB2312" w:eastAsia="仿宋_GB2312"/>
                <w:sz w:val="24"/>
              </w:rPr>
              <w:t>（</w:t>
            </w:r>
            <w:r>
              <w:rPr>
                <w:rFonts w:ascii="仿宋_GB2312" w:hAnsi="仿宋_GB2312" w:cs="仿宋_GB2312" w:eastAsia="仿宋_GB2312"/>
                <w:sz w:val="24"/>
              </w:rPr>
              <w:t>2）工程质量：合格，符合国家、地方相关标准。</w:t>
            </w:r>
          </w:p>
          <w:p>
            <w:pPr>
              <w:pStyle w:val="null3"/>
            </w:pPr>
            <w:r>
              <w:rPr>
                <w:rFonts w:ascii="仿宋_GB2312" w:hAnsi="仿宋_GB2312" w:cs="仿宋_GB2312" w:eastAsia="仿宋_GB2312"/>
              </w:rPr>
              <w:t xml:space="preserve"> </w:t>
            </w:r>
            <w:r>
              <w:rPr>
                <w:rFonts w:ascii="仿宋_GB2312" w:hAnsi="仿宋_GB2312" w:cs="仿宋_GB2312" w:eastAsia="仿宋_GB2312"/>
                <w:sz w:val="24"/>
                <w:b/>
              </w:rPr>
              <w:t>2、付款方式要求及履约保证金</w:t>
            </w:r>
          </w:p>
          <w:p>
            <w:pPr>
              <w:pStyle w:val="null3"/>
            </w:pPr>
            <w:r>
              <w:rPr>
                <w:rFonts w:ascii="仿宋_GB2312" w:hAnsi="仿宋_GB2312" w:cs="仿宋_GB2312" w:eastAsia="仿宋_GB2312"/>
                <w:sz w:val="24"/>
              </w:rPr>
              <w:t>（</w:t>
            </w:r>
            <w:r>
              <w:rPr>
                <w:rFonts w:ascii="仿宋_GB2312" w:hAnsi="仿宋_GB2312" w:cs="仿宋_GB2312" w:eastAsia="仿宋_GB2312"/>
                <w:sz w:val="24"/>
              </w:rPr>
              <w:t>1）付款方式要求</w:t>
            </w:r>
          </w:p>
          <w:p>
            <w:pPr>
              <w:pStyle w:val="null3"/>
            </w:pPr>
            <w:r>
              <w:rPr>
                <w:rFonts w:ascii="仿宋_GB2312" w:hAnsi="仿宋_GB2312" w:cs="仿宋_GB2312" w:eastAsia="仿宋_GB2312"/>
                <w:sz w:val="24"/>
              </w:rPr>
              <w:t>中小企业中标付款方式：签订合同前向学校缴纳</w:t>
            </w:r>
            <w:r>
              <w:rPr>
                <w:rFonts w:ascii="仿宋_GB2312" w:hAnsi="仿宋_GB2312" w:cs="仿宋_GB2312" w:eastAsia="仿宋_GB2312"/>
                <w:sz w:val="24"/>
              </w:rPr>
              <w:t>3%的履约保证金，合同签订后采购人支付40%合同金额的预付款。工程完工经学校验收合格后支付20%工程款，</w:t>
            </w:r>
            <w:r>
              <w:rPr>
                <w:rFonts w:ascii="仿宋_GB2312" w:hAnsi="仿宋_GB2312" w:cs="仿宋_GB2312" w:eastAsia="仿宋_GB2312"/>
                <w:sz w:val="24"/>
                <w:color w:val="000000"/>
              </w:rPr>
              <w:t>经工程审计，支</w:t>
            </w:r>
            <w:r>
              <w:rPr>
                <w:rFonts w:ascii="仿宋_GB2312" w:hAnsi="仿宋_GB2312" w:cs="仿宋_GB2312" w:eastAsia="仿宋_GB2312"/>
                <w:sz w:val="24"/>
              </w:rPr>
              <w:t>付至审定价的</w:t>
            </w:r>
            <w:r>
              <w:rPr>
                <w:rFonts w:ascii="仿宋_GB2312" w:hAnsi="仿宋_GB2312" w:cs="仿宋_GB2312" w:eastAsia="仿宋_GB2312"/>
                <w:sz w:val="24"/>
              </w:rPr>
              <w:t>100%。（由于系统格式受限，本项目付款方式以此处为准）</w:t>
            </w:r>
          </w:p>
          <w:p>
            <w:pPr>
              <w:pStyle w:val="null3"/>
            </w:pPr>
            <w:r>
              <w:rPr>
                <w:rFonts w:ascii="仿宋_GB2312" w:hAnsi="仿宋_GB2312" w:cs="仿宋_GB2312" w:eastAsia="仿宋_GB2312"/>
                <w:sz w:val="24"/>
              </w:rPr>
              <w:t>（</w:t>
            </w:r>
            <w:r>
              <w:rPr>
                <w:rFonts w:ascii="仿宋_GB2312" w:hAnsi="仿宋_GB2312" w:cs="仿宋_GB2312" w:eastAsia="仿宋_GB2312"/>
                <w:sz w:val="24"/>
              </w:rPr>
              <w:t>2）履约保证金要求</w:t>
            </w:r>
          </w:p>
          <w:p>
            <w:pPr>
              <w:pStyle w:val="null3"/>
            </w:pPr>
            <w:r>
              <w:rPr>
                <w:rFonts w:ascii="仿宋_GB2312" w:hAnsi="仿宋_GB2312" w:cs="仿宋_GB2312" w:eastAsia="仿宋_GB2312"/>
                <w:sz w:val="24"/>
              </w:rPr>
              <w:t>履约保证金基本要求：供应商成交后凭成交通知书向采购人缴纳成交金额的</w:t>
            </w:r>
            <w:r>
              <w:rPr>
                <w:rFonts w:ascii="仿宋_GB2312" w:hAnsi="仿宋_GB2312" w:cs="仿宋_GB2312" w:eastAsia="仿宋_GB2312"/>
                <w:sz w:val="24"/>
              </w:rPr>
              <w:t>3%作为履约保证金，待合同履约完毕后无息退还。</w:t>
            </w:r>
          </w:p>
          <w:p>
            <w:pPr>
              <w:pStyle w:val="null3"/>
            </w:pPr>
            <w:r>
              <w:rPr>
                <w:rFonts w:ascii="仿宋_GB2312" w:hAnsi="仿宋_GB2312" w:cs="仿宋_GB2312" w:eastAsia="仿宋_GB2312"/>
                <w:sz w:val="24"/>
                <w:b/>
              </w:rPr>
              <w:t>3、质保期及质保保修要求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1）质保期： 2 年；</w:t>
            </w:r>
          </w:p>
          <w:p>
            <w:pPr>
              <w:pStyle w:val="null3"/>
            </w:pPr>
            <w:r>
              <w:rPr>
                <w:rFonts w:ascii="仿宋_GB2312" w:hAnsi="仿宋_GB2312" w:cs="仿宋_GB2312" w:eastAsia="仿宋_GB2312"/>
                <w:sz w:val="24"/>
              </w:rPr>
              <w:t>（</w:t>
            </w:r>
            <w:r>
              <w:rPr>
                <w:rFonts w:ascii="仿宋_GB2312" w:hAnsi="仿宋_GB2312" w:cs="仿宋_GB2312" w:eastAsia="仿宋_GB2312"/>
                <w:sz w:val="24"/>
              </w:rPr>
              <w:t>2）质保期保修要求</w:t>
            </w:r>
          </w:p>
          <w:p>
            <w:pPr>
              <w:pStyle w:val="null3"/>
            </w:pPr>
            <w:r>
              <w:rPr>
                <w:rFonts w:ascii="仿宋_GB2312" w:hAnsi="仿宋_GB2312" w:cs="仿宋_GB2312" w:eastAsia="仿宋_GB2312"/>
                <w:sz w:val="24"/>
              </w:rPr>
              <w:t>①属于保修范围和内容的项目，承包人应在接到维修通知后， 2 小时内派人维修。发生紧急抢修事故，承包人应在接到通知后 1 小时内到达事故现场并于 24 小时内完成应急维修。</w:t>
            </w:r>
          </w:p>
          <w:p>
            <w:pPr>
              <w:pStyle w:val="null3"/>
            </w:pPr>
            <w:r>
              <w:rPr>
                <w:rFonts w:ascii="仿宋_GB2312" w:hAnsi="仿宋_GB2312" w:cs="仿宋_GB2312" w:eastAsia="仿宋_GB2312"/>
                <w:sz w:val="24"/>
              </w:rPr>
              <w:t>②其他要求：承包人在维修及抢修期间，必须采取必要措施保证施工安全，同时提供应急措施，保证消防设施设备应急运行。承包人在维修及抢修期间，如发生安全事故，与甲方无关，供应商应承担全部责任。</w:t>
            </w:r>
          </w:p>
          <w:p>
            <w:pPr>
              <w:pStyle w:val="null3"/>
            </w:pPr>
            <w:r>
              <w:rPr>
                <w:rFonts w:ascii="仿宋_GB2312" w:hAnsi="仿宋_GB2312" w:cs="仿宋_GB2312" w:eastAsia="仿宋_GB2312"/>
                <w:sz w:val="24"/>
              </w:rPr>
              <w:t>③质保期自工程竣工验收合格之日起算。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按国家及行业规范标准执行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符合国家及行业规范标准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 2、成交供应商中标后需提供响应文件壹套、电子版壹套(U盘一套标明供应商名称)且提供的响应文件纸质版与电子版必须与在陕西省政府采购网电子化交易系统上提交的电子响应文件内容一致。 3、采购人按照采购文件和中标（成交）人投标（响应）文件，在中标（成交）通知书发出之日起 25 日内签订合同。 4、保证金的退还：自成交通知书发出之日起5个工作日内退还未成交供应商的磋商保证金,自采购合同签订之日起5个工作日内退还成交供应商的磋商保证金。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供应商须具备消防设施工程专业承包二级以上（含二级）资质及有效的安全生产许可证。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拟派项目经理须具备机电工程专业二级以上（含二级）注册建造师证书、安全生产考核合格证，在本单位注册且无在建工程（承诺书）。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供应商及项目经理基本信息查询</w:t>
            </w:r>
          </w:p>
        </w:tc>
        <w:tc>
          <w:tcPr>
            <w:tcW w:type="dxa" w:w="3322"/>
          </w:tcPr>
          <w:p>
            <w:pPr>
              <w:pStyle w:val="null3"/>
            </w:pPr>
            <w:r>
              <w:rPr>
                <w:rFonts w:ascii="仿宋_GB2312" w:hAnsi="仿宋_GB2312" w:cs="仿宋_GB2312" w:eastAsia="仿宋_GB2312"/>
              </w:rPr>
              <w:t>供应商及项目经理基本信息在“陕西省住房和城乡建设厅”（https://js.shaanxi.gov.cn/）或全国建筑市场监管公共服务平台（https://jzsc.mohurd.gov.cn/）可查询。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本项目专门面向中小企业采购，供应商应为中小企业或监狱企业或残疾人福利性单位，并提供声明函。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业绩.docx 已标价工程量清单 中小企业声明函 项目团队人员.docx 承诺函.docx 供应商承诺书.docx 强制优先采购产品承诺函 商务条款响应说明.docx 响应文件封面 残疾人福利性单位声明函 拟投入材料、设备清单.docx 报价函 保证金缴纳凭证.docx 标的清单 供应商资格证明文件.docx 响应报价表.docx 响应函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业绩.docx 已标价工程量清单 中小企业声明函 项目团队人员.docx 承诺函.docx 供应商承诺书.docx 强制优先采购产品承诺函 商务条款响应说明.docx 响应文件封面 残疾人福利性单位声明函 拟投入材料、设备清单.docx 报价函 保证金缴纳凭证.docx 标的清单 供应商资格证明文件.docx 响应报价表.docx 响应函 监狱企业的证明文件 技术、服务、合同条款及其他商务要求应答表.docx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保证金缴纳符合磋商文件要求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业绩.docx 已标价工程量清单 中小企业声明函 项目团队人员.docx 承诺函.docx 供应商承诺书.docx 强制优先采购产品承诺函 商务条款响应说明.docx 响应文件封面 残疾人福利性单位声明函 拟投入材料、设备清单.docx 报价函 保证金缴纳凭证.docx 标的清单 供应商资格证明文件.docx 响应报价表.docx 响应函 监狱企业的证明文件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供应商提供本项目施工方案，包含：①施工概述②施工工艺③施工方法④交叉施工措施。 评审依据：上述内容无缺少、无瑕疵、满足采购文件及项目实际需求且思路清晰、科学高效计10分（单项内容分值为2.5分）；方案内容每有一处瑕疵扣0.5分，单项内容分值扣完为止，未提供不计分。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供应商提供针对本项目的安全管理方案，包含：①安全管理体系与措施②安全文明施工措施③安全教育及培训计划④安全防护措施。 评审依据：上述内容无缺少、无瑕疵、满足采购文件及项目实际需求且思路清晰、科学高效计6分（单项内容分值为1.5分）；方案内容每有一处瑕疵扣0.5分，单项内容分值扣完为止，未提供不计分。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环保方案</w:t>
            </w:r>
          </w:p>
        </w:tc>
        <w:tc>
          <w:tcPr>
            <w:tcW w:type="dxa" w:w="2492"/>
          </w:tcPr>
          <w:p>
            <w:pPr>
              <w:pStyle w:val="null3"/>
            </w:pPr>
            <w:r>
              <w:rPr>
                <w:rFonts w:ascii="仿宋_GB2312" w:hAnsi="仿宋_GB2312" w:cs="仿宋_GB2312" w:eastAsia="仿宋_GB2312"/>
              </w:rPr>
              <w:t>供应商提供针对本项目的环保方案，包含：①环境保护管理体系与措施②污染物处理及排放符合国家及地方环境保护标准性③现场扬尘预防措施。 评审依据：上述内容无缺少、无瑕疵、满足采购文件及项目实际需求且思路清晰、科学高效计3分（单项内容分值为1分）；方案内容每有一处瑕疵扣0.5分，单项内容分值扣完为止，未提供不计分。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供应商提供针对本项目的质量管理方案，包含：①质量管理体系②质量保证措施③质保期内的质保措施。 评审依据：上述内容无缺少、无瑕疵、满足采购文件及项目实际需求且思路清晰、科学高效计6分（单项内容分值为2分）；方案内容每有一处瑕疵扣0.5分，单项内容分值扣完为止，未提供不计分。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工期进度</w:t>
            </w:r>
          </w:p>
        </w:tc>
        <w:tc>
          <w:tcPr>
            <w:tcW w:type="dxa" w:w="2492"/>
          </w:tcPr>
          <w:p>
            <w:pPr>
              <w:pStyle w:val="null3"/>
            </w:pPr>
            <w:r>
              <w:rPr>
                <w:rFonts w:ascii="仿宋_GB2312" w:hAnsi="仿宋_GB2312" w:cs="仿宋_GB2312" w:eastAsia="仿宋_GB2312"/>
              </w:rPr>
              <w:t>供应商提供针对本项目的工期进度安排计划，包含：①保证工期实施措施方案②施工进度表或施工网络图。 评审依据：上述内容无缺少、无瑕疵，方案思路清晰、逻辑缜密，工期安排科学合理，满足采购文件及项目实际需求计7分（单项内容分值为3.5分）；方案内容每有一处瑕疵扣1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拟派驻场技术负责人为一级注册消防工程师，计2分；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驻场成员组</w:t>
            </w:r>
          </w:p>
        </w:tc>
        <w:tc>
          <w:tcPr>
            <w:tcW w:type="dxa" w:w="2492"/>
          </w:tcPr>
          <w:p>
            <w:pPr>
              <w:pStyle w:val="null3"/>
            </w:pPr>
            <w:r>
              <w:rPr>
                <w:rFonts w:ascii="仿宋_GB2312" w:hAnsi="仿宋_GB2312" w:cs="仿宋_GB2312" w:eastAsia="仿宋_GB2312"/>
              </w:rPr>
              <w:t>1、驻场成员组（不含项目经理、技术负责人）中每增加一名机电工程专业贰级（含贰级）及以上注册建造师计0.5分，最多计2分。附人员证书资料； 2、驻场成员组（不含项目经理、技术负责人）中每增加一名一级注册消防工程师计1分，最多计2分。附人员证书资料。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项目团队人员.docx</w:t>
            </w:r>
          </w:p>
        </w:tc>
      </w:tr>
      <w:tr>
        <w:tc>
          <w:tcPr>
            <w:tcW w:type="dxa" w:w="831"/>
            <w:vMerge/>
          </w:tcPr>
          <w:p/>
        </w:tc>
        <w:tc>
          <w:tcPr>
            <w:tcW w:type="dxa" w:w="1661"/>
          </w:tcPr>
          <w:p>
            <w:pPr>
              <w:pStyle w:val="null3"/>
            </w:pPr>
            <w:r>
              <w:rPr>
                <w:rFonts w:ascii="仿宋_GB2312" w:hAnsi="仿宋_GB2312" w:cs="仿宋_GB2312" w:eastAsia="仿宋_GB2312"/>
              </w:rPr>
              <w:t>项目组成员1</w:t>
            </w:r>
          </w:p>
        </w:tc>
        <w:tc>
          <w:tcPr>
            <w:tcW w:type="dxa" w:w="2492"/>
          </w:tcPr>
          <w:p>
            <w:pPr>
              <w:pStyle w:val="null3"/>
            </w:pPr>
            <w:r>
              <w:rPr>
                <w:rFonts w:ascii="仿宋_GB2312" w:hAnsi="仿宋_GB2312" w:cs="仿宋_GB2312" w:eastAsia="仿宋_GB2312"/>
              </w:rPr>
              <w:t>进场人数不少于20人，计1分；进场人数不少于25人，计2分；否则不计分。（附人员清单及身份证扫描件）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项目组成员2</w:t>
            </w:r>
          </w:p>
        </w:tc>
        <w:tc>
          <w:tcPr>
            <w:tcW w:type="dxa" w:w="2492"/>
          </w:tcPr>
          <w:p>
            <w:pPr>
              <w:pStyle w:val="null3"/>
            </w:pPr>
            <w:r>
              <w:rPr>
                <w:rFonts w:ascii="仿宋_GB2312" w:hAnsi="仿宋_GB2312" w:cs="仿宋_GB2312" w:eastAsia="仿宋_GB2312"/>
              </w:rPr>
              <w:t>针对本项目提供项目组人员，包含岗位设置，人员专业技术能力等进行赋分。 1.提供的项目组人员方案内容完全满足采购需求，岗位设置科学、合理，专业人员证书齐全（包括但不限于施工员、安全员、资料员、材料员、质量员、焊工证、电工证等）计5分； 2.提供的项目组人员方案内容完全满足采购需求，岗位设置合理，提供部分专业人员证书计3分； 3.提供的项目组人员方案较简单计1分；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现场成品保护措施</w:t>
            </w:r>
          </w:p>
        </w:tc>
        <w:tc>
          <w:tcPr>
            <w:tcW w:type="dxa" w:w="2492"/>
          </w:tcPr>
          <w:p>
            <w:pPr>
              <w:pStyle w:val="null3"/>
            </w:pPr>
            <w:r>
              <w:rPr>
                <w:rFonts w:ascii="仿宋_GB2312" w:hAnsi="仿宋_GB2312" w:cs="仿宋_GB2312" w:eastAsia="仿宋_GB2312"/>
              </w:rPr>
              <w:t>供应商提供针对本项目的现场成品保护措施方案，包含：①原有设施保护措施②已完工成品保护措施。 评审依据：上述内容无缺少、无瑕疵、满足采购文件及项目实际需求且思路清晰、科学高效计3分（单项内容分值为1.5分）；方案内容每有一处瑕疵扣0.5分，单项内容分值扣完为止，未提供不计分。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施工机械</w:t>
            </w:r>
          </w:p>
        </w:tc>
        <w:tc>
          <w:tcPr>
            <w:tcW w:type="dxa" w:w="2492"/>
          </w:tcPr>
          <w:p>
            <w:pPr>
              <w:pStyle w:val="null3"/>
            </w:pPr>
            <w:r>
              <w:rPr>
                <w:rFonts w:ascii="仿宋_GB2312" w:hAnsi="仿宋_GB2312" w:cs="仿宋_GB2312" w:eastAsia="仿宋_GB2312"/>
              </w:rPr>
              <w:t>供应商提供针对本项目的施工机械及材料投入计划，包含：①施工机械投入②施工材料投入计划。 评审依据：上述内容无缺少、无瑕疵、满足采购文件及项目实际需求且思路清晰、科学高效计3分（单项内容分值为1.5分）；方案内容每有一处瑕疵扣0.5分，单项内容分值扣完为止，未提供不计分。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拟投入材料、设备清单.docx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针对本项目提供应急方案，应急方案内容包含①应急服务承诺②后期实施中可能发生的突发状况制定预案。 评审依据：上述内容无缺少、无瑕疵、满足采购文件及项目实际需求且思路清晰、科学高效计4分（单项内容分值为2分）；方案内容每有一处瑕疵扣0.5分，单项内容分值扣完为止，未提供不计分。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验收、售后服务方案</w:t>
            </w:r>
          </w:p>
        </w:tc>
        <w:tc>
          <w:tcPr>
            <w:tcW w:type="dxa" w:w="2492"/>
          </w:tcPr>
          <w:p>
            <w:pPr>
              <w:pStyle w:val="null3"/>
            </w:pPr>
            <w:r>
              <w:rPr>
                <w:rFonts w:ascii="仿宋_GB2312" w:hAnsi="仿宋_GB2312" w:cs="仿宋_GB2312" w:eastAsia="仿宋_GB2312"/>
              </w:rPr>
              <w:t>针对本项目提供售后服务方案，①根据方案的详细程度及其售后服务人员的组成与经验；②根据对处理质保问题时效性；③根据验收方案的可实施性。 评审依据：上述内容无缺少、无瑕疵、满足采购文件及项目实际需求且思路清晰、科学高效计6分（单项内容分值为2分）；方案内容每有一处瑕疵扣0.5分，单项内容分值扣完为止，未提供不计分。 注：“瑕疵”是指内容缺项、不完整或缺少关键点；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主要关键设备来源渠道</w:t>
            </w:r>
          </w:p>
        </w:tc>
        <w:tc>
          <w:tcPr>
            <w:tcW w:type="dxa" w:w="2492"/>
          </w:tcPr>
          <w:p>
            <w:pPr>
              <w:pStyle w:val="null3"/>
            </w:pPr>
            <w:r>
              <w:rPr>
                <w:rFonts w:ascii="仿宋_GB2312" w:hAnsi="仿宋_GB2312" w:cs="仿宋_GB2312" w:eastAsia="仿宋_GB2312"/>
              </w:rPr>
              <w:t>供应商提供防火门、防火卷帘、应急灯、电源线、火灾报警系统控制主机、疏散指示、感烟探测器、感温探测器来源渠道证明材料（制造商直接投标的提供与投标设备品牌和型号相同的商标证明或检测证明或设备技术说明书等技术文件；非制造商投标的需提供产品制造商授权或销售协议或代理协议或原厂授权等来源渠道证明资料）每提供1种证明材料计0.5分，最多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供应商具有2023年1月1日至今（以合同签订时间为准）的同类项目业绩，每提供一项得1分，满分5分。（以完整合同和中标（成交）通知书为准，提供合同复印件加盖供应商公章。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详见附件：拟投入材料、设备清单.docx</w:t>
      </w:r>
    </w:p>
    <w:p>
      <w:pPr>
        <w:pStyle w:val="null3"/>
        <w:ind w:firstLine="960"/>
      </w:pPr>
      <w:r>
        <w:rPr>
          <w:rFonts w:ascii="仿宋_GB2312" w:hAnsi="仿宋_GB2312" w:cs="仿宋_GB2312" w:eastAsia="仿宋_GB2312"/>
        </w:rPr>
        <w:t>详见附件：项目团队人员.docx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