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B813F">
      <w:pPr>
        <w:pStyle w:val="5"/>
        <w:spacing w:line="360" w:lineRule="auto"/>
        <w:jc w:val="center"/>
        <w:outlineLvl w:val="0"/>
        <w:rPr>
          <w:rFonts w:ascii="仿宋" w:hAnsi="仿宋" w:eastAsia="仿宋" w:cs="仿宋"/>
          <w:b/>
          <w:sz w:val="28"/>
          <w:szCs w:val="28"/>
        </w:rPr>
      </w:pPr>
      <w:r>
        <w:rPr>
          <w:rFonts w:ascii="仿宋" w:hAnsi="仿宋" w:eastAsia="仿宋" w:cs="仿宋"/>
          <w:b/>
          <w:sz w:val="28"/>
          <w:szCs w:val="28"/>
        </w:rPr>
        <w:t>拟签订采购合同文本</w:t>
      </w:r>
    </w:p>
    <w:p w14:paraId="1C043CF3">
      <w:pPr>
        <w:spacing w:line="360" w:lineRule="auto"/>
        <w:ind w:firstLine="482" w:firstLineChars="200"/>
        <w:jc w:val="center"/>
        <w:rPr>
          <w:rFonts w:hint="eastAsia" w:ascii="仿宋" w:hAnsi="仿宋" w:eastAsia="仿宋" w:cs="仿宋"/>
          <w:b/>
          <w:bCs/>
          <w:sz w:val="24"/>
        </w:rPr>
      </w:pPr>
      <w:r>
        <w:rPr>
          <w:rFonts w:hint="eastAsia" w:ascii="仿宋" w:hAnsi="仿宋" w:eastAsia="仿宋" w:cs="仿宋"/>
          <w:b/>
          <w:bCs/>
          <w:sz w:val="24"/>
        </w:rPr>
        <w:t>合同范本（仅供参考）</w:t>
      </w:r>
    </w:p>
    <w:p w14:paraId="7109104F">
      <w:pPr>
        <w:spacing w:line="460" w:lineRule="exact"/>
        <w:rPr>
          <w:rFonts w:hint="eastAsia" w:ascii="仿宋" w:hAnsi="仿宋" w:eastAsia="仿宋" w:cs="仿宋"/>
          <w:bCs/>
          <w:sz w:val="24"/>
        </w:rPr>
      </w:pPr>
      <w:r>
        <w:rPr>
          <w:rFonts w:hint="eastAsia" w:ascii="仿宋" w:hAnsi="仿宋" w:eastAsia="仿宋" w:cs="仿宋"/>
          <w:b/>
          <w:sz w:val="24"/>
        </w:rPr>
        <w:t>1.工</w:t>
      </w:r>
      <w:r>
        <w:rPr>
          <w:rFonts w:hint="eastAsia" w:ascii="仿宋" w:hAnsi="仿宋" w:eastAsia="仿宋" w:cs="仿宋"/>
          <w:b/>
          <w:bCs/>
          <w:sz w:val="24"/>
        </w:rPr>
        <w:t>程概述：</w:t>
      </w:r>
    </w:p>
    <w:p w14:paraId="746204A0">
      <w:pPr>
        <w:spacing w:line="460" w:lineRule="exact"/>
        <w:ind w:firstLine="480" w:firstLineChars="200"/>
        <w:rPr>
          <w:rFonts w:hint="eastAsia" w:ascii="仿宋" w:hAnsi="仿宋" w:eastAsia="仿宋" w:cs="仿宋"/>
          <w:sz w:val="24"/>
          <w:u w:val="single"/>
          <w:lang w:eastAsia="zh-CN"/>
        </w:rPr>
      </w:pPr>
      <w:r>
        <w:rPr>
          <w:rFonts w:hint="eastAsia" w:ascii="仿宋" w:hAnsi="仿宋" w:eastAsia="仿宋" w:cs="仿宋"/>
          <w:sz w:val="24"/>
        </w:rPr>
        <w:t>工程名称：</w:t>
      </w:r>
      <w:r>
        <w:rPr>
          <w:rFonts w:hint="eastAsia" w:ascii="仿宋" w:hAnsi="仿宋" w:eastAsia="仿宋" w:cs="仿宋"/>
          <w:sz w:val="24"/>
          <w:u w:val="single"/>
          <w:lang w:eastAsia="zh-CN"/>
        </w:rPr>
        <w:t>临潼校区14栋建筑物消防设施设备更换维修项目</w:t>
      </w:r>
    </w:p>
    <w:p w14:paraId="2B3B9833">
      <w:pPr>
        <w:spacing w:line="460" w:lineRule="exact"/>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工程地址：</w:t>
      </w:r>
      <w:r>
        <w:rPr>
          <w:rFonts w:hint="eastAsia" w:ascii="仿宋" w:hAnsi="仿宋" w:eastAsia="仿宋" w:cs="仿宋"/>
          <w:sz w:val="24"/>
          <w:highlight w:val="none"/>
          <w:u w:val="single"/>
        </w:rPr>
        <w:t>临潼校区骊山校园、秦汉校园</w:t>
      </w:r>
    </w:p>
    <w:p w14:paraId="3FC2E3FD">
      <w:pPr>
        <w:tabs>
          <w:tab w:val="left" w:pos="1155"/>
        </w:tabs>
        <w:spacing w:line="460" w:lineRule="exact"/>
        <w:rPr>
          <w:rFonts w:hint="eastAsia" w:ascii="仿宋" w:hAnsi="仿宋" w:eastAsia="仿宋" w:cs="仿宋"/>
          <w:bCs/>
          <w:sz w:val="24"/>
        </w:rPr>
      </w:pPr>
      <w:r>
        <w:rPr>
          <w:rFonts w:hint="eastAsia" w:ascii="仿宋" w:hAnsi="仿宋" w:eastAsia="仿宋" w:cs="仿宋"/>
          <w:b/>
          <w:sz w:val="24"/>
        </w:rPr>
        <w:t>2.工</w:t>
      </w:r>
      <w:r>
        <w:rPr>
          <w:rFonts w:hint="eastAsia" w:ascii="仿宋" w:hAnsi="仿宋" w:eastAsia="仿宋" w:cs="仿宋"/>
          <w:b/>
          <w:bCs/>
          <w:sz w:val="24"/>
        </w:rPr>
        <w:t>程工期：</w:t>
      </w:r>
    </w:p>
    <w:p w14:paraId="6EC60BE8">
      <w:pPr>
        <w:tabs>
          <w:tab w:val="left" w:pos="1155"/>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2.1开工日期：合同约定</w:t>
      </w:r>
    </w:p>
    <w:p w14:paraId="450C18B0">
      <w:pPr>
        <w:spacing w:line="460" w:lineRule="exact"/>
        <w:ind w:firstLine="480" w:firstLineChars="200"/>
        <w:rPr>
          <w:rFonts w:hint="eastAsia" w:ascii="仿宋" w:hAnsi="仿宋" w:eastAsia="仿宋" w:cs="仿宋"/>
          <w:sz w:val="24"/>
        </w:rPr>
      </w:pPr>
      <w:r>
        <w:rPr>
          <w:rFonts w:hint="eastAsia" w:ascii="仿宋" w:hAnsi="仿宋" w:eastAsia="仿宋" w:cs="仿宋"/>
          <w:bCs/>
          <w:sz w:val="24"/>
        </w:rPr>
        <w:t>2.2竣工日期：合同约定</w:t>
      </w:r>
    </w:p>
    <w:p w14:paraId="50C167E2">
      <w:pPr>
        <w:tabs>
          <w:tab w:val="left" w:pos="1155"/>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2.3成交供应商未征得采购人同意和谅解而单方面延迟工期，将按违约终止合同。</w:t>
      </w:r>
    </w:p>
    <w:p w14:paraId="04567CCD">
      <w:pPr>
        <w:tabs>
          <w:tab w:val="left" w:pos="1155"/>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2.4成交供应商遇到可能妨碍按期完工的情况时，须及时以书面形式通知采购人，说明原由、拖延的期限等；采购人、采购代理机构在收到通知后，尽快进行情况评估并确定是否通过修改合同，酌情延长工期时间或者通过协商加收误期赔偿金。</w:t>
      </w:r>
    </w:p>
    <w:p w14:paraId="0A0CCC61">
      <w:pPr>
        <w:adjustRightInd w:val="0"/>
        <w:snapToGrid w:val="0"/>
        <w:spacing w:line="460" w:lineRule="exact"/>
        <w:rPr>
          <w:rFonts w:hint="eastAsia" w:ascii="仿宋" w:hAnsi="仿宋" w:eastAsia="仿宋" w:cs="仿宋"/>
          <w:sz w:val="24"/>
        </w:rPr>
      </w:pPr>
      <w:r>
        <w:rPr>
          <w:rFonts w:hint="eastAsia" w:ascii="仿宋" w:hAnsi="仿宋" w:eastAsia="仿宋" w:cs="仿宋"/>
          <w:b/>
          <w:sz w:val="24"/>
        </w:rPr>
        <w:t>3.合</w:t>
      </w:r>
      <w:r>
        <w:rPr>
          <w:rFonts w:hint="eastAsia" w:ascii="仿宋" w:hAnsi="仿宋" w:eastAsia="仿宋" w:cs="仿宋"/>
          <w:b/>
          <w:bCs/>
          <w:sz w:val="24"/>
        </w:rPr>
        <w:t>同总价款：</w:t>
      </w:r>
      <w:r>
        <w:rPr>
          <w:rFonts w:hint="eastAsia" w:ascii="仿宋" w:hAnsi="仿宋" w:eastAsia="仿宋" w:cs="仿宋"/>
          <w:sz w:val="24"/>
        </w:rPr>
        <w:t>包括了供应商完成本项目和合同条款确定的采购范围内的全部工作内容所需的费用，本项目采用综合单价合同，最终结算价格为甲方结算审计后 的价格，但不得超出成交价格。</w:t>
      </w:r>
    </w:p>
    <w:p w14:paraId="59D581AF">
      <w:pPr>
        <w:tabs>
          <w:tab w:val="left" w:pos="1155"/>
        </w:tabs>
        <w:spacing w:line="460" w:lineRule="exact"/>
        <w:rPr>
          <w:rFonts w:hint="eastAsia" w:ascii="仿宋" w:hAnsi="仿宋" w:eastAsia="仿宋" w:cs="仿宋"/>
          <w:bCs/>
          <w:sz w:val="24"/>
        </w:rPr>
      </w:pPr>
      <w:r>
        <w:rPr>
          <w:rFonts w:hint="eastAsia" w:ascii="仿宋" w:hAnsi="仿宋" w:eastAsia="仿宋" w:cs="仿宋"/>
          <w:b/>
          <w:sz w:val="24"/>
        </w:rPr>
        <w:t>4.工程</w:t>
      </w:r>
      <w:r>
        <w:rPr>
          <w:rFonts w:hint="eastAsia" w:ascii="仿宋" w:hAnsi="仿宋" w:eastAsia="仿宋" w:cs="仿宋"/>
          <w:b/>
          <w:bCs/>
          <w:sz w:val="24"/>
        </w:rPr>
        <w:t>技术资料</w:t>
      </w:r>
      <w:r>
        <w:rPr>
          <w:rFonts w:hint="eastAsia" w:ascii="仿宋" w:hAnsi="仿宋" w:eastAsia="仿宋" w:cs="仿宋"/>
          <w:bCs/>
          <w:sz w:val="24"/>
        </w:rPr>
        <w:t>：即国家主管部门的批文、行业监管部门的许可、工程勘察设计资料等。</w:t>
      </w:r>
    </w:p>
    <w:p w14:paraId="7FE370A7">
      <w:pPr>
        <w:tabs>
          <w:tab w:val="left" w:pos="1155"/>
        </w:tabs>
        <w:spacing w:line="460" w:lineRule="exact"/>
        <w:rPr>
          <w:rFonts w:hint="eastAsia" w:ascii="仿宋" w:hAnsi="仿宋" w:eastAsia="仿宋" w:cs="仿宋"/>
          <w:bCs/>
          <w:sz w:val="24"/>
        </w:rPr>
      </w:pPr>
      <w:r>
        <w:rPr>
          <w:rFonts w:hint="eastAsia" w:ascii="仿宋" w:hAnsi="仿宋" w:eastAsia="仿宋" w:cs="仿宋"/>
          <w:b/>
          <w:sz w:val="24"/>
        </w:rPr>
        <w:t>5.知</w:t>
      </w:r>
      <w:r>
        <w:rPr>
          <w:rFonts w:hint="eastAsia" w:ascii="仿宋" w:hAnsi="仿宋" w:eastAsia="仿宋" w:cs="仿宋"/>
          <w:b/>
          <w:bCs/>
          <w:sz w:val="24"/>
        </w:rPr>
        <w:t>识产权</w:t>
      </w:r>
      <w:r>
        <w:rPr>
          <w:rFonts w:hint="eastAsia" w:ascii="仿宋" w:hAnsi="仿宋" w:eastAsia="仿宋" w:cs="仿宋"/>
          <w:bCs/>
          <w:sz w:val="24"/>
        </w:rPr>
        <w:t>：即成交供应商在提供施工技术、工程材料、工程设备等时，对涉及任何有关知识产权的法律诉讼承担全责。</w:t>
      </w:r>
    </w:p>
    <w:p w14:paraId="7E9333AF">
      <w:pPr>
        <w:tabs>
          <w:tab w:val="left" w:pos="1155"/>
        </w:tabs>
        <w:spacing w:line="460" w:lineRule="exact"/>
        <w:rPr>
          <w:rFonts w:hint="eastAsia" w:ascii="仿宋" w:hAnsi="仿宋" w:eastAsia="仿宋" w:cs="仿宋"/>
          <w:b/>
          <w:bCs/>
          <w:sz w:val="24"/>
          <w:u w:val="thick"/>
        </w:rPr>
      </w:pPr>
      <w:r>
        <w:rPr>
          <w:rFonts w:hint="eastAsia" w:ascii="仿宋" w:hAnsi="仿宋" w:eastAsia="仿宋" w:cs="仿宋"/>
          <w:b/>
          <w:sz w:val="24"/>
        </w:rPr>
        <w:t>6.工</w:t>
      </w:r>
      <w:r>
        <w:rPr>
          <w:rFonts w:hint="eastAsia" w:ascii="仿宋" w:hAnsi="仿宋" w:eastAsia="仿宋" w:cs="仿宋"/>
          <w:b/>
          <w:bCs/>
          <w:sz w:val="24"/>
        </w:rPr>
        <w:t>程施工的配合与责任</w:t>
      </w:r>
    </w:p>
    <w:p w14:paraId="53DC1786">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6.1采购人的责任（在合同中明确）。</w:t>
      </w:r>
    </w:p>
    <w:p w14:paraId="4086424B">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6.2成交供应商的责任（在合同中明确）。</w:t>
      </w:r>
    </w:p>
    <w:p w14:paraId="5876DA88">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6.3监理单位的责任（在合同中明确）。</w:t>
      </w:r>
    </w:p>
    <w:p w14:paraId="7B14A746">
      <w:pPr>
        <w:tabs>
          <w:tab w:val="left" w:pos="1155"/>
        </w:tabs>
        <w:spacing w:line="460" w:lineRule="exact"/>
        <w:rPr>
          <w:rFonts w:hint="eastAsia" w:ascii="仿宋" w:hAnsi="仿宋" w:eastAsia="仿宋" w:cs="仿宋"/>
          <w:b/>
          <w:bCs/>
          <w:sz w:val="24"/>
        </w:rPr>
      </w:pPr>
      <w:r>
        <w:rPr>
          <w:rFonts w:hint="eastAsia" w:ascii="仿宋" w:hAnsi="仿宋" w:eastAsia="仿宋" w:cs="仿宋"/>
          <w:b/>
          <w:sz w:val="24"/>
        </w:rPr>
        <w:t>7．施工</w:t>
      </w:r>
      <w:r>
        <w:rPr>
          <w:rFonts w:hint="eastAsia" w:ascii="仿宋" w:hAnsi="仿宋" w:eastAsia="仿宋" w:cs="仿宋"/>
          <w:b/>
          <w:bCs/>
          <w:sz w:val="24"/>
        </w:rPr>
        <w:t>的组织</w:t>
      </w:r>
    </w:p>
    <w:p w14:paraId="21654E8C">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7.1施工现场各方委派总责任人的职责和具体委派办法。</w:t>
      </w:r>
    </w:p>
    <w:p w14:paraId="3C05EB79">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7.2安全施工保障措施及安全责任。</w:t>
      </w:r>
    </w:p>
    <w:p w14:paraId="33524545">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7.3开工、延期开工手续与开工确认。</w:t>
      </w:r>
    </w:p>
    <w:p w14:paraId="7CECE951">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7.4暂停施工的原由、期限、再复工的确认及费用承担。</w:t>
      </w:r>
    </w:p>
    <w:p w14:paraId="3C9642DB">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7.5非正常情况下，工期可顺延的因素和确认条件。</w:t>
      </w:r>
    </w:p>
    <w:p w14:paraId="16E5A11B">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7.6工期奖罚条件。</w:t>
      </w:r>
    </w:p>
    <w:p w14:paraId="3F2E3079">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7.7项目施工进展计划。</w:t>
      </w:r>
    </w:p>
    <w:p w14:paraId="60590B07">
      <w:pPr>
        <w:tabs>
          <w:tab w:val="left" w:pos="1155"/>
        </w:tabs>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7.8施工现场管理办法。</w:t>
      </w:r>
    </w:p>
    <w:p w14:paraId="3248DC16">
      <w:pPr>
        <w:spacing w:line="460" w:lineRule="exact"/>
        <w:rPr>
          <w:rFonts w:hint="eastAsia" w:ascii="仿宋" w:hAnsi="仿宋" w:eastAsia="仿宋" w:cs="仿宋"/>
          <w:b/>
          <w:bCs/>
          <w:sz w:val="24"/>
        </w:rPr>
      </w:pPr>
      <w:r>
        <w:rPr>
          <w:rFonts w:hint="eastAsia" w:ascii="仿宋" w:hAnsi="仿宋" w:eastAsia="仿宋" w:cs="仿宋"/>
          <w:b/>
          <w:sz w:val="24"/>
        </w:rPr>
        <w:t>8.</w:t>
      </w:r>
      <w:r>
        <w:rPr>
          <w:rFonts w:hint="eastAsia" w:ascii="仿宋" w:hAnsi="仿宋" w:eastAsia="仿宋" w:cs="仿宋"/>
          <w:b/>
          <w:bCs/>
          <w:sz w:val="24"/>
        </w:rPr>
        <w:t>工程质量保证</w:t>
      </w:r>
    </w:p>
    <w:p w14:paraId="34F6D51D">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8.1</w:t>
      </w:r>
      <w:r>
        <w:rPr>
          <w:rFonts w:hint="eastAsia" w:ascii="仿宋" w:hAnsi="仿宋" w:eastAsia="仿宋" w:cs="仿宋"/>
          <w:kern w:val="0"/>
          <w:sz w:val="24"/>
          <w:szCs w:val="22"/>
        </w:rPr>
        <w:t>成交供应商</w:t>
      </w:r>
      <w:r>
        <w:rPr>
          <w:rFonts w:hint="eastAsia" w:ascii="仿宋" w:hAnsi="仿宋" w:eastAsia="仿宋" w:cs="仿宋"/>
          <w:bCs/>
          <w:sz w:val="24"/>
        </w:rPr>
        <w:t>须按照国家颁布的施工规范进行施工，接受采购人及其代理人的监督检查，并承担不合格工程的返工施工及费用。因返工耽误的工期不得顺延。</w:t>
      </w:r>
    </w:p>
    <w:p w14:paraId="04E15075">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8.2对工程施工质量出现争议的，须由质量监督部门进行认定。败诉方承担认定费用，并对造成的其他损失给予相应的补偿。</w:t>
      </w:r>
    </w:p>
    <w:p w14:paraId="0234D4E2">
      <w:pPr>
        <w:spacing w:line="460" w:lineRule="exact"/>
        <w:ind w:firstLine="470" w:firstLineChars="196"/>
        <w:rPr>
          <w:rFonts w:hint="eastAsia" w:ascii="仿宋" w:hAnsi="仿宋" w:eastAsia="仿宋" w:cs="仿宋"/>
          <w:b/>
          <w:sz w:val="24"/>
        </w:rPr>
      </w:pPr>
      <w:r>
        <w:rPr>
          <w:rFonts w:hint="eastAsia" w:ascii="仿宋" w:hAnsi="仿宋" w:eastAsia="仿宋" w:cs="仿宋"/>
          <w:bCs/>
          <w:sz w:val="24"/>
        </w:rPr>
        <w:t>8.3</w:t>
      </w:r>
      <w:r>
        <w:rPr>
          <w:rFonts w:hint="eastAsia" w:ascii="仿宋" w:hAnsi="仿宋" w:eastAsia="仿宋" w:cs="仿宋"/>
          <w:kern w:val="0"/>
          <w:sz w:val="24"/>
          <w:szCs w:val="22"/>
        </w:rPr>
        <w:t>成交供应商</w:t>
      </w:r>
      <w:r>
        <w:rPr>
          <w:rFonts w:hint="eastAsia" w:ascii="仿宋" w:hAnsi="仿宋" w:eastAsia="仿宋" w:cs="仿宋"/>
          <w:bCs/>
          <w:sz w:val="24"/>
        </w:rPr>
        <w:t xml:space="preserve">对隐蔽工程的施工，具备覆盖、掩盖条件或达到协议条款约定的部分时，须自检合格后在隐蔽施工48小时前书面通知采购人代表，经采购人代表签字确认后，方可进行隐蔽工程的施工。 </w:t>
      </w:r>
    </w:p>
    <w:p w14:paraId="4D5F1090">
      <w:pPr>
        <w:spacing w:line="460" w:lineRule="exact"/>
        <w:rPr>
          <w:rFonts w:hint="eastAsia" w:ascii="仿宋" w:hAnsi="仿宋" w:eastAsia="仿宋" w:cs="仿宋"/>
          <w:b/>
          <w:bCs/>
          <w:sz w:val="24"/>
        </w:rPr>
      </w:pPr>
      <w:r>
        <w:rPr>
          <w:rFonts w:hint="eastAsia" w:ascii="仿宋" w:hAnsi="仿宋" w:eastAsia="仿宋" w:cs="仿宋"/>
          <w:b/>
          <w:sz w:val="24"/>
        </w:rPr>
        <w:t>9.工程</w:t>
      </w:r>
      <w:r>
        <w:rPr>
          <w:rFonts w:hint="eastAsia" w:ascii="仿宋" w:hAnsi="仿宋" w:eastAsia="仿宋" w:cs="仿宋"/>
          <w:b/>
          <w:bCs/>
          <w:sz w:val="24"/>
        </w:rPr>
        <w:t>材料设备供应</w:t>
      </w:r>
    </w:p>
    <w:p w14:paraId="079FA93B">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9.1由采购人供应的材料设备，由采购人提供清单，运达协商确定的地点，并在24小时前通知成交供应商验收（具体验收方式在合同中明确）。</w:t>
      </w:r>
    </w:p>
    <w:p w14:paraId="5F819EB0">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9.2由成交供应商自供的材料设备，由成交供应商提供清单，运达指定地点，并在到货24小时内通知甲方代表验收（具体验收方式在合同中明确）。</w:t>
      </w:r>
    </w:p>
    <w:p w14:paraId="4365E42E">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9.3由于工程建设的需要，经采购人同意后，可以对相应的材料进行调整，并协商确定价格差额计算方法和负担办法。</w:t>
      </w:r>
    </w:p>
    <w:p w14:paraId="30B4C466">
      <w:pPr>
        <w:spacing w:line="460" w:lineRule="exact"/>
        <w:rPr>
          <w:rFonts w:hint="eastAsia" w:ascii="仿宋" w:hAnsi="仿宋" w:eastAsia="仿宋" w:cs="仿宋"/>
          <w:b/>
          <w:bCs/>
          <w:sz w:val="24"/>
        </w:rPr>
      </w:pPr>
      <w:r>
        <w:rPr>
          <w:rFonts w:hint="eastAsia" w:ascii="仿宋" w:hAnsi="仿宋" w:eastAsia="仿宋" w:cs="仿宋"/>
          <w:b/>
          <w:sz w:val="24"/>
        </w:rPr>
        <w:t>10.工程</w:t>
      </w:r>
      <w:r>
        <w:rPr>
          <w:rFonts w:hint="eastAsia" w:ascii="仿宋" w:hAnsi="仿宋" w:eastAsia="仿宋" w:cs="仿宋"/>
          <w:b/>
          <w:bCs/>
          <w:sz w:val="24"/>
        </w:rPr>
        <w:t>设计的变更</w:t>
      </w:r>
    </w:p>
    <w:p w14:paraId="73C50500">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10.1工程设计变更的内容与审批手续。</w:t>
      </w:r>
    </w:p>
    <w:p w14:paraId="2590332E">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10.2工程设计变更后的工程价款的计算、建设工期确定的具体办法。</w:t>
      </w:r>
    </w:p>
    <w:p w14:paraId="7F36C901">
      <w:pPr>
        <w:spacing w:line="460" w:lineRule="exact"/>
        <w:rPr>
          <w:rFonts w:hint="eastAsia" w:ascii="仿宋" w:hAnsi="仿宋" w:eastAsia="仿宋" w:cs="仿宋"/>
          <w:b/>
          <w:bCs/>
          <w:sz w:val="24"/>
        </w:rPr>
      </w:pPr>
      <w:r>
        <w:rPr>
          <w:rFonts w:hint="eastAsia" w:ascii="仿宋" w:hAnsi="仿宋" w:eastAsia="仿宋" w:cs="仿宋"/>
          <w:b/>
          <w:sz w:val="24"/>
        </w:rPr>
        <w:t>11.竣工</w:t>
      </w:r>
      <w:r>
        <w:rPr>
          <w:rFonts w:hint="eastAsia" w:ascii="仿宋" w:hAnsi="仿宋" w:eastAsia="仿宋" w:cs="仿宋"/>
          <w:b/>
          <w:bCs/>
          <w:sz w:val="24"/>
        </w:rPr>
        <w:t>验收与质保期</w:t>
      </w:r>
    </w:p>
    <w:p w14:paraId="1F7B711B">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11.1竣工须达到的标准和具备工程验收的条件。</w:t>
      </w:r>
    </w:p>
    <w:p w14:paraId="3381A8D2">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11.2工程验收规范、标准，验收的组织实施。</w:t>
      </w:r>
    </w:p>
    <w:p w14:paraId="199596EF">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11.3工程验收合格须移交的工程资料和竣工图纸等。</w:t>
      </w:r>
    </w:p>
    <w:p w14:paraId="7EBD6364">
      <w:pPr>
        <w:spacing w:line="460" w:lineRule="exact"/>
        <w:ind w:firstLine="470" w:firstLineChars="196"/>
        <w:rPr>
          <w:rFonts w:hint="eastAsia" w:ascii="仿宋" w:hAnsi="仿宋" w:eastAsia="仿宋" w:cs="仿宋"/>
          <w:bCs/>
          <w:sz w:val="24"/>
        </w:rPr>
      </w:pPr>
      <w:r>
        <w:rPr>
          <w:rFonts w:hint="eastAsia" w:ascii="仿宋" w:hAnsi="仿宋" w:eastAsia="仿宋" w:cs="仿宋"/>
          <w:bCs/>
          <w:sz w:val="24"/>
        </w:rPr>
        <w:t>11.4工程质保期：2年。</w:t>
      </w:r>
    </w:p>
    <w:p w14:paraId="4174EAC2">
      <w:pPr>
        <w:tabs>
          <w:tab w:val="left" w:pos="840"/>
        </w:tabs>
        <w:spacing w:line="460" w:lineRule="exact"/>
        <w:rPr>
          <w:rFonts w:hint="eastAsia" w:ascii="仿宋" w:hAnsi="仿宋" w:eastAsia="仿宋" w:cs="仿宋"/>
          <w:b/>
          <w:sz w:val="24"/>
        </w:rPr>
      </w:pPr>
      <w:r>
        <w:rPr>
          <w:rFonts w:hint="eastAsia" w:ascii="仿宋" w:hAnsi="仿宋" w:eastAsia="仿宋" w:cs="仿宋"/>
          <w:b/>
          <w:sz w:val="24"/>
        </w:rPr>
        <w:t>12.工期及工程质量</w:t>
      </w:r>
    </w:p>
    <w:p w14:paraId="2118B360">
      <w:pPr>
        <w:tabs>
          <w:tab w:val="left" w:pos="840"/>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12.1工期：50天，自甲方发出开工令当天为准。乙方需在2月25日开学前完成两校园餐厅整改内容。</w:t>
      </w:r>
    </w:p>
    <w:p w14:paraId="4FBFBC37">
      <w:pPr>
        <w:tabs>
          <w:tab w:val="left" w:pos="840"/>
        </w:tabs>
        <w:spacing w:line="460" w:lineRule="exact"/>
        <w:ind w:firstLine="480" w:firstLineChars="200"/>
        <w:rPr>
          <w:rFonts w:hint="eastAsia" w:ascii="仿宋" w:hAnsi="仿宋" w:eastAsia="仿宋" w:cs="仿宋"/>
          <w:bCs/>
          <w:sz w:val="24"/>
        </w:rPr>
      </w:pPr>
      <w:r>
        <w:rPr>
          <w:rFonts w:hint="eastAsia" w:ascii="仿宋" w:hAnsi="仿宋" w:eastAsia="仿宋" w:cs="仿宋"/>
          <w:sz w:val="24"/>
        </w:rPr>
        <w:t>12.2工程质量：合格，符合国家、地方相关标准。</w:t>
      </w:r>
    </w:p>
    <w:p w14:paraId="72050FBD">
      <w:pPr>
        <w:tabs>
          <w:tab w:val="left" w:pos="840"/>
        </w:tabs>
        <w:spacing w:line="460" w:lineRule="exact"/>
        <w:rPr>
          <w:rFonts w:hint="eastAsia" w:ascii="仿宋" w:hAnsi="仿宋" w:eastAsia="仿宋" w:cs="仿宋"/>
          <w:b/>
          <w:bCs/>
          <w:sz w:val="24"/>
        </w:rPr>
      </w:pPr>
      <w:r>
        <w:rPr>
          <w:rFonts w:hint="eastAsia" w:ascii="仿宋" w:hAnsi="仿宋" w:eastAsia="仿宋" w:cs="仿宋"/>
          <w:b/>
          <w:sz w:val="24"/>
        </w:rPr>
        <w:t>13.款</w:t>
      </w:r>
      <w:r>
        <w:rPr>
          <w:rFonts w:hint="eastAsia" w:ascii="仿宋" w:hAnsi="仿宋" w:eastAsia="仿宋" w:cs="仿宋"/>
          <w:b/>
          <w:bCs/>
          <w:sz w:val="24"/>
        </w:rPr>
        <w:t>项结算：</w:t>
      </w:r>
    </w:p>
    <w:p w14:paraId="1598AB71">
      <w:pPr>
        <w:tabs>
          <w:tab w:val="left" w:pos="840"/>
        </w:tabs>
        <w:spacing w:line="460" w:lineRule="exact"/>
        <w:ind w:firstLine="480" w:firstLineChars="200"/>
        <w:rPr>
          <w:rFonts w:hint="eastAsia" w:ascii="仿宋" w:hAnsi="仿宋" w:eastAsia="仿宋" w:cs="仿宋"/>
          <w:sz w:val="24"/>
        </w:rPr>
      </w:pPr>
      <w:r>
        <w:rPr>
          <w:rFonts w:hint="eastAsia" w:ascii="仿宋" w:hAnsi="仿宋" w:eastAsia="仿宋" w:cs="仿宋"/>
          <w:sz w:val="24"/>
        </w:rPr>
        <w:t>1、结算单位：采购人结算</w:t>
      </w:r>
      <w:r>
        <w:rPr>
          <w:rFonts w:hint="eastAsia" w:ascii="仿宋" w:hAnsi="仿宋" w:eastAsia="仿宋" w:cs="仿宋"/>
          <w:sz w:val="24"/>
          <w:lang w:val="hr-HR"/>
        </w:rPr>
        <w:t>；</w:t>
      </w:r>
    </w:p>
    <w:p w14:paraId="7A757579">
      <w:pPr>
        <w:spacing w:line="460" w:lineRule="exact"/>
        <w:ind w:firstLine="480" w:firstLineChars="200"/>
        <w:rPr>
          <w:rFonts w:hint="eastAsia" w:ascii="仿宋" w:hAnsi="仿宋" w:eastAsia="仿宋" w:cs="仿宋"/>
          <w:sz w:val="24"/>
        </w:rPr>
      </w:pPr>
      <w:r>
        <w:rPr>
          <w:rFonts w:hint="eastAsia" w:ascii="仿宋" w:hAnsi="仿宋" w:eastAsia="仿宋" w:cs="仿宋"/>
          <w:sz w:val="24"/>
        </w:rPr>
        <w:t>2、付款方式：</w:t>
      </w:r>
    </w:p>
    <w:p w14:paraId="30669427">
      <w:pPr>
        <w:spacing w:line="460" w:lineRule="exact"/>
        <w:ind w:firstLine="480" w:firstLineChars="200"/>
        <w:rPr>
          <w:rFonts w:hint="eastAsia" w:ascii="仿宋" w:hAnsi="仿宋" w:eastAsia="仿宋" w:cs="仿宋"/>
          <w:sz w:val="24"/>
        </w:rPr>
      </w:pPr>
      <w:r>
        <w:rPr>
          <w:rFonts w:hint="eastAsia" w:ascii="仿宋" w:hAnsi="仿宋" w:eastAsia="仿宋" w:cs="仿宋"/>
          <w:sz w:val="24"/>
        </w:rPr>
        <w:t>签订合同前向学校缴纳3%的履约保证金，合同签订后采购人支付40%合同金额的预付款。工程完工经学校验收合格后支付20%工程款，经工程审计，支付至审定价的100%。</w:t>
      </w:r>
    </w:p>
    <w:p w14:paraId="109C848A">
      <w:pPr>
        <w:spacing w:line="460" w:lineRule="exact"/>
        <w:rPr>
          <w:rFonts w:hint="eastAsia" w:ascii="仿宋" w:hAnsi="仿宋" w:eastAsia="仿宋" w:cs="仿宋"/>
          <w:b/>
          <w:bCs/>
          <w:sz w:val="24"/>
        </w:rPr>
      </w:pPr>
      <w:r>
        <w:rPr>
          <w:rFonts w:hint="eastAsia" w:ascii="仿宋" w:hAnsi="仿宋" w:eastAsia="仿宋" w:cs="仿宋"/>
          <w:b/>
          <w:sz w:val="24"/>
        </w:rPr>
        <w:t>14.合</w:t>
      </w:r>
      <w:r>
        <w:rPr>
          <w:rFonts w:hint="eastAsia" w:ascii="仿宋" w:hAnsi="仿宋" w:eastAsia="仿宋" w:cs="仿宋"/>
          <w:b/>
          <w:bCs/>
          <w:sz w:val="24"/>
        </w:rPr>
        <w:t>同争议的解决</w:t>
      </w:r>
      <w:r>
        <w:rPr>
          <w:rFonts w:hint="eastAsia" w:ascii="仿宋" w:hAnsi="仿宋" w:eastAsia="仿宋" w:cs="仿宋"/>
          <w:bCs/>
          <w:sz w:val="24"/>
        </w:rPr>
        <w:t>：</w:t>
      </w:r>
    </w:p>
    <w:p w14:paraId="72842548">
      <w:pPr>
        <w:tabs>
          <w:tab w:val="left" w:pos="1155"/>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合同执行中发生争议的，当事人双方须协商解决，协商达不成一致时，可向当地行政仲裁机关申请仲裁或者向人民法院提请诉讼。</w:t>
      </w:r>
    </w:p>
    <w:p w14:paraId="28B9795B">
      <w:pPr>
        <w:tabs>
          <w:tab w:val="left" w:pos="1155"/>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在发生不可抗力情况下的应对措施和解决办法。</w:t>
      </w:r>
    </w:p>
    <w:p w14:paraId="5F20EDB9">
      <w:pPr>
        <w:tabs>
          <w:tab w:val="left" w:pos="1155"/>
        </w:tabs>
        <w:spacing w:line="460" w:lineRule="exact"/>
        <w:ind w:firstLine="480" w:firstLineChars="200"/>
        <w:rPr>
          <w:rFonts w:hint="eastAsia" w:ascii="仿宋" w:hAnsi="仿宋" w:eastAsia="仿宋" w:cs="仿宋"/>
          <w:bCs/>
          <w:sz w:val="24"/>
        </w:rPr>
      </w:pPr>
      <w:r>
        <w:rPr>
          <w:rFonts w:hint="eastAsia" w:ascii="仿宋" w:hAnsi="仿宋" w:eastAsia="仿宋" w:cs="仿宋"/>
          <w:bCs/>
          <w:sz w:val="24"/>
        </w:rPr>
        <w:t>合同一经签订，不得擅自变更、中止或者终止合同。对确需变更、调整或者中止、终止合同的，须按规定履行相应的手续。</w:t>
      </w:r>
    </w:p>
    <w:p w14:paraId="2ADCC8A1">
      <w:pPr>
        <w:tabs>
          <w:tab w:val="left" w:pos="1155"/>
        </w:tabs>
        <w:spacing w:line="460" w:lineRule="exact"/>
        <w:rPr>
          <w:rFonts w:hint="eastAsia" w:ascii="仿宋" w:hAnsi="仿宋" w:eastAsia="仿宋" w:cs="仿宋"/>
          <w:b/>
          <w:sz w:val="24"/>
        </w:rPr>
      </w:pPr>
      <w:r>
        <w:rPr>
          <w:rFonts w:hint="eastAsia" w:ascii="仿宋" w:hAnsi="仿宋" w:eastAsia="仿宋" w:cs="仿宋"/>
          <w:b/>
          <w:bCs/>
          <w:sz w:val="24"/>
        </w:rPr>
        <w:t>15.</w:t>
      </w:r>
      <w:r>
        <w:rPr>
          <w:rFonts w:hint="eastAsia" w:ascii="仿宋" w:hAnsi="仿宋" w:eastAsia="仿宋" w:cs="仿宋"/>
          <w:b/>
          <w:sz w:val="24"/>
        </w:rPr>
        <w:t>违约责任：</w:t>
      </w:r>
    </w:p>
    <w:p w14:paraId="7CD109C5">
      <w:pPr>
        <w:tabs>
          <w:tab w:val="left" w:pos="1155"/>
        </w:tabs>
        <w:spacing w:line="460" w:lineRule="exact"/>
        <w:ind w:firstLine="470" w:firstLineChars="196"/>
        <w:rPr>
          <w:rFonts w:hint="eastAsia" w:ascii="仿宋" w:hAnsi="仿宋" w:eastAsia="仿宋" w:cs="仿宋"/>
          <w:sz w:val="24"/>
        </w:rPr>
      </w:pPr>
      <w:r>
        <w:rPr>
          <w:rFonts w:hint="eastAsia" w:ascii="仿宋" w:hAnsi="仿宋" w:eastAsia="仿宋" w:cs="仿宋"/>
          <w:sz w:val="24"/>
        </w:rPr>
        <w:t>依据《中华人民共和国民法典》、《中华人民共和国政府采购法》的相关条款规定和本合同约定，成交供应商未全面履行合同义务或者发生违约，采购人会同采购代理机构有权终止合同，依法向成交供应商进行经济索赔。采购人违约的，须赔偿成交供应商的经济损失。</w:t>
      </w:r>
    </w:p>
    <w:p w14:paraId="31A0E6F8">
      <w:pPr>
        <w:tabs>
          <w:tab w:val="left" w:pos="980"/>
        </w:tabs>
        <w:kinsoku w:val="0"/>
        <w:spacing w:line="460" w:lineRule="exact"/>
        <w:rPr>
          <w:rFonts w:hint="eastAsia" w:ascii="仿宋" w:hAnsi="仿宋" w:eastAsia="仿宋" w:cs="仿宋"/>
          <w:b/>
          <w:sz w:val="24"/>
        </w:rPr>
      </w:pPr>
      <w:r>
        <w:rPr>
          <w:rFonts w:hint="eastAsia" w:ascii="仿宋" w:hAnsi="仿宋" w:eastAsia="仿宋" w:cs="仿宋"/>
          <w:b/>
          <w:sz w:val="24"/>
        </w:rPr>
        <w:t>16</w:t>
      </w:r>
      <w:r>
        <w:rPr>
          <w:rFonts w:hint="eastAsia" w:ascii="仿宋" w:hAnsi="仿宋" w:eastAsia="仿宋" w:cs="仿宋"/>
          <w:b/>
          <w:bCs/>
          <w:sz w:val="24"/>
        </w:rPr>
        <w:t>.</w:t>
      </w:r>
      <w:r>
        <w:rPr>
          <w:rFonts w:hint="eastAsia" w:ascii="仿宋" w:hAnsi="仿宋" w:eastAsia="仿宋" w:cs="仿宋"/>
          <w:b/>
          <w:sz w:val="24"/>
        </w:rPr>
        <w:t>合同：</w:t>
      </w:r>
    </w:p>
    <w:p w14:paraId="10357EDB">
      <w:pPr>
        <w:tabs>
          <w:tab w:val="left" w:pos="980"/>
        </w:tabs>
        <w:wordWrap w:val="0"/>
        <w:spacing w:line="460" w:lineRule="exact"/>
        <w:ind w:firstLine="470" w:firstLineChars="196"/>
        <w:rPr>
          <w:rFonts w:hint="eastAsia" w:ascii="仿宋" w:hAnsi="仿宋" w:eastAsia="仿宋" w:cs="仿宋"/>
          <w:sz w:val="24"/>
        </w:rPr>
      </w:pPr>
      <w:r>
        <w:rPr>
          <w:rFonts w:hint="eastAsia" w:ascii="仿宋" w:hAnsi="仿宋" w:eastAsia="仿宋" w:cs="仿宋"/>
          <w:sz w:val="24"/>
        </w:rPr>
        <w:t>本合同一式六份，甲方四份，乙方一份，采购代理机构一份。甲乙双方签字盖章后生效，合同执行完毕自动失效。（合同的服务承诺则长期有效）。</w:t>
      </w:r>
    </w:p>
    <w:p w14:paraId="5D5CB583">
      <w:pPr>
        <w:rPr>
          <w:rFonts w:hint="eastAsia" w:ascii="仿宋" w:hAnsi="仿宋" w:eastAsia="仿宋" w:cs="仿宋"/>
          <w:b/>
          <w:sz w:val="24"/>
        </w:rPr>
      </w:pPr>
      <w:r>
        <w:rPr>
          <w:rFonts w:hint="eastAsia" w:ascii="仿宋" w:hAnsi="仿宋" w:eastAsia="仿宋" w:cs="仿宋"/>
          <w:b/>
          <w:sz w:val="24"/>
        </w:rPr>
        <w:t>17.其他（在合同中具体明确）</w:t>
      </w:r>
    </w:p>
    <w:tbl>
      <w:tblPr>
        <w:tblStyle w:val="3"/>
        <w:tblW w:w="8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440"/>
      </w:tblGrid>
      <w:tr w14:paraId="22C69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575580E5">
            <w:pPr>
              <w:spacing w:line="360" w:lineRule="auto"/>
              <w:jc w:val="left"/>
              <w:rPr>
                <w:rFonts w:hint="eastAsia" w:ascii="仿宋" w:hAnsi="仿宋" w:eastAsia="仿宋" w:cs="仿宋"/>
                <w:sz w:val="24"/>
              </w:rPr>
            </w:pPr>
            <w:r>
              <w:rPr>
                <w:rFonts w:hint="eastAsia" w:ascii="仿宋" w:hAnsi="仿宋" w:eastAsia="仿宋" w:cs="仿宋"/>
                <w:sz w:val="24"/>
              </w:rPr>
              <w:t>甲  方</w:t>
            </w:r>
          </w:p>
        </w:tc>
        <w:tc>
          <w:tcPr>
            <w:tcW w:w="4440" w:type="dxa"/>
            <w:tcBorders>
              <w:top w:val="single" w:color="auto" w:sz="4" w:space="0"/>
              <w:left w:val="single" w:color="auto" w:sz="4" w:space="0"/>
              <w:bottom w:val="single" w:color="auto" w:sz="4" w:space="0"/>
              <w:right w:val="single" w:color="auto" w:sz="4" w:space="0"/>
            </w:tcBorders>
            <w:vAlign w:val="center"/>
          </w:tcPr>
          <w:p w14:paraId="5FA41D22">
            <w:pPr>
              <w:spacing w:line="360" w:lineRule="auto"/>
              <w:jc w:val="left"/>
              <w:rPr>
                <w:rFonts w:hint="eastAsia" w:ascii="仿宋" w:hAnsi="仿宋" w:eastAsia="仿宋" w:cs="仿宋"/>
                <w:sz w:val="24"/>
              </w:rPr>
            </w:pPr>
            <w:r>
              <w:rPr>
                <w:rFonts w:hint="eastAsia" w:ascii="仿宋" w:hAnsi="仿宋" w:eastAsia="仿宋" w:cs="仿宋"/>
                <w:sz w:val="24"/>
              </w:rPr>
              <w:t>乙  方</w:t>
            </w:r>
          </w:p>
        </w:tc>
      </w:tr>
      <w:tr w14:paraId="5E07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3E996DFA">
            <w:pPr>
              <w:spacing w:line="360" w:lineRule="auto"/>
              <w:jc w:val="left"/>
              <w:rPr>
                <w:rFonts w:hint="eastAsia" w:ascii="仿宋" w:hAnsi="仿宋" w:eastAsia="仿宋" w:cs="仿宋"/>
                <w:sz w:val="24"/>
              </w:rPr>
            </w:pPr>
            <w:r>
              <w:rPr>
                <w:rFonts w:hint="eastAsia" w:ascii="仿宋" w:hAnsi="仿宋" w:eastAsia="仿宋" w:cs="仿宋"/>
                <w:sz w:val="24"/>
              </w:rPr>
              <w:t>（盖章）</w:t>
            </w:r>
          </w:p>
        </w:tc>
        <w:tc>
          <w:tcPr>
            <w:tcW w:w="4440" w:type="dxa"/>
            <w:tcBorders>
              <w:top w:val="single" w:color="auto" w:sz="4" w:space="0"/>
              <w:left w:val="single" w:color="auto" w:sz="4" w:space="0"/>
              <w:bottom w:val="single" w:color="auto" w:sz="4" w:space="0"/>
              <w:right w:val="single" w:color="auto" w:sz="4" w:space="0"/>
            </w:tcBorders>
            <w:vAlign w:val="center"/>
          </w:tcPr>
          <w:p w14:paraId="1ED19E39">
            <w:pPr>
              <w:spacing w:line="360" w:lineRule="auto"/>
              <w:jc w:val="left"/>
              <w:rPr>
                <w:rFonts w:hint="eastAsia" w:ascii="仿宋" w:hAnsi="仿宋" w:eastAsia="仿宋" w:cs="仿宋"/>
                <w:sz w:val="24"/>
              </w:rPr>
            </w:pPr>
            <w:r>
              <w:rPr>
                <w:rFonts w:hint="eastAsia" w:ascii="仿宋" w:hAnsi="仿宋" w:eastAsia="仿宋" w:cs="仿宋"/>
                <w:sz w:val="24"/>
              </w:rPr>
              <w:t>成交供应商全称</w:t>
            </w:r>
          </w:p>
          <w:p w14:paraId="5E6EF8A9">
            <w:pPr>
              <w:spacing w:line="360" w:lineRule="auto"/>
              <w:jc w:val="left"/>
              <w:rPr>
                <w:rFonts w:hint="eastAsia" w:ascii="仿宋" w:hAnsi="仿宋" w:eastAsia="仿宋" w:cs="仿宋"/>
                <w:sz w:val="24"/>
              </w:rPr>
            </w:pPr>
            <w:r>
              <w:rPr>
                <w:rFonts w:hint="eastAsia" w:ascii="仿宋" w:hAnsi="仿宋" w:eastAsia="仿宋" w:cs="仿宋"/>
                <w:sz w:val="24"/>
              </w:rPr>
              <w:t>（盖章）</w:t>
            </w:r>
          </w:p>
        </w:tc>
      </w:tr>
      <w:tr w14:paraId="090C8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1DDD52DE">
            <w:pPr>
              <w:spacing w:line="360" w:lineRule="auto"/>
              <w:jc w:val="left"/>
              <w:rPr>
                <w:rFonts w:hint="eastAsia" w:ascii="仿宋" w:hAnsi="仿宋" w:eastAsia="仿宋" w:cs="仿宋"/>
                <w:sz w:val="24"/>
              </w:rPr>
            </w:pPr>
            <w:r>
              <w:rPr>
                <w:rFonts w:hint="eastAsia" w:ascii="仿宋" w:hAnsi="仿宋" w:eastAsia="仿宋" w:cs="仿宋"/>
                <w:sz w:val="24"/>
              </w:rPr>
              <w:t>地址：</w:t>
            </w:r>
          </w:p>
        </w:tc>
        <w:tc>
          <w:tcPr>
            <w:tcW w:w="4440" w:type="dxa"/>
            <w:tcBorders>
              <w:top w:val="single" w:color="auto" w:sz="4" w:space="0"/>
              <w:left w:val="single" w:color="auto" w:sz="4" w:space="0"/>
              <w:bottom w:val="single" w:color="auto" w:sz="4" w:space="0"/>
              <w:right w:val="single" w:color="auto" w:sz="4" w:space="0"/>
            </w:tcBorders>
            <w:vAlign w:val="center"/>
          </w:tcPr>
          <w:p w14:paraId="6B9EF216">
            <w:pPr>
              <w:spacing w:line="360" w:lineRule="auto"/>
              <w:jc w:val="left"/>
              <w:rPr>
                <w:rFonts w:hint="eastAsia" w:ascii="仿宋" w:hAnsi="仿宋" w:eastAsia="仿宋" w:cs="仿宋"/>
                <w:sz w:val="24"/>
              </w:rPr>
            </w:pPr>
            <w:r>
              <w:rPr>
                <w:rFonts w:hint="eastAsia" w:ascii="仿宋" w:hAnsi="仿宋" w:eastAsia="仿宋" w:cs="仿宋"/>
                <w:sz w:val="24"/>
              </w:rPr>
              <w:t>地址：</w:t>
            </w:r>
          </w:p>
        </w:tc>
      </w:tr>
      <w:tr w14:paraId="5CB1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5F8A6A16">
            <w:pPr>
              <w:spacing w:line="360" w:lineRule="auto"/>
              <w:jc w:val="left"/>
              <w:rPr>
                <w:rFonts w:hint="eastAsia" w:ascii="仿宋" w:hAnsi="仿宋" w:eastAsia="仿宋" w:cs="仿宋"/>
                <w:sz w:val="24"/>
              </w:rPr>
            </w:pPr>
            <w:r>
              <w:rPr>
                <w:rFonts w:hint="eastAsia" w:ascii="仿宋" w:hAnsi="仿宋" w:eastAsia="仿宋" w:cs="仿宋"/>
                <w:sz w:val="24"/>
              </w:rPr>
              <w:t>邮编：</w:t>
            </w:r>
          </w:p>
        </w:tc>
        <w:tc>
          <w:tcPr>
            <w:tcW w:w="4440" w:type="dxa"/>
            <w:tcBorders>
              <w:top w:val="single" w:color="auto" w:sz="4" w:space="0"/>
              <w:left w:val="single" w:color="auto" w:sz="4" w:space="0"/>
              <w:bottom w:val="single" w:color="auto" w:sz="4" w:space="0"/>
              <w:right w:val="single" w:color="auto" w:sz="4" w:space="0"/>
            </w:tcBorders>
            <w:vAlign w:val="center"/>
          </w:tcPr>
          <w:p w14:paraId="4DB2C828">
            <w:pPr>
              <w:spacing w:line="360" w:lineRule="auto"/>
              <w:jc w:val="left"/>
              <w:rPr>
                <w:rFonts w:hint="eastAsia" w:ascii="仿宋" w:hAnsi="仿宋" w:eastAsia="仿宋" w:cs="仿宋"/>
                <w:sz w:val="24"/>
              </w:rPr>
            </w:pPr>
            <w:r>
              <w:rPr>
                <w:rFonts w:hint="eastAsia" w:ascii="仿宋" w:hAnsi="仿宋" w:eastAsia="仿宋" w:cs="仿宋"/>
                <w:sz w:val="24"/>
              </w:rPr>
              <w:t>邮编：</w:t>
            </w:r>
          </w:p>
        </w:tc>
      </w:tr>
      <w:tr w14:paraId="2F59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vMerge w:val="restart"/>
            <w:tcBorders>
              <w:top w:val="single" w:color="auto" w:sz="4" w:space="0"/>
              <w:left w:val="single" w:color="auto" w:sz="4" w:space="0"/>
              <w:right w:val="single" w:color="auto" w:sz="4" w:space="0"/>
            </w:tcBorders>
            <w:vAlign w:val="center"/>
          </w:tcPr>
          <w:p w14:paraId="5D9C3E31">
            <w:pPr>
              <w:spacing w:line="360" w:lineRule="auto"/>
              <w:jc w:val="left"/>
              <w:rPr>
                <w:rFonts w:hint="eastAsia" w:ascii="仿宋" w:hAnsi="仿宋" w:eastAsia="仿宋" w:cs="仿宋"/>
                <w:sz w:val="24"/>
              </w:rPr>
            </w:pPr>
            <w:r>
              <w:rPr>
                <w:rFonts w:hint="eastAsia" w:ascii="仿宋" w:hAnsi="仿宋" w:eastAsia="仿宋" w:cs="仿宋"/>
                <w:sz w:val="24"/>
              </w:rPr>
              <w:t>全权代表：（签字）</w:t>
            </w:r>
          </w:p>
        </w:tc>
        <w:tc>
          <w:tcPr>
            <w:tcW w:w="4440" w:type="dxa"/>
            <w:tcBorders>
              <w:top w:val="single" w:color="auto" w:sz="4" w:space="0"/>
              <w:left w:val="single" w:color="auto" w:sz="4" w:space="0"/>
              <w:bottom w:val="single" w:color="auto" w:sz="4" w:space="0"/>
              <w:right w:val="single" w:color="auto" w:sz="4" w:space="0"/>
            </w:tcBorders>
            <w:vAlign w:val="center"/>
          </w:tcPr>
          <w:p w14:paraId="45D45B02">
            <w:pPr>
              <w:spacing w:line="360" w:lineRule="auto"/>
              <w:jc w:val="left"/>
              <w:rPr>
                <w:rFonts w:hint="eastAsia" w:ascii="仿宋" w:hAnsi="仿宋" w:eastAsia="仿宋" w:cs="仿宋"/>
                <w:sz w:val="24"/>
              </w:rPr>
            </w:pPr>
            <w:r>
              <w:rPr>
                <w:rFonts w:hint="eastAsia" w:ascii="仿宋" w:hAnsi="仿宋" w:eastAsia="仿宋" w:cs="仿宋"/>
                <w:sz w:val="24"/>
              </w:rPr>
              <w:t>法定代表人：</w:t>
            </w:r>
          </w:p>
        </w:tc>
      </w:tr>
      <w:tr w14:paraId="7927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439" w:type="dxa"/>
            <w:vMerge w:val="continue"/>
            <w:tcBorders>
              <w:left w:val="single" w:color="auto" w:sz="4" w:space="0"/>
              <w:bottom w:val="single" w:color="auto" w:sz="4" w:space="0"/>
              <w:right w:val="single" w:color="auto" w:sz="4" w:space="0"/>
            </w:tcBorders>
            <w:vAlign w:val="center"/>
          </w:tcPr>
          <w:p w14:paraId="2497E72C">
            <w:pPr>
              <w:spacing w:line="360" w:lineRule="auto"/>
              <w:jc w:val="left"/>
              <w:rPr>
                <w:rFonts w:hint="eastAsia" w:ascii="仿宋" w:hAnsi="仿宋" w:eastAsia="仿宋" w:cs="仿宋"/>
                <w:sz w:val="24"/>
              </w:rPr>
            </w:pPr>
          </w:p>
        </w:tc>
        <w:tc>
          <w:tcPr>
            <w:tcW w:w="4440" w:type="dxa"/>
            <w:tcBorders>
              <w:top w:val="single" w:color="auto" w:sz="4" w:space="0"/>
              <w:left w:val="single" w:color="auto" w:sz="4" w:space="0"/>
              <w:bottom w:val="single" w:color="auto" w:sz="4" w:space="0"/>
              <w:right w:val="single" w:color="auto" w:sz="4" w:space="0"/>
            </w:tcBorders>
            <w:vAlign w:val="center"/>
          </w:tcPr>
          <w:p w14:paraId="255BD7A9">
            <w:pPr>
              <w:spacing w:line="360" w:lineRule="auto"/>
              <w:jc w:val="left"/>
              <w:rPr>
                <w:rFonts w:hint="eastAsia" w:ascii="仿宋" w:hAnsi="仿宋" w:eastAsia="仿宋" w:cs="仿宋"/>
                <w:sz w:val="24"/>
              </w:rPr>
            </w:pPr>
            <w:r>
              <w:rPr>
                <w:rFonts w:hint="eastAsia" w:ascii="仿宋" w:hAnsi="仿宋" w:eastAsia="仿宋" w:cs="仿宋"/>
                <w:sz w:val="24"/>
              </w:rPr>
              <w:t>被授权代表：（签字）</w:t>
            </w:r>
          </w:p>
        </w:tc>
      </w:tr>
      <w:tr w14:paraId="435C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2D3A7EBC">
            <w:pPr>
              <w:spacing w:line="360" w:lineRule="auto"/>
              <w:jc w:val="left"/>
              <w:rPr>
                <w:rFonts w:hint="eastAsia" w:ascii="仿宋" w:hAnsi="仿宋" w:eastAsia="仿宋" w:cs="仿宋"/>
                <w:sz w:val="24"/>
              </w:rPr>
            </w:pPr>
            <w:r>
              <w:rPr>
                <w:rFonts w:hint="eastAsia" w:ascii="仿宋" w:hAnsi="仿宋" w:eastAsia="仿宋" w:cs="仿宋"/>
                <w:sz w:val="24"/>
              </w:rPr>
              <w:t>电话：</w:t>
            </w:r>
          </w:p>
        </w:tc>
        <w:tc>
          <w:tcPr>
            <w:tcW w:w="4440" w:type="dxa"/>
            <w:tcBorders>
              <w:top w:val="single" w:color="auto" w:sz="4" w:space="0"/>
              <w:left w:val="single" w:color="auto" w:sz="4" w:space="0"/>
              <w:bottom w:val="single" w:color="auto" w:sz="4" w:space="0"/>
              <w:right w:val="single" w:color="auto" w:sz="4" w:space="0"/>
            </w:tcBorders>
            <w:vAlign w:val="center"/>
          </w:tcPr>
          <w:p w14:paraId="1CCAE763">
            <w:pPr>
              <w:spacing w:line="360" w:lineRule="auto"/>
              <w:jc w:val="left"/>
              <w:rPr>
                <w:rFonts w:hint="eastAsia" w:ascii="仿宋" w:hAnsi="仿宋" w:eastAsia="仿宋" w:cs="仿宋"/>
                <w:sz w:val="24"/>
              </w:rPr>
            </w:pPr>
            <w:r>
              <w:rPr>
                <w:rFonts w:hint="eastAsia" w:ascii="仿宋" w:hAnsi="仿宋" w:eastAsia="仿宋" w:cs="仿宋"/>
                <w:sz w:val="24"/>
              </w:rPr>
              <w:t>电话：</w:t>
            </w:r>
          </w:p>
        </w:tc>
      </w:tr>
      <w:tr w14:paraId="1B51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6A4077FB">
            <w:pPr>
              <w:spacing w:line="360" w:lineRule="auto"/>
              <w:jc w:val="left"/>
              <w:rPr>
                <w:rFonts w:hint="eastAsia" w:ascii="仿宋" w:hAnsi="仿宋" w:eastAsia="仿宋" w:cs="仿宋"/>
                <w:sz w:val="24"/>
              </w:rPr>
            </w:pPr>
            <w:r>
              <w:rPr>
                <w:rFonts w:hint="eastAsia" w:ascii="仿宋" w:hAnsi="仿宋" w:eastAsia="仿宋" w:cs="仿宋"/>
                <w:sz w:val="24"/>
              </w:rPr>
              <w:t>传真：</w:t>
            </w:r>
          </w:p>
        </w:tc>
        <w:tc>
          <w:tcPr>
            <w:tcW w:w="4440" w:type="dxa"/>
            <w:tcBorders>
              <w:top w:val="single" w:color="auto" w:sz="4" w:space="0"/>
              <w:left w:val="single" w:color="auto" w:sz="4" w:space="0"/>
              <w:bottom w:val="single" w:color="auto" w:sz="4" w:space="0"/>
              <w:right w:val="single" w:color="auto" w:sz="4" w:space="0"/>
            </w:tcBorders>
            <w:vAlign w:val="center"/>
          </w:tcPr>
          <w:p w14:paraId="341136E1">
            <w:pPr>
              <w:spacing w:line="360" w:lineRule="auto"/>
              <w:jc w:val="left"/>
              <w:rPr>
                <w:rFonts w:hint="eastAsia" w:ascii="仿宋" w:hAnsi="仿宋" w:eastAsia="仿宋" w:cs="仿宋"/>
                <w:sz w:val="24"/>
              </w:rPr>
            </w:pPr>
            <w:r>
              <w:rPr>
                <w:rFonts w:hint="eastAsia" w:ascii="仿宋" w:hAnsi="仿宋" w:eastAsia="仿宋" w:cs="仿宋"/>
                <w:sz w:val="24"/>
              </w:rPr>
              <w:t>传真：</w:t>
            </w:r>
          </w:p>
        </w:tc>
      </w:tr>
      <w:tr w14:paraId="1167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5890EB62">
            <w:pPr>
              <w:spacing w:line="360" w:lineRule="auto"/>
              <w:jc w:val="left"/>
              <w:rPr>
                <w:rFonts w:hint="eastAsia" w:ascii="仿宋" w:hAnsi="仿宋" w:eastAsia="仿宋" w:cs="仿宋"/>
                <w:sz w:val="24"/>
              </w:rPr>
            </w:pPr>
          </w:p>
        </w:tc>
        <w:tc>
          <w:tcPr>
            <w:tcW w:w="4440" w:type="dxa"/>
            <w:tcBorders>
              <w:top w:val="single" w:color="auto" w:sz="4" w:space="0"/>
              <w:left w:val="single" w:color="auto" w:sz="4" w:space="0"/>
              <w:bottom w:val="single" w:color="auto" w:sz="4" w:space="0"/>
              <w:right w:val="single" w:color="auto" w:sz="4" w:space="0"/>
            </w:tcBorders>
            <w:vAlign w:val="center"/>
          </w:tcPr>
          <w:p w14:paraId="671A523B">
            <w:pPr>
              <w:spacing w:line="360" w:lineRule="auto"/>
              <w:jc w:val="left"/>
              <w:rPr>
                <w:rFonts w:hint="eastAsia" w:ascii="仿宋" w:hAnsi="仿宋" w:eastAsia="仿宋" w:cs="仿宋"/>
                <w:sz w:val="24"/>
              </w:rPr>
            </w:pPr>
            <w:r>
              <w:rPr>
                <w:rFonts w:hint="eastAsia" w:ascii="仿宋" w:hAnsi="仿宋" w:eastAsia="仿宋" w:cs="仿宋"/>
                <w:sz w:val="24"/>
              </w:rPr>
              <w:t>开户银行：</w:t>
            </w:r>
          </w:p>
        </w:tc>
      </w:tr>
      <w:tr w14:paraId="1CDB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6549205E">
            <w:pPr>
              <w:spacing w:line="360" w:lineRule="auto"/>
              <w:jc w:val="left"/>
              <w:rPr>
                <w:rFonts w:hint="eastAsia" w:ascii="仿宋" w:hAnsi="仿宋" w:eastAsia="仿宋" w:cs="仿宋"/>
                <w:sz w:val="24"/>
              </w:rPr>
            </w:pPr>
          </w:p>
        </w:tc>
        <w:tc>
          <w:tcPr>
            <w:tcW w:w="4440" w:type="dxa"/>
            <w:tcBorders>
              <w:top w:val="single" w:color="auto" w:sz="4" w:space="0"/>
              <w:left w:val="single" w:color="auto" w:sz="4" w:space="0"/>
              <w:bottom w:val="single" w:color="auto" w:sz="4" w:space="0"/>
              <w:right w:val="single" w:color="auto" w:sz="4" w:space="0"/>
            </w:tcBorders>
            <w:vAlign w:val="center"/>
          </w:tcPr>
          <w:p w14:paraId="72DC51D1">
            <w:pPr>
              <w:spacing w:line="360" w:lineRule="auto"/>
              <w:jc w:val="left"/>
              <w:rPr>
                <w:rFonts w:hint="eastAsia" w:ascii="仿宋" w:hAnsi="仿宋" w:eastAsia="仿宋" w:cs="仿宋"/>
                <w:sz w:val="24"/>
              </w:rPr>
            </w:pPr>
            <w:r>
              <w:rPr>
                <w:rFonts w:hint="eastAsia" w:ascii="仿宋" w:hAnsi="仿宋" w:eastAsia="仿宋" w:cs="仿宋"/>
                <w:sz w:val="24"/>
              </w:rPr>
              <w:t>账号:</w:t>
            </w:r>
          </w:p>
        </w:tc>
      </w:tr>
      <w:tr w14:paraId="0474C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439" w:type="dxa"/>
            <w:tcBorders>
              <w:top w:val="single" w:color="auto" w:sz="4" w:space="0"/>
              <w:left w:val="single" w:color="auto" w:sz="4" w:space="0"/>
              <w:bottom w:val="single" w:color="auto" w:sz="4" w:space="0"/>
              <w:right w:val="single" w:color="auto" w:sz="4" w:space="0"/>
            </w:tcBorders>
            <w:vAlign w:val="center"/>
          </w:tcPr>
          <w:p w14:paraId="01291DE7">
            <w:pPr>
              <w:spacing w:line="360" w:lineRule="auto"/>
              <w:jc w:val="left"/>
              <w:rPr>
                <w:rFonts w:hint="eastAsia" w:ascii="仿宋" w:hAnsi="仿宋" w:eastAsia="仿宋" w:cs="仿宋"/>
                <w:sz w:val="24"/>
              </w:rPr>
            </w:pPr>
            <w:r>
              <w:rPr>
                <w:rFonts w:hint="eastAsia" w:ascii="仿宋" w:hAnsi="仿宋" w:eastAsia="仿宋" w:cs="仿宋"/>
                <w:sz w:val="24"/>
              </w:rPr>
              <w:t>日期：  年   月   日</w:t>
            </w:r>
          </w:p>
        </w:tc>
        <w:tc>
          <w:tcPr>
            <w:tcW w:w="4440" w:type="dxa"/>
            <w:tcBorders>
              <w:top w:val="single" w:color="auto" w:sz="4" w:space="0"/>
              <w:left w:val="single" w:color="auto" w:sz="4" w:space="0"/>
              <w:bottom w:val="single" w:color="auto" w:sz="4" w:space="0"/>
              <w:right w:val="single" w:color="auto" w:sz="4" w:space="0"/>
            </w:tcBorders>
            <w:vAlign w:val="center"/>
          </w:tcPr>
          <w:p w14:paraId="3A7B4E22">
            <w:pPr>
              <w:spacing w:line="360" w:lineRule="auto"/>
              <w:jc w:val="left"/>
              <w:rPr>
                <w:rFonts w:hint="eastAsia" w:ascii="仿宋" w:hAnsi="仿宋" w:eastAsia="仿宋" w:cs="仿宋"/>
                <w:sz w:val="24"/>
              </w:rPr>
            </w:pPr>
            <w:r>
              <w:rPr>
                <w:rFonts w:hint="eastAsia" w:ascii="仿宋" w:hAnsi="仿宋" w:eastAsia="仿宋" w:cs="仿宋"/>
                <w:sz w:val="24"/>
              </w:rPr>
              <w:t>日期：  年   月   日</w:t>
            </w:r>
          </w:p>
        </w:tc>
      </w:tr>
    </w:tbl>
    <w:p w14:paraId="6B22A93E">
      <w:pPr>
        <w:pStyle w:val="2"/>
        <w:jc w:val="both"/>
        <w:rPr>
          <w:rFonts w:hint="eastAsia" w:ascii="仿宋" w:hAnsi="仿宋" w:eastAsia="仿宋" w:cs="仿宋"/>
          <w:lang w:eastAsia="zh-Hans"/>
        </w:rPr>
      </w:pPr>
    </w:p>
    <w:p w14:paraId="0CB3D53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311C31"/>
    <w:rsid w:val="1C311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900"/>
      </w:tabs>
      <w:spacing w:line="360" w:lineRule="auto"/>
      <w:jc w:val="center"/>
    </w:pPr>
    <w:rPr>
      <w:rFonts w:ascii="宋体" w:hAnsi="宋体" w:eastAsia="宋体" w:cs="宋体"/>
      <w:bCs/>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2026-01-26T04:02:00Z</dcterms:created>
  <dc:creator>Aurora</dc:creator>
  <cp:lastModifiedBy>Aurora</cp:lastModifiedBy>
  <dcterms:modified xsi:type="dcterms:W3CDTF">2026-01-26T04:02:30Z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B4DD16C1A629465687350DAA8EB3FC7A_11</vt:lpwstr>
  </property>
  <property fmtid="{D5CDD505-2E9C-101B-9397-08002B2CF9AE}" pid="4" name="KSOTemplateDocerSaveRecord">
    <vt:lpwstr>eyJoZGlkIjoiMjFkZWJjZjdkYjI4NGFiYWJjNTI5ZmQzMDdiZTdjOTQiLCJ1c2VySWQiOiIzMjMxNzgwNTIifQ==</vt:lpwstr>
  </property>
</Properties>
</file>