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版本号：KY2025--1--114220260126001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疫苗冷库租赁项目(四次)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KY2025--1--1142</w:t>
      </w:r>
      <w:r>
        <w:br/>
      </w:r>
      <w:r>
        <w:br/>
      </w:r>
      <w:r>
        <w:br/>
      </w:r>
    </w:p>
    <w:p>
      <w:pPr>
        <w:pStyle w:val="null3"/>
        <w:jc w:val="center"/>
        <w:outlineLvl w:val="2"/>
      </w:pPr>
      <w:r>
        <w:rPr>
          <w:rFonts w:ascii="仿宋_GB2312" w:hAnsi="仿宋_GB2312" w:cs="仿宋_GB2312" w:eastAsia="仿宋_GB2312"/>
          <w:sz w:val="28"/>
          <w:b/>
        </w:rPr>
        <w:t>陕西省疾病预防控制中心</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陕西省疾病预防控制中心</w:t>
      </w:r>
      <w:r>
        <w:rPr>
          <w:rFonts w:ascii="仿宋_GB2312" w:hAnsi="仿宋_GB2312" w:cs="仿宋_GB2312" w:eastAsia="仿宋_GB2312"/>
        </w:rPr>
        <w:t>委托，拟对</w:t>
      </w:r>
      <w:r>
        <w:rPr>
          <w:rFonts w:ascii="仿宋_GB2312" w:hAnsi="仿宋_GB2312" w:cs="仿宋_GB2312" w:eastAsia="仿宋_GB2312"/>
        </w:rPr>
        <w:t>疫苗冷库租赁项目(四次)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KY2025--1--1142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疫苗冷库租赁项目(四次)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陕西省疾病预防控制中心疫苗冷库租赁项目（四次），1项，具体内容详见采购文件第三章。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12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4、社会保障资金缴存证明：提供2024年12月至今已缴存的至少一个月的社会保障资金缴存单据或社保机构开具的社会保险参保缴费情况证明，依法不需要缴纳社会保障资金的单位应提供相关证明材料。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7、法定代表人授权书：法定代表人授权书及被授权人身份证明。（法定代表人直接磋商只须提交其身份证明）</w:t>
      </w:r>
    </w:p>
    <w:p>
      <w:pPr>
        <w:pStyle w:val="null3"/>
      </w:pPr>
      <w:r>
        <w:rPr>
          <w:rFonts w:ascii="仿宋_GB2312" w:hAnsi="仿宋_GB2312" w:cs="仿宋_GB2312" w:eastAsia="仿宋_GB2312"/>
        </w:rPr>
        <w:t>8、特定资质：具有药品监督管理局颁发的药品经营许可证，提供最近一年内省药监局现场检查报告及评定结果。</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陕西省碑林区和平门外建东街3号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029-82476605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杭琨、韩婷、刘金柯、卢韶华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银行账号：86113010750181502000733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应依据中标金额向采购代理机构交纳中标服务费，交费金额参照国家计委颁布的《招标代理服务收费管理暂行办法》（计价格[2002]1980号）及发改办价格[2003]857号文件的规定标准收取。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陕西省疾病预防控制中心</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陕西省疾病预防控制中心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陕西省疾病预防控制中心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通过当地药监及疫苗生产企业审计验证。</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联系人：杭琨、韩婷</w:t>
      </w:r>
    </w:p>
    <w:p>
      <w:pPr>
        <w:pStyle w:val="null3"/>
      </w:pPr>
      <w:r>
        <w:rPr>
          <w:rFonts w:ascii="仿宋_GB2312" w:hAnsi="仿宋_GB2312" w:cs="仿宋_GB2312" w:eastAsia="仿宋_GB2312"/>
        </w:rPr>
        <w:t>联系电话：029-81206622-825</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邮编：716000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陕西省疾病预防控制中心疫苗冷库租赁项目，1项，具体内容详见采购需求。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陕西省疾病预防控制中心疫苗冷库租赁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标的名称：陕西省疾病预防控制中心疫苗冷库租赁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一、内容</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座独立的疫苗冷库及配套设施，实用面积大于500平方，约1000立方。</w:t>
            </w:r>
          </w:p>
          <w:p>
            <w:pPr>
              <w:pStyle w:val="null3"/>
              <w:jc w:val="both"/>
            </w:pPr>
            <w:r>
              <w:rPr>
                <w:rFonts w:ascii="仿宋_GB2312" w:hAnsi="仿宋_GB2312" w:cs="仿宋_GB2312" w:eastAsia="仿宋_GB2312"/>
                <w:sz w:val="24"/>
                <w:b/>
              </w:rPr>
              <w:t>二、主要功能或目标</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实现符合法规要求的疫苗储存；</w:t>
            </w:r>
          </w:p>
          <w:p>
            <w:pPr>
              <w:pStyle w:val="null3"/>
              <w:jc w:val="both"/>
            </w:pPr>
            <w:r>
              <w:rPr>
                <w:rFonts w:ascii="仿宋_GB2312" w:hAnsi="仿宋_GB2312" w:cs="仿宋_GB2312" w:eastAsia="仿宋_GB2312"/>
                <w:sz w:val="24"/>
                <w:b/>
              </w:rPr>
              <w:t>三、需满足的要求</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提供满足需求的冷库及配套设施（可用容积1000立方，至少4个独立的冷库；冷库至缓冲区至收卸货平台做到无缝对接、冷库一年两次的验证及温湿度系统的年度验证和探头的年度校准内容，使用区域及冷库需符合GSP及药监检查需求及摆放设置标志标线，设置一个独立的为我方使用的发货区，收货验收、待确定、不合格品区、有可供冷库使用的发电机组、双回路电源）</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、冷库及配套设施需购买保险，确保疫苗在库的安全。</w:t>
            </w:r>
          </w:p>
          <w:p>
            <w:pPr>
              <w:pStyle w:val="null3"/>
              <w:ind w:firstLine="480"/>
            </w:pPr>
            <w:r>
              <w:rPr>
                <w:rFonts w:ascii="仿宋_GB2312" w:hAnsi="仿宋_GB2312" w:cs="仿宋_GB2312" w:eastAsia="仿宋_GB2312"/>
                <w:sz w:val="24"/>
              </w:rPr>
              <w:t>3</w:t>
            </w:r>
            <w:r>
              <w:rPr>
                <w:rFonts w:ascii="仿宋_GB2312" w:hAnsi="仿宋_GB2312" w:cs="仿宋_GB2312" w:eastAsia="仿宋_GB2312"/>
                <w:sz w:val="24"/>
              </w:rPr>
              <w:t>、协助提供药监局备案服务</w:t>
            </w:r>
          </w:p>
          <w:p>
            <w:pPr>
              <w:pStyle w:val="null3"/>
              <w:ind w:firstLine="480"/>
            </w:pPr>
            <w:r>
              <w:rPr>
                <w:rFonts w:ascii="仿宋_GB2312" w:hAnsi="仿宋_GB2312" w:cs="仿宋_GB2312" w:eastAsia="仿宋_GB2312"/>
                <w:sz w:val="24"/>
              </w:rPr>
              <w:t>4</w:t>
            </w:r>
            <w:r>
              <w:rPr>
                <w:rFonts w:ascii="仿宋_GB2312" w:hAnsi="仿宋_GB2312" w:cs="仿宋_GB2312" w:eastAsia="仿宋_GB2312"/>
                <w:sz w:val="24"/>
              </w:rPr>
              <w:t>、提供一间独立的办公室（包括4-5个铁皮文件柜，工位、桌椅，可以上网）</w:t>
            </w:r>
          </w:p>
          <w:p>
            <w:pPr>
              <w:pStyle w:val="null3"/>
              <w:ind w:firstLine="480"/>
            </w:pPr>
            <w:r>
              <w:rPr>
                <w:rFonts w:ascii="仿宋_GB2312" w:hAnsi="仿宋_GB2312" w:cs="仿宋_GB2312" w:eastAsia="仿宋_GB2312"/>
                <w:sz w:val="24"/>
              </w:rPr>
              <w:t>5</w:t>
            </w:r>
            <w:r>
              <w:rPr>
                <w:rFonts w:ascii="仿宋_GB2312" w:hAnsi="仿宋_GB2312" w:cs="仿宋_GB2312" w:eastAsia="仿宋_GB2312"/>
                <w:sz w:val="24"/>
              </w:rPr>
              <w:t>、提供货物的装卸服务及工具（一年约5万件）</w:t>
            </w:r>
          </w:p>
          <w:p>
            <w:pPr>
              <w:pStyle w:val="null3"/>
              <w:ind w:firstLine="480"/>
            </w:pPr>
            <w:r>
              <w:rPr>
                <w:rFonts w:ascii="仿宋_GB2312" w:hAnsi="仿宋_GB2312" w:cs="仿宋_GB2312" w:eastAsia="仿宋_GB2312"/>
                <w:sz w:val="24"/>
              </w:rPr>
              <w:t>6</w:t>
            </w:r>
            <w:r>
              <w:rPr>
                <w:rFonts w:ascii="仿宋_GB2312" w:hAnsi="仿宋_GB2312" w:cs="仿宋_GB2312" w:eastAsia="仿宋_GB2312"/>
                <w:sz w:val="24"/>
              </w:rPr>
              <w:t>、提供工作人员午餐</w:t>
            </w:r>
          </w:p>
          <w:p>
            <w:pPr>
              <w:pStyle w:val="null3"/>
              <w:ind w:firstLine="480"/>
            </w:pPr>
            <w:r>
              <w:rPr>
                <w:rFonts w:ascii="仿宋_GB2312" w:hAnsi="仿宋_GB2312" w:cs="仿宋_GB2312" w:eastAsia="仿宋_GB2312"/>
                <w:sz w:val="24"/>
              </w:rPr>
              <w:t>7</w:t>
            </w:r>
            <w:r>
              <w:rPr>
                <w:rFonts w:ascii="仿宋_GB2312" w:hAnsi="仿宋_GB2312" w:cs="仿宋_GB2312" w:eastAsia="仿宋_GB2312"/>
                <w:sz w:val="24"/>
              </w:rPr>
              <w:t>、提供1-2间休息室</w:t>
            </w:r>
          </w:p>
          <w:p>
            <w:pPr>
              <w:pStyle w:val="null3"/>
              <w:ind w:firstLine="480"/>
            </w:pPr>
            <w:r>
              <w:rPr>
                <w:rFonts w:ascii="仿宋_GB2312" w:hAnsi="仿宋_GB2312" w:cs="仿宋_GB2312" w:eastAsia="仿宋_GB2312"/>
                <w:sz w:val="21"/>
              </w:rPr>
              <w:t>8</w:t>
            </w:r>
            <w:r>
              <w:rPr>
                <w:rFonts w:ascii="仿宋_GB2312" w:hAnsi="仿宋_GB2312" w:cs="仿宋_GB2312" w:eastAsia="仿宋_GB2312"/>
                <w:sz w:val="21"/>
              </w:rPr>
              <w:t>、免费提供常年7*24小时的技术支持与售后服务。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陕西省疾病预防控制中心指定地点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通过当地药监及疫苗生产企业审计验证。</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合同签订后，达到药监局认可，冷库具备搬迁条件后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第六个月底提出付款申请</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1、供应商需要在线提交所有通过电子化交易平台实施的政府采购项目的响应文件，同时，线下提交纸质响应文件正本壹份、副本贰份、电子版壹份（U盘壹份）。 2、纸质响应文件正本、副本、电子版，标明供应商名称分开密封递交（响应文件采用双面打印）。 3、线下纸质文件递交截止时间：同在线递交电子响应文件截止时间一致；线下纸质文件递交地点：西安市雁展路1111号莱安中心T6-15层。如需邮寄响应文件，仅接受顺丰速运（联系人：杭琨、联系电话：029-81206622-825）。 4、保证金的退还：自成交通知书发出之日起5个工作日内退还未成交供应商的投标保证金,自采购合同签订之日起5个工作日内退还成交供应商的投标保证金。 5、采购人应按照采购文件和中标人投标文件，在中标通知书发出之日起25日内签订合同。 6、对本国产品的支持政策：政府采购活动中既有本国产品又有非本国产品参与竞争的，依法对本国产品给予价格评审优惠，对本国产品的报价给予20%的价格扣除，用扣除后的价格参与评审。 当采购项目或者采购包中含有多种产品，供应商为该采购项目或者采购包提供的符合本国产品标准的产品成本之和占该供应商提供的全部产品成本之和的比例达到80%以上时，依法对该供应商提供的全部产品给予价格评审优惠，即对该供应商提供的全部产品的总报价给予20%的价格扣除，用扣除后的价格参与评审。 7、本国产品标准的适用范围：本国产品标准适用于货物，包括政府采购货物项目和服务项目中涉及的货物。适用本国产品标准的货物具体是指《政府采购品目分类目录》中的货物类产品，但不包括其中的房屋和构筑物，文物和陈列品，图书和档案，特种动植物，农林牧渔业产品，矿与矿物，电力、城市燃气、蒸汽和热水、水，食品、饮料和烟草原料，无形资产。</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4供应商资格证明文件.docx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4供应商资格证明文件.docx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4供应商资格证明文件.docx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4供应商资格证明文件.docx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4供应商资格证明文件.docx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12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4供应商资格证明文件.docx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提供2024年12月至今已缴存的至少一个月的社会保障资金缴存单据或社保机构开具的社会保险参保缴费情况证明，依法不需要缴纳社会保障资金的单位应提供相关证明材料。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4供应商资格证明文件.docx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4供应商资格证明文件.docx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4供应商资格证明文件.docx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法定代表人授权书及被授权人身份证明。（法定代表人直接磋商只须提交其身份证明）</w:t>
            </w:r>
          </w:p>
        </w:tc>
        <w:tc>
          <w:tcPr>
            <w:tcW w:type="dxa" w:w="1661"/>
          </w:tcPr>
          <w:p>
            <w:pPr>
              <w:pStyle w:val="null3"/>
            </w:pPr>
            <w:r>
              <w:rPr>
                <w:rFonts w:ascii="仿宋_GB2312" w:hAnsi="仿宋_GB2312" w:cs="仿宋_GB2312" w:eastAsia="仿宋_GB2312"/>
              </w:rPr>
              <w:t>4供应商资格证明文件.docx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具有药品监督管理局颁发的药品经营许可证，提供最近一年内省药监局现场检查报告及评定结果。</w:t>
            </w:r>
          </w:p>
        </w:tc>
        <w:tc>
          <w:tcPr>
            <w:tcW w:type="dxa" w:w="1661"/>
          </w:tcPr>
          <w:p>
            <w:pPr>
              <w:pStyle w:val="null3"/>
            </w:pPr>
            <w:r>
              <w:rPr>
                <w:rFonts w:ascii="仿宋_GB2312" w:hAnsi="仿宋_GB2312" w:cs="仿宋_GB2312" w:eastAsia="仿宋_GB2312"/>
              </w:rPr>
              <w:t>4供应商资格证明文件.docx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8关于符合本国产品标准的声明函.docx 1分项报价表.docx 7保证金交纳凭证保函.docx 中小企业声明函 3商务条款响应说明.docx 4供应商资格证明文件.docx 报价表 6供应商承诺书.docx 2服务内容及服务要求应答表.docx 5响应方案说明.docx 响应文件封面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响应文件按磋商文件要求签字盖章</w:t>
            </w:r>
          </w:p>
        </w:tc>
        <w:tc>
          <w:tcPr>
            <w:tcW w:type="dxa" w:w="1661"/>
          </w:tcPr>
          <w:p>
            <w:pPr>
              <w:pStyle w:val="null3"/>
            </w:pPr>
            <w:r>
              <w:rPr>
                <w:rFonts w:ascii="仿宋_GB2312" w:hAnsi="仿宋_GB2312" w:cs="仿宋_GB2312" w:eastAsia="仿宋_GB2312"/>
              </w:rPr>
              <w:t>1分项报价表.docx 7保证金交纳凭证保函.docx 中小企业声明函 3商务条款响应说明.docx 4供应商资格证明文件.docx 6供应商承诺书.docx 2服务内容及服务要求应答表.docx 5响应方案说明.docx 响应文件封面 残疾人福利性单位声明函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投标有效期达到磋商文件要求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7保证金交纳凭证保函.docx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1分项报价表.docx 3商务条款响应说明.docx 标的清单 4供应商资格证明文件.docx 响应函 2服务内容及服务要求应答表.docx 5响应方案说明.docx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项目需求理解</w:t>
            </w:r>
          </w:p>
        </w:tc>
        <w:tc>
          <w:tcPr>
            <w:tcW w:type="dxa" w:w="2492"/>
          </w:tcPr>
          <w:p>
            <w:pPr>
              <w:pStyle w:val="null3"/>
            </w:pPr>
            <w:r>
              <w:rPr>
                <w:rFonts w:ascii="仿宋_GB2312" w:hAnsi="仿宋_GB2312" w:cs="仿宋_GB2312" w:eastAsia="仿宋_GB2312"/>
              </w:rPr>
              <w:t>提出针对本项目的整体理解思路及建议，内容包括：①租赁需求分析、②目标、③工作思路及原则。 方案各项内容全面详细、阐述条理清晰、对评审内容中的各项要求有详细描述及说明得9分，每有一项缺项扣3分，每有一项内容存在一处缺陷扣1分，扣完为止。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5响应方案说明.docx</w:t>
            </w:r>
          </w:p>
        </w:tc>
      </w:tr>
      <w:tr>
        <w:tc>
          <w:tcPr>
            <w:tcW w:type="dxa" w:w="831"/>
            <w:vMerge/>
          </w:tcPr>
          <w:p/>
        </w:tc>
        <w:tc>
          <w:tcPr>
            <w:tcW w:type="dxa" w:w="1661"/>
          </w:tcPr>
          <w:p>
            <w:pPr>
              <w:pStyle w:val="null3"/>
            </w:pPr>
            <w:r>
              <w:rPr>
                <w:rFonts w:ascii="仿宋_GB2312" w:hAnsi="仿宋_GB2312" w:cs="仿宋_GB2312" w:eastAsia="仿宋_GB2312"/>
              </w:rPr>
              <w:t>供应商承租标的物建筑面积的能力</w:t>
            </w:r>
          </w:p>
        </w:tc>
        <w:tc>
          <w:tcPr>
            <w:tcW w:type="dxa" w:w="2492"/>
          </w:tcPr>
          <w:p>
            <w:pPr>
              <w:pStyle w:val="null3"/>
            </w:pPr>
            <w:r>
              <w:rPr>
                <w:rFonts w:ascii="仿宋_GB2312" w:hAnsi="仿宋_GB2312" w:cs="仿宋_GB2312" w:eastAsia="仿宋_GB2312"/>
              </w:rPr>
              <w:t>供应商承租标的物建筑面积的能力：（供应商为标的物权属人或代理商或具转租/分租能力的承租人）。磋商小组根据供应商响应情况进行综合评审。 内容全面详细、阐述条理清晰，能够全部出具可承租等于或大于标的物建筑面积相关证明的得10分，每有一项内容存在一处缺陷扣1分，扣完为止。 备注：缺陷是指内容不合理，证明材料不完整、承诺不清晰、虽有内容但不完善、内容表述前后不一致、套用其他项目方案或与项目需求不匹配及其他不利于项目实施的等任意一种情形。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5响应方案说明.docx</w:t>
            </w:r>
          </w:p>
        </w:tc>
      </w:tr>
      <w:tr>
        <w:tc>
          <w:tcPr>
            <w:tcW w:type="dxa" w:w="831"/>
            <w:vMerge/>
          </w:tcPr>
          <w:p/>
        </w:tc>
        <w:tc>
          <w:tcPr>
            <w:tcW w:type="dxa" w:w="1661"/>
          </w:tcPr>
          <w:p>
            <w:pPr>
              <w:pStyle w:val="null3"/>
            </w:pPr>
            <w:r>
              <w:rPr>
                <w:rFonts w:ascii="仿宋_GB2312" w:hAnsi="仿宋_GB2312" w:cs="仿宋_GB2312" w:eastAsia="仿宋_GB2312"/>
              </w:rPr>
              <w:t>配套设施情况</w:t>
            </w:r>
          </w:p>
        </w:tc>
        <w:tc>
          <w:tcPr>
            <w:tcW w:type="dxa" w:w="2492"/>
          </w:tcPr>
          <w:p>
            <w:pPr>
              <w:pStyle w:val="null3"/>
            </w:pPr>
            <w:r>
              <w:rPr>
                <w:rFonts w:ascii="仿宋_GB2312" w:hAnsi="仿宋_GB2312" w:cs="仿宋_GB2312" w:eastAsia="仿宋_GB2312"/>
              </w:rPr>
              <w:t>①水，暖，电等基础配套设施情况；②停车场配套服务及周边交通情况。 方案各项内容全面详细、阐述条理清晰、对评审内容中的各项要求有详细描述及说明得10分，每有一项缺项扣5分，每有一项内容存在一处缺陷扣1分，扣完为止。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5响应方案说明.docx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提出针对本项目的服务方案，内容包括：①租结合采购需求的整体服务方案；②作业工作组织方案；③各项管理制度的建立与管理；④管理服务目标；⑤作业安全措施；⑥文明作业措施。 方案各项内容全面详细、阐述条理清晰、对评审内容中的各项要求有详细描述及说明得18分，每有一项缺项扣3分，每有一项内容存在一处缺陷扣1分，扣完为止。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5响应方案说明.docx</w:t>
            </w:r>
          </w:p>
        </w:tc>
      </w:tr>
      <w:tr>
        <w:tc>
          <w:tcPr>
            <w:tcW w:type="dxa" w:w="831"/>
            <w:vMerge/>
          </w:tcPr>
          <w:p/>
        </w:tc>
        <w:tc>
          <w:tcPr>
            <w:tcW w:type="dxa" w:w="1661"/>
          </w:tcPr>
          <w:p>
            <w:pPr>
              <w:pStyle w:val="null3"/>
            </w:pPr>
            <w:r>
              <w:rPr>
                <w:rFonts w:ascii="仿宋_GB2312" w:hAnsi="仿宋_GB2312" w:cs="仿宋_GB2312" w:eastAsia="仿宋_GB2312"/>
              </w:rPr>
              <w:t>租赁方案及保障措施</w:t>
            </w:r>
          </w:p>
        </w:tc>
        <w:tc>
          <w:tcPr>
            <w:tcW w:type="dxa" w:w="2492"/>
          </w:tcPr>
          <w:p>
            <w:pPr>
              <w:pStyle w:val="null3"/>
            </w:pPr>
            <w:r>
              <w:rPr>
                <w:rFonts w:ascii="仿宋_GB2312" w:hAnsi="仿宋_GB2312" w:cs="仿宋_GB2312" w:eastAsia="仿宋_GB2312"/>
              </w:rPr>
              <w:t>基于采购需求，对供应商提供的整体租赁方案、各项保障措施进行综合评审。 方案内容全面详细、阐述条理清晰、对评审内容中的各项要求有详细描述及说明得10分，每有一项内容存在一处缺陷扣1分，扣完为止。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5响应方案说明.docx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供应商针对本项目提供的应急方案，内容包括：①应急组织机构；②应急保障措施；③应急响应时间；④应急人员安排；⑤应急处理流程。 方案各项内容全面详细、阐述条理清晰、对评审内容中的各项要求有详细描述及说明得10分，每有一项缺项扣2分，每有一项内容存在一处缺陷扣1分，扣完为止。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5响应方案说明.docx</w:t>
            </w:r>
          </w:p>
        </w:tc>
      </w:tr>
      <w:tr>
        <w:tc>
          <w:tcPr>
            <w:tcW w:type="dxa" w:w="831"/>
            <w:vMerge/>
          </w:tcPr>
          <w:p/>
        </w:tc>
        <w:tc>
          <w:tcPr>
            <w:tcW w:type="dxa" w:w="1661"/>
          </w:tcPr>
          <w:p>
            <w:pPr>
              <w:pStyle w:val="null3"/>
            </w:pPr>
            <w:r>
              <w:rPr>
                <w:rFonts w:ascii="仿宋_GB2312" w:hAnsi="仿宋_GB2312" w:cs="仿宋_GB2312" w:eastAsia="仿宋_GB2312"/>
              </w:rPr>
              <w:t>增值服务方案</w:t>
            </w:r>
          </w:p>
        </w:tc>
        <w:tc>
          <w:tcPr>
            <w:tcW w:type="dxa" w:w="2492"/>
          </w:tcPr>
          <w:p>
            <w:pPr>
              <w:pStyle w:val="null3"/>
            </w:pPr>
            <w:r>
              <w:rPr>
                <w:rFonts w:ascii="仿宋_GB2312" w:hAnsi="仿宋_GB2312" w:cs="仿宋_GB2312" w:eastAsia="仿宋_GB2312"/>
              </w:rPr>
              <w:t>提出针对本项目的增值服务方案。增值服务方案内容全面，贴合本项目实际需求、对本项目有实质性提升、针对性强、阐述条理清晰得6分，每存在一处缺陷扣1分，扣完为止。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5响应方案说明.docx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提出针对本项目的人员配置方案，内容包括：①拟投入的服务团队人员结构、②人员分工及职责、③人员工作经验、④人员管理制度。 方案各项内容全面详细、阐述条理清晰、对评审内容中的各项要求有详细描述及说明得12分，每有一项缺项扣3分，每有一项内容存在一处缺陷扣1分，扣完为止。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提供供应商2022年1月至今(以合同签订日期为准)类似项目业绩合同，每份计1分，满分5分。 注：需提供项目合同或协议的关键页（包括但不限于合同首尾页、项目内容页，签字盖章页）扫描件，加盖公章。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磋商报价得分=(磋商基准价／磋商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小型、微型企业和监狱企业及符合财政部、民政部、中国残疾人联合会关于促进残疾人就业政府采购政策的通知，以上政策同时具备的仅对其进行一次10%的价格扣除，不重复扣除。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详见附件：2服务内容及服务要求应答表.docx</w:t>
      </w:r>
    </w:p>
    <w:p>
      <w:pPr>
        <w:pStyle w:val="null3"/>
        <w:ind w:firstLine="960"/>
      </w:pPr>
      <w:r>
        <w:rPr>
          <w:rFonts w:ascii="仿宋_GB2312" w:hAnsi="仿宋_GB2312" w:cs="仿宋_GB2312" w:eastAsia="仿宋_GB2312"/>
        </w:rPr>
        <w:t>详见附件：3商务条款响应说明.docx</w:t>
      </w:r>
    </w:p>
    <w:p>
      <w:pPr>
        <w:pStyle w:val="null3"/>
        <w:ind w:firstLine="960"/>
      </w:pPr>
      <w:r>
        <w:rPr>
          <w:rFonts w:ascii="仿宋_GB2312" w:hAnsi="仿宋_GB2312" w:cs="仿宋_GB2312" w:eastAsia="仿宋_GB2312"/>
        </w:rPr>
        <w:t>详见附件：4供应商资格证明文件.docx</w:t>
      </w:r>
    </w:p>
    <w:p>
      <w:pPr>
        <w:pStyle w:val="null3"/>
        <w:ind w:firstLine="960"/>
      </w:pPr>
      <w:r>
        <w:rPr>
          <w:rFonts w:ascii="仿宋_GB2312" w:hAnsi="仿宋_GB2312" w:cs="仿宋_GB2312" w:eastAsia="仿宋_GB2312"/>
        </w:rPr>
        <w:t>详见附件：5响应方案说明.docx</w:t>
      </w:r>
    </w:p>
    <w:p>
      <w:pPr>
        <w:pStyle w:val="null3"/>
        <w:ind w:firstLine="960"/>
      </w:pPr>
      <w:r>
        <w:rPr>
          <w:rFonts w:ascii="仿宋_GB2312" w:hAnsi="仿宋_GB2312" w:cs="仿宋_GB2312" w:eastAsia="仿宋_GB2312"/>
        </w:rPr>
        <w:t>详见附件：6供应商承诺书.docx</w:t>
      </w:r>
    </w:p>
    <w:p>
      <w:pPr>
        <w:pStyle w:val="null3"/>
        <w:ind w:firstLine="960"/>
      </w:pPr>
      <w:r>
        <w:rPr>
          <w:rFonts w:ascii="仿宋_GB2312" w:hAnsi="仿宋_GB2312" w:cs="仿宋_GB2312" w:eastAsia="仿宋_GB2312"/>
        </w:rPr>
        <w:t>详见附件：7保证金交纳凭证保函.docx</w:t>
      </w:r>
    </w:p>
    <w:p>
      <w:pPr>
        <w:pStyle w:val="null3"/>
        <w:ind w:firstLine="960"/>
      </w:pPr>
      <w:r>
        <w:rPr>
          <w:rFonts w:ascii="仿宋_GB2312" w:hAnsi="仿宋_GB2312" w:cs="仿宋_GB2312" w:eastAsia="仿宋_GB2312"/>
        </w:rPr>
        <w:t>详见附件：8关于符合本国产品标准的声明函.docx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