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3DC144">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sz w:val="24"/>
          <w:szCs w:val="24"/>
          <w:highlight w:val="none"/>
          <w:lang w:val="en-US" w:eastAsia="zh-CN"/>
        </w:rPr>
      </w:pPr>
    </w:p>
    <w:p w14:paraId="20325B72">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sz w:val="24"/>
          <w:szCs w:val="24"/>
          <w:highlight w:val="none"/>
          <w:lang w:val="en-US" w:eastAsia="zh-CN"/>
        </w:rPr>
      </w:pPr>
    </w:p>
    <w:p w14:paraId="2F9DEF44">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sz w:val="24"/>
          <w:szCs w:val="24"/>
          <w:highlight w:val="none"/>
          <w:lang w:val="en-US" w:eastAsia="zh-CN"/>
        </w:rPr>
      </w:pPr>
    </w:p>
    <w:p w14:paraId="2BFAB103">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sz w:val="24"/>
          <w:szCs w:val="24"/>
          <w:highlight w:val="none"/>
          <w:lang w:val="en-US" w:eastAsia="zh-CN"/>
        </w:rPr>
      </w:pPr>
    </w:p>
    <w:p w14:paraId="11C10ABC">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sz w:val="24"/>
          <w:szCs w:val="24"/>
          <w:highlight w:val="none"/>
          <w:lang w:val="en-US" w:eastAsia="zh-CN"/>
        </w:rPr>
      </w:pPr>
    </w:p>
    <w:p w14:paraId="4FA97FF5">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sz w:val="40"/>
          <w:szCs w:val="40"/>
          <w:highlight w:val="none"/>
          <w:lang w:val="en-US" w:eastAsia="zh-CN"/>
        </w:rPr>
      </w:pPr>
    </w:p>
    <w:p w14:paraId="3F601611">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center"/>
        <w:textAlignment w:val="auto"/>
        <w:rPr>
          <w:rFonts w:hint="eastAsia" w:ascii="仿宋" w:hAnsi="仿宋" w:eastAsia="仿宋" w:cs="仿宋"/>
          <w:b/>
          <w:bCs/>
          <w:sz w:val="40"/>
          <w:szCs w:val="40"/>
          <w:highlight w:val="none"/>
          <w:lang w:val="en-US" w:eastAsia="zh-CN"/>
        </w:rPr>
      </w:pPr>
      <w:r>
        <w:rPr>
          <w:rFonts w:hint="eastAsia" w:ascii="仿宋" w:hAnsi="仿宋" w:eastAsia="仿宋" w:cs="仿宋"/>
          <w:b/>
          <w:bCs/>
          <w:sz w:val="40"/>
          <w:szCs w:val="40"/>
          <w:highlight w:val="none"/>
          <w:lang w:val="en-US" w:eastAsia="zh-CN"/>
        </w:rPr>
        <w:t xml:space="preserve"> 2026年度陕西省文化和旅游厅境外社交媒体英文官方账号宣传推广项目服务合同</w:t>
      </w:r>
    </w:p>
    <w:p w14:paraId="38B19E2D">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sz w:val="40"/>
          <w:szCs w:val="40"/>
          <w:highlight w:val="none"/>
          <w:lang w:val="en-US" w:eastAsia="zh-CN"/>
        </w:rPr>
      </w:pPr>
    </w:p>
    <w:p w14:paraId="4D9C6153">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sz w:val="40"/>
          <w:szCs w:val="40"/>
          <w:highlight w:val="none"/>
          <w:lang w:val="en-US" w:eastAsia="zh-CN"/>
        </w:rPr>
      </w:pPr>
    </w:p>
    <w:p w14:paraId="44164D92">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sz w:val="40"/>
          <w:szCs w:val="40"/>
          <w:highlight w:val="none"/>
          <w:lang w:val="en-US" w:eastAsia="zh-CN"/>
        </w:rPr>
      </w:pPr>
    </w:p>
    <w:p w14:paraId="1EF5165E">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sz w:val="40"/>
          <w:szCs w:val="40"/>
          <w:highlight w:val="none"/>
          <w:lang w:val="en-US" w:eastAsia="zh-CN"/>
        </w:rPr>
      </w:pPr>
    </w:p>
    <w:p w14:paraId="53CC260B">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sz w:val="40"/>
          <w:szCs w:val="40"/>
          <w:highlight w:val="none"/>
          <w:lang w:val="en-US" w:eastAsia="zh-CN"/>
        </w:rPr>
      </w:pPr>
    </w:p>
    <w:p w14:paraId="7C96A83F">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sz w:val="40"/>
          <w:szCs w:val="40"/>
          <w:highlight w:val="none"/>
          <w:lang w:val="en-US" w:eastAsia="zh-CN"/>
        </w:rPr>
      </w:pPr>
    </w:p>
    <w:p w14:paraId="0CB18FD8">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sz w:val="40"/>
          <w:szCs w:val="40"/>
          <w:highlight w:val="none"/>
          <w:lang w:val="en-US" w:eastAsia="zh-CN"/>
        </w:rPr>
      </w:pPr>
    </w:p>
    <w:p w14:paraId="203259E7">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sz w:val="40"/>
          <w:szCs w:val="40"/>
          <w:highlight w:val="none"/>
          <w:lang w:val="en-US" w:eastAsia="zh-CN"/>
        </w:rPr>
      </w:pPr>
    </w:p>
    <w:p w14:paraId="3CF18A07">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center"/>
        <w:textAlignment w:val="auto"/>
        <w:rPr>
          <w:rFonts w:hint="eastAsia" w:ascii="仿宋" w:hAnsi="仿宋" w:eastAsia="仿宋" w:cs="仿宋"/>
          <w:sz w:val="36"/>
          <w:szCs w:val="36"/>
          <w:highlight w:val="none"/>
          <w:lang w:val="en-US" w:eastAsia="zh-CN"/>
        </w:rPr>
      </w:pPr>
    </w:p>
    <w:p w14:paraId="55937243">
      <w:pPr>
        <w:keepNext w:val="0"/>
        <w:keepLines w:val="0"/>
        <w:pageBreakBefore w:val="0"/>
        <w:numPr>
          <w:ilvl w:val="0"/>
          <w:numId w:val="0"/>
        </w:numPr>
        <w:kinsoku/>
        <w:wordWrap/>
        <w:overflowPunct/>
        <w:autoSpaceDE/>
        <w:autoSpaceDN/>
        <w:bidi w:val="0"/>
        <w:adjustRightInd/>
        <w:snapToGrid/>
        <w:spacing w:line="360" w:lineRule="auto"/>
        <w:ind w:left="0" w:leftChars="0" w:right="0" w:rightChars="0" w:firstLine="1280" w:firstLineChars="4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甲方(采购人):</w:t>
      </w:r>
      <w:r>
        <w:rPr>
          <w:rFonts w:hint="eastAsia" w:ascii="仿宋" w:hAnsi="仿宋" w:eastAsia="仿宋" w:cs="仿宋"/>
          <w:sz w:val="32"/>
          <w:szCs w:val="32"/>
          <w:highlight w:val="none"/>
          <w:u w:val="single"/>
          <w:lang w:val="en-US" w:eastAsia="zh-CN"/>
        </w:rPr>
        <w:t xml:space="preserve">           </w:t>
      </w:r>
    </w:p>
    <w:p w14:paraId="2250ECA0">
      <w:pPr>
        <w:keepNext w:val="0"/>
        <w:keepLines w:val="0"/>
        <w:pageBreakBefore w:val="0"/>
        <w:numPr>
          <w:ilvl w:val="0"/>
          <w:numId w:val="0"/>
        </w:numPr>
        <w:kinsoku/>
        <w:wordWrap/>
        <w:overflowPunct/>
        <w:autoSpaceDE/>
        <w:autoSpaceDN/>
        <w:bidi w:val="0"/>
        <w:adjustRightInd/>
        <w:snapToGrid/>
        <w:spacing w:line="360" w:lineRule="auto"/>
        <w:ind w:left="0" w:leftChars="0" w:right="0" w:rightChars="0" w:firstLine="1280" w:firstLineChars="4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乙方(供应商):</w:t>
      </w:r>
      <w:r>
        <w:rPr>
          <w:rFonts w:hint="eastAsia" w:ascii="仿宋" w:hAnsi="仿宋" w:eastAsia="仿宋" w:cs="仿宋"/>
          <w:sz w:val="32"/>
          <w:szCs w:val="32"/>
          <w:highlight w:val="none"/>
          <w:u w:val="single"/>
          <w:lang w:val="en-US" w:eastAsia="zh-CN"/>
        </w:rPr>
        <w:t xml:space="preserve">           </w:t>
      </w:r>
    </w:p>
    <w:p w14:paraId="237324AD">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center"/>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年  月   日</w:t>
      </w:r>
    </w:p>
    <w:p w14:paraId="793973EA">
      <w:pPr>
        <w:keepNext w:val="0"/>
        <w:keepLines w:val="0"/>
        <w:pageBreakBefore w:val="0"/>
        <w:kinsoku/>
        <w:wordWrap/>
        <w:overflowPunct/>
        <w:autoSpaceDE/>
        <w:autoSpaceDN/>
        <w:bidi w:val="0"/>
        <w:adjustRightInd/>
        <w:snapToGrid/>
        <w:spacing w:line="360" w:lineRule="auto"/>
        <w:ind w:left="0" w:leftChars="0" w:right="0" w:rightChars="0"/>
        <w:textAlignment w:val="auto"/>
        <w:rPr>
          <w:rFonts w:hint="eastAsia" w:ascii="仿宋" w:hAnsi="仿宋" w:eastAsia="仿宋" w:cs="仿宋"/>
          <w:sz w:val="36"/>
          <w:szCs w:val="36"/>
          <w:highlight w:val="none"/>
          <w:lang w:val="en-US" w:eastAsia="zh-CN"/>
        </w:rPr>
      </w:pPr>
      <w:r>
        <w:rPr>
          <w:rFonts w:hint="eastAsia" w:ascii="仿宋" w:hAnsi="仿宋" w:eastAsia="仿宋" w:cs="仿宋"/>
          <w:sz w:val="36"/>
          <w:szCs w:val="36"/>
          <w:highlight w:val="none"/>
          <w:lang w:val="en-US" w:eastAsia="zh-CN"/>
        </w:rPr>
        <w:br w:type="page"/>
      </w:r>
    </w:p>
    <w:p w14:paraId="56D78C20">
      <w:pPr>
        <w:keepNext w:val="0"/>
        <w:keepLines w:val="0"/>
        <w:pageBreakBefore w:val="0"/>
        <w:wordWrap/>
        <w:overflowPunct/>
        <w:topLinePunct w:val="0"/>
        <w:bidi w:val="0"/>
        <w:adjustRightInd w:val="0"/>
        <w:snapToGrid w:val="0"/>
        <w:spacing w:line="360" w:lineRule="auto"/>
        <w:ind w:firstLine="480" w:firstLineChars="200"/>
        <w:rPr>
          <w:rFonts w:hint="eastAsia" w:ascii="仿宋" w:hAnsi="仿宋" w:eastAsia="仿宋" w:cs="仿宋"/>
          <w:bCs/>
          <w:sz w:val="24"/>
          <w:szCs w:val="24"/>
          <w:u w:val="single"/>
          <w:lang w:eastAsia="zh-CN"/>
        </w:rPr>
      </w:pPr>
      <w:r>
        <w:rPr>
          <w:rFonts w:hint="eastAsia" w:ascii="仿宋" w:hAnsi="仿宋" w:eastAsia="仿宋" w:cs="仿宋"/>
          <w:bCs/>
          <w:sz w:val="24"/>
          <w:szCs w:val="24"/>
        </w:rPr>
        <w:t>甲方：陕西省文化和旅游厅</w:t>
      </w:r>
    </w:p>
    <w:p w14:paraId="5F6614D4">
      <w:pPr>
        <w:keepNext w:val="0"/>
        <w:keepLines w:val="0"/>
        <w:pageBreakBefore w:val="0"/>
        <w:wordWrap/>
        <w:overflowPunct/>
        <w:topLinePunct w:val="0"/>
        <w:bidi w:val="0"/>
        <w:adjustRightInd w:val="0"/>
        <w:snapToGrid w:val="0"/>
        <w:spacing w:line="360" w:lineRule="auto"/>
        <w:ind w:firstLine="480" w:firstLineChars="200"/>
        <w:rPr>
          <w:rFonts w:hint="eastAsia" w:ascii="仿宋" w:hAnsi="仿宋" w:eastAsia="仿宋" w:cs="仿宋"/>
          <w:bCs/>
          <w:sz w:val="24"/>
          <w:szCs w:val="24"/>
          <w:u w:val="single"/>
          <w:lang w:val="en-US" w:eastAsia="zh-CN"/>
        </w:rPr>
      </w:pPr>
      <w:r>
        <w:rPr>
          <w:rFonts w:hint="eastAsia" w:ascii="仿宋" w:hAnsi="仿宋" w:eastAsia="仿宋" w:cs="仿宋"/>
          <w:bCs/>
          <w:sz w:val="24"/>
          <w:szCs w:val="24"/>
        </w:rPr>
        <w:t>法定代表人：</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 xml:space="preserve">          住所地：</w:t>
      </w:r>
      <w:r>
        <w:rPr>
          <w:rFonts w:hint="eastAsia" w:ascii="仿宋" w:hAnsi="仿宋" w:eastAsia="仿宋" w:cs="仿宋"/>
          <w:bCs/>
          <w:sz w:val="24"/>
          <w:szCs w:val="24"/>
          <w:u w:val="single"/>
          <w:lang w:val="en-US" w:eastAsia="zh-CN"/>
        </w:rPr>
        <w:t xml:space="preserve">                  </w:t>
      </w:r>
    </w:p>
    <w:p w14:paraId="7FEE1793">
      <w:pPr>
        <w:keepNext w:val="0"/>
        <w:keepLines w:val="0"/>
        <w:pageBreakBefore w:val="0"/>
        <w:wordWrap/>
        <w:overflowPunct/>
        <w:topLinePunct w:val="0"/>
        <w:bidi w:val="0"/>
        <w:adjustRightInd w:val="0"/>
        <w:snapToGrid w:val="0"/>
        <w:spacing w:line="360" w:lineRule="auto"/>
        <w:ind w:firstLine="480" w:firstLineChars="200"/>
        <w:rPr>
          <w:rFonts w:hint="eastAsia" w:ascii="仿宋" w:hAnsi="仿宋" w:eastAsia="仿宋" w:cs="仿宋"/>
          <w:bCs/>
          <w:sz w:val="24"/>
          <w:szCs w:val="24"/>
          <w:u w:val="single"/>
        </w:rPr>
      </w:pPr>
      <w:r>
        <w:rPr>
          <w:rFonts w:hint="eastAsia" w:ascii="仿宋" w:hAnsi="仿宋" w:eastAsia="仿宋" w:cs="仿宋"/>
          <w:bCs/>
          <w:sz w:val="24"/>
          <w:szCs w:val="24"/>
        </w:rPr>
        <w:t>乙方：</w:t>
      </w:r>
      <w:r>
        <w:rPr>
          <w:rFonts w:hint="eastAsia" w:ascii="仿宋" w:hAnsi="仿宋" w:eastAsia="仿宋" w:cs="仿宋"/>
          <w:bCs/>
          <w:sz w:val="24"/>
          <w:szCs w:val="24"/>
          <w:u w:val="single"/>
        </w:rPr>
        <w:t xml:space="preserve">                      </w:t>
      </w:r>
    </w:p>
    <w:p w14:paraId="1B38870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bCs/>
          <w:sz w:val="24"/>
          <w:szCs w:val="24"/>
        </w:rPr>
        <w:t>法定代表人：</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 xml:space="preserve">           住所地：</w:t>
      </w:r>
    </w:p>
    <w:p w14:paraId="5B61CFC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val="en-US" w:eastAsia="en-US"/>
        </w:rPr>
      </w:pPr>
      <w:r>
        <w:rPr>
          <w:rFonts w:hint="eastAsia" w:ascii="仿宋" w:hAnsi="仿宋" w:eastAsia="仿宋" w:cs="仿宋"/>
          <w:bCs/>
          <w:sz w:val="24"/>
          <w:szCs w:val="24"/>
          <w:lang w:eastAsia="zh-CN"/>
        </w:rPr>
        <w:t>陕西省文化和旅游厅</w:t>
      </w:r>
      <w:r>
        <w:rPr>
          <w:rFonts w:hint="eastAsia" w:ascii="仿宋" w:hAnsi="仿宋" w:eastAsia="仿宋" w:cs="仿宋"/>
          <w:bCs/>
          <w:sz w:val="24"/>
          <w:szCs w:val="24"/>
          <w:u w:val="single"/>
          <w:lang w:eastAsia="zh-CN"/>
        </w:rPr>
        <w:t>2026年度陕西省文化和旅游厅境外社交媒体英文官方账号宣传推广项目</w:t>
      </w:r>
      <w:r>
        <w:rPr>
          <w:rFonts w:hint="eastAsia" w:ascii="仿宋" w:hAnsi="仿宋" w:eastAsia="仿宋" w:cs="仿宋"/>
          <w:bCs/>
          <w:sz w:val="24"/>
          <w:szCs w:val="24"/>
        </w:rPr>
        <w:t>，由</w:t>
      </w:r>
      <w:r>
        <w:rPr>
          <w:rFonts w:hint="eastAsia" w:ascii="仿宋" w:hAnsi="仿宋" w:eastAsia="仿宋" w:cs="仿宋"/>
          <w:bCs/>
          <w:sz w:val="24"/>
          <w:szCs w:val="24"/>
          <w:u w:val="single"/>
          <w:lang w:eastAsia="zh-CN"/>
        </w:rPr>
        <w:t>华夏国际项目管理（西安）有限公司</w:t>
      </w:r>
      <w:r>
        <w:rPr>
          <w:rFonts w:hint="eastAsia" w:ascii="仿宋" w:hAnsi="仿宋" w:eastAsia="仿宋" w:cs="仿宋"/>
          <w:bCs/>
          <w:sz w:val="24"/>
          <w:szCs w:val="24"/>
        </w:rPr>
        <w:t>组织</w:t>
      </w:r>
      <w:r>
        <w:rPr>
          <w:rFonts w:hint="eastAsia" w:ascii="仿宋" w:hAnsi="仿宋" w:eastAsia="仿宋" w:cs="仿宋"/>
          <w:bCs/>
          <w:sz w:val="24"/>
          <w:szCs w:val="24"/>
          <w:u w:val="single"/>
          <w:lang w:val="en-US" w:eastAsia="zh-CN"/>
        </w:rPr>
        <w:t>竞争性磋商</w:t>
      </w:r>
      <w:r>
        <w:rPr>
          <w:rFonts w:hint="eastAsia" w:ascii="仿宋" w:hAnsi="仿宋" w:eastAsia="仿宋" w:cs="仿宋"/>
          <w:bCs/>
          <w:sz w:val="24"/>
          <w:szCs w:val="24"/>
        </w:rPr>
        <w:t>，选定</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为成交单位。经</w:t>
      </w:r>
      <w:r>
        <w:rPr>
          <w:rFonts w:hint="eastAsia" w:ascii="仿宋" w:hAnsi="仿宋" w:eastAsia="仿宋" w:cs="仿宋"/>
          <w:bCs/>
          <w:sz w:val="24"/>
          <w:szCs w:val="24"/>
          <w:lang w:eastAsia="zh-CN"/>
        </w:rPr>
        <w:t>陕西省文化和旅游厅</w:t>
      </w:r>
      <w:r>
        <w:rPr>
          <w:rFonts w:hint="eastAsia" w:ascii="仿宋" w:hAnsi="仿宋" w:eastAsia="仿宋" w:cs="仿宋"/>
          <w:bCs/>
          <w:sz w:val="24"/>
          <w:szCs w:val="24"/>
        </w:rPr>
        <w:t>（以下简称甲方）与</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（以下简称乙方）共同协商，达成如下合同条款。</w:t>
      </w:r>
    </w:p>
    <w:p w14:paraId="292FA76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一、项目执行时间</w:t>
      </w:r>
    </w:p>
    <w:p w14:paraId="2AC119F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日起至</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45B8567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二 、项目服务内容</w:t>
      </w:r>
    </w:p>
    <w:p w14:paraId="0E958A2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（一）项目执行时间：项目开始实施之日至12月31日。</w:t>
      </w:r>
    </w:p>
    <w:p w14:paraId="4C5E48C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（二）目标市场：国际市场，以欧美、中亚、大洋洲等重要客源市场为主。</w:t>
      </w:r>
    </w:p>
    <w:p w14:paraId="5DE55E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三</w:t>
      </w:r>
      <w:r>
        <w:rPr>
          <w:rFonts w:hint="eastAsia" w:ascii="仿宋" w:hAnsi="仿宋" w:eastAsia="仿宋" w:cs="仿宋"/>
          <w:color w:val="auto"/>
          <w:sz w:val="24"/>
          <w:szCs w:val="24"/>
        </w:rPr>
        <w:t>）项目说明及营销诉求：</w:t>
      </w:r>
    </w:p>
    <w:p w14:paraId="22B555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为进一步增进海外市场对陕西文化和旅游的了解，提升陕西文化和旅游海外知名度和美誉度，执行2026年度陕西省文化和旅游厅境外社交媒体英文官方账号宣传推广项目，运营维护Facebook、X、Instagram、Youtube、Tiktok5个平台官方账号Visit Shaanxi，包括官方账号维护、管理，线上线下活动策划、组织、实施，</w:t>
      </w:r>
      <w:r>
        <w:rPr>
          <w:rFonts w:hint="eastAsia" w:ascii="仿宋" w:hAnsi="仿宋" w:eastAsia="仿宋" w:cs="仿宋"/>
          <w:color w:val="auto"/>
          <w:sz w:val="24"/>
          <w:szCs w:val="24"/>
          <w:lang w:eastAsia="zh-CN"/>
        </w:rPr>
        <w:t>海外</w:t>
      </w:r>
      <w:r>
        <w:rPr>
          <w:rFonts w:hint="eastAsia" w:ascii="仿宋" w:hAnsi="仿宋" w:eastAsia="仿宋" w:cs="仿宋"/>
          <w:color w:val="auto"/>
          <w:sz w:val="24"/>
          <w:szCs w:val="24"/>
        </w:rPr>
        <w:t>媒体</w:t>
      </w:r>
      <w:r>
        <w:rPr>
          <w:rFonts w:hint="eastAsia" w:ascii="仿宋" w:hAnsi="仿宋" w:eastAsia="仿宋" w:cs="仿宋"/>
          <w:color w:val="auto"/>
          <w:sz w:val="24"/>
          <w:szCs w:val="24"/>
          <w:lang w:eastAsia="zh-CN"/>
        </w:rPr>
        <w:t>稿件</w:t>
      </w:r>
      <w:r>
        <w:rPr>
          <w:rFonts w:hint="eastAsia" w:ascii="仿宋" w:hAnsi="仿宋" w:eastAsia="仿宋" w:cs="仿宋"/>
          <w:color w:val="auto"/>
          <w:sz w:val="24"/>
          <w:szCs w:val="24"/>
        </w:rPr>
        <w:t>发布等工作。具体内容包括但不限于以下部分：</w:t>
      </w:r>
    </w:p>
    <w:p w14:paraId="11C7C6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1.数据调研</w:t>
      </w:r>
    </w:p>
    <w:p w14:paraId="3212A33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进行各平台账号粉丝画像，对年龄、性别、内容喜好等调研。对英语国家和地区民众感兴趣的陕西文化和旅游内容进行摸底，并于一个月内完成调研报告提交采购人，以便后期有针对性创作内容，精准传播，传播重点要聚焦欧美等重点旅游客源市场国。调研报告包括全年工作思路及方案。</w:t>
      </w:r>
    </w:p>
    <w:p w14:paraId="145010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2.内容生产</w:t>
      </w:r>
    </w:p>
    <w:p w14:paraId="2FA1BF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（1）负责所有平台账号发布内容的生产工作，包括：页面设计更新、帖文素材采集、编辑、撰写、约投稿，图片拍摄、编辑、挑选及修图、视频拍摄、视频制作和剪辑等所有内容。</w:t>
      </w:r>
    </w:p>
    <w:p w14:paraId="31B136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（2）系统体现陕西文化和旅游资源特色，包括自然、历史、民俗、非遗、艺术、美食、节庆等各个方面。</w:t>
      </w:r>
    </w:p>
    <w:p w14:paraId="3E697F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（3）创作优质内容，激励粉丝点赞及分享。</w:t>
      </w:r>
    </w:p>
    <w:p w14:paraId="5D1EDF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（4）提前一周将图文类帖文，提前两周将视频类贴文提交采购人审核。</w:t>
      </w:r>
    </w:p>
    <w:p w14:paraId="587B8B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3.信息发布</w:t>
      </w:r>
    </w:p>
    <w:p w14:paraId="6C26A6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负责所有平台账号信息发布工作，发布时间以主要客源地社交媒体活跃时段为主。</w:t>
      </w:r>
    </w:p>
    <w:p w14:paraId="53C9D5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4.粉丝管理</w:t>
      </w:r>
    </w:p>
    <w:p w14:paraId="5EF10B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管理维护主页，及时回复粉丝留言和提问，主页整体回复率达到95%，需在24小时内回复粉丝提问。内容诚恳客观，灵活幽默，不能千篇一律。</w:t>
      </w:r>
    </w:p>
    <w:p w14:paraId="77D3F7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5.活动策划</w:t>
      </w:r>
    </w:p>
    <w:p w14:paraId="248FDD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（1）周期性策划线上互动活动。具体方案包括但不限于活动名称、内容、策划亮点、应用程序开发及页面设计（如涉及）、活动规则、配套活动帖文撰写发布、</w:t>
      </w:r>
      <w:r>
        <w:rPr>
          <w:rFonts w:hint="eastAsia" w:ascii="仿宋" w:hAnsi="仿宋" w:eastAsia="仿宋" w:cs="仿宋"/>
          <w:color w:val="auto"/>
          <w:sz w:val="24"/>
          <w:szCs w:val="24"/>
          <w:lang w:eastAsia="zh-CN"/>
        </w:rPr>
        <w:t>活动人员</w:t>
      </w:r>
      <w:r>
        <w:rPr>
          <w:rFonts w:hint="eastAsia" w:ascii="仿宋" w:hAnsi="仿宋" w:eastAsia="仿宋" w:cs="仿宋"/>
          <w:color w:val="auto"/>
          <w:sz w:val="24"/>
          <w:szCs w:val="24"/>
        </w:rPr>
        <w:t>、视频制作、奖品、预估效果等。采购人拥有线上活动相关设计和应用程序的永久使用权。</w:t>
      </w:r>
    </w:p>
    <w:p w14:paraId="27F3C1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策划、举办线下活动，活动应具有全球性主题事件营销效果。具体方案包括但不限于活动名称、时间、地点、场地布置、人员组织实施、策划亮点、内容、议程、道具、奖金（奖品）、现场拍摄（照片和摄影）、视频制作、与线上活动关联度、预估效果等。要求承诺：如因采购人认可的不可抗力原因导致线下活动不能举办，则应置换为双方可接受的等值服务。</w:t>
      </w:r>
    </w:p>
    <w:p w14:paraId="6B9BC4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6.广告投放</w:t>
      </w:r>
    </w:p>
    <w:p w14:paraId="3F5A38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（1）各平台</w:t>
      </w:r>
      <w:r>
        <w:rPr>
          <w:rFonts w:hint="eastAsia" w:ascii="仿宋" w:hAnsi="仿宋" w:eastAsia="仿宋" w:cs="仿宋"/>
          <w:color w:val="auto"/>
          <w:sz w:val="24"/>
          <w:szCs w:val="24"/>
          <w:lang w:eastAsia="zh-CN"/>
        </w:rPr>
        <w:t>账号积极投放广告，</w:t>
      </w:r>
      <w:r>
        <w:rPr>
          <w:rFonts w:hint="eastAsia" w:ascii="仿宋" w:hAnsi="仿宋" w:eastAsia="仿宋" w:cs="仿宋"/>
          <w:color w:val="auto"/>
          <w:sz w:val="24"/>
          <w:szCs w:val="24"/>
        </w:rPr>
        <w:t>广告投放要聚焦欧美等重点旅游客源市场国，并提供广告投放凭证。</w:t>
      </w:r>
    </w:p>
    <w:p w14:paraId="247151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（2）配合线上线下及采购人举办的大型活动或文旅特色在海外主流线上媒体发稿宣传。具体方案包括但不限于发稿时间、每篇宣传亮点、篇数、渠道、发稿形式、最低发布数量等。</w:t>
      </w:r>
    </w:p>
    <w:p w14:paraId="710625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rPr>
        <w:t>7. 网络安全及</w:t>
      </w:r>
      <w:r>
        <w:rPr>
          <w:rFonts w:hint="eastAsia" w:ascii="仿宋" w:hAnsi="仿宋" w:eastAsia="仿宋" w:cs="仿宋"/>
          <w:color w:val="auto"/>
          <w:sz w:val="24"/>
          <w:szCs w:val="24"/>
          <w:lang w:eastAsia="zh-CN"/>
        </w:rPr>
        <w:t>突发事件应急处置</w:t>
      </w:r>
    </w:p>
    <w:p w14:paraId="157EA6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应配合采购人完成网络安全等级保护制度的落实。做好网络安全及</w:t>
      </w:r>
      <w:r>
        <w:rPr>
          <w:rFonts w:hint="eastAsia" w:ascii="仿宋" w:hAnsi="仿宋" w:eastAsia="仿宋" w:cs="仿宋"/>
          <w:color w:val="auto"/>
          <w:sz w:val="24"/>
          <w:szCs w:val="24"/>
          <w:lang w:eastAsia="zh-CN"/>
        </w:rPr>
        <w:t>突发事件应急处置</w:t>
      </w:r>
      <w:r>
        <w:rPr>
          <w:rFonts w:hint="eastAsia" w:ascii="仿宋" w:hAnsi="仿宋" w:eastAsia="仿宋" w:cs="仿宋"/>
          <w:color w:val="auto"/>
          <w:sz w:val="24"/>
          <w:szCs w:val="24"/>
        </w:rPr>
        <w:t>，确保项目涉及账户及资料的安全，并对造成采购人境外社交媒体产生负面影响的</w:t>
      </w:r>
      <w:r>
        <w:rPr>
          <w:rFonts w:hint="eastAsia" w:ascii="仿宋" w:hAnsi="仿宋" w:eastAsia="仿宋" w:cs="仿宋"/>
          <w:color w:val="auto"/>
          <w:sz w:val="24"/>
          <w:szCs w:val="24"/>
          <w:lang w:eastAsia="zh-CN"/>
        </w:rPr>
        <w:t>突发事件</w:t>
      </w:r>
      <w:r>
        <w:rPr>
          <w:rFonts w:hint="eastAsia" w:ascii="仿宋" w:hAnsi="仿宋" w:eastAsia="仿宋" w:cs="仿宋"/>
          <w:color w:val="auto"/>
          <w:sz w:val="24"/>
          <w:szCs w:val="24"/>
        </w:rPr>
        <w:t>及时进行处理。</w:t>
      </w:r>
    </w:p>
    <w:p w14:paraId="354F99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包括并不限于以下情况：</w:t>
      </w:r>
    </w:p>
    <w:p w14:paraId="146C0D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eastAsia="zh-CN"/>
        </w:rPr>
        <w:t>重要</w:t>
      </w:r>
      <w:r>
        <w:rPr>
          <w:rFonts w:hint="eastAsia" w:ascii="仿宋" w:hAnsi="仿宋" w:eastAsia="仿宋" w:cs="仿宋"/>
          <w:color w:val="auto"/>
          <w:sz w:val="24"/>
          <w:szCs w:val="24"/>
        </w:rPr>
        <w:t>资料泄漏；</w:t>
      </w:r>
    </w:p>
    <w:p w14:paraId="05EA76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（2）黑客攻击（或非法入侵）事件、病毒安全紧急处置等；</w:t>
      </w:r>
    </w:p>
    <w:p w14:paraId="7103FA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（3）本项目重要信息基础建设系统或资料窜改；</w:t>
      </w:r>
    </w:p>
    <w:p w14:paraId="6E75F7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（4）本项目重要信息基础建设运作遭影响或系统停顿，无法于可容忍中断时间内恢复正常运作；</w:t>
      </w:r>
    </w:p>
    <w:p w14:paraId="77F633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（5）核心业务系统或资料遭严重窜改；</w:t>
      </w:r>
    </w:p>
    <w:p w14:paraId="1FFCBC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（6）核心业务运作遭影响或系统停顿，无法于可容忍中断时间内恢复正常运作。</w:t>
      </w:r>
    </w:p>
    <w:p w14:paraId="02FE9C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（7）网页出现不良、非法言论等；</w:t>
      </w:r>
    </w:p>
    <w:p w14:paraId="066A53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（8）图文及版面被篡改、发帖被删等；</w:t>
      </w:r>
    </w:p>
    <w:p w14:paraId="201C63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（9）遭到用户投诉、或资料遭窜改；</w:t>
      </w:r>
    </w:p>
    <w:p w14:paraId="4AF8B00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中标人在发现</w:t>
      </w:r>
      <w:r>
        <w:rPr>
          <w:rFonts w:hint="eastAsia" w:ascii="仿宋" w:hAnsi="仿宋" w:eastAsia="仿宋" w:cs="仿宋"/>
          <w:color w:val="auto"/>
          <w:sz w:val="24"/>
          <w:szCs w:val="24"/>
          <w:lang w:eastAsia="zh-CN"/>
        </w:rPr>
        <w:t>突发</w:t>
      </w:r>
      <w:r>
        <w:rPr>
          <w:rFonts w:hint="eastAsia" w:ascii="仿宋" w:hAnsi="仿宋" w:eastAsia="仿宋" w:cs="仿宋"/>
          <w:color w:val="auto"/>
          <w:sz w:val="24"/>
          <w:szCs w:val="24"/>
        </w:rPr>
        <w:t>事件后应即时通报采购人，同时迅速采取处理措施，消除影响。若采购人认为有必要，双方共同协商处理。处理完成后中标人应向采购人及时书面通报。</w:t>
      </w:r>
    </w:p>
    <w:p w14:paraId="249DB83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如果发生“封号”等重大恶性事件，直接扣款50%。</w:t>
      </w:r>
    </w:p>
    <w:p w14:paraId="333079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8.分析报告</w:t>
      </w:r>
    </w:p>
    <w:p w14:paraId="363DFA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（1）每月提供月度报告，包括各项指标完成情况、投放市场分析、最受关注贴文及话题等，总结问题并制定下个月改进策略和计划。</w:t>
      </w:r>
    </w:p>
    <w:p w14:paraId="12228E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（2）根据采购人要求及时提供相应数据，尤其是节假日期间的活动和数据随时准备提供。</w:t>
      </w:r>
    </w:p>
    <w:p w14:paraId="13CE93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（3）根据采购人需求，撰写调研报告。</w:t>
      </w:r>
    </w:p>
    <w:p w14:paraId="422BA6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9.所有权</w:t>
      </w:r>
    </w:p>
    <w:p w14:paraId="5CD81A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各平台涉及的账户、图文视频资料、应用程序、广告投放、活动设计方案等相关内容所有权归属采购人。服务期满前，需将相关资料提交采购人。</w:t>
      </w:r>
    </w:p>
    <w:p w14:paraId="292494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10.人员配备</w:t>
      </w:r>
    </w:p>
    <w:p w14:paraId="5D59A0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为项目配备专职、稳定的团队保证工作顺利执行，明确团队架构和工作人员职责。必须有英文达到母语级的翻译人员或审校人员，保证帖文语言质量。</w:t>
      </w:r>
    </w:p>
    <w:p w14:paraId="490A72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11.接入服务</w:t>
      </w:r>
    </w:p>
    <w:p w14:paraId="35BBA4B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中标单位须提供采购人能够24小时浏览官方账号必备的互联网接入服务及1套硬件设备。</w:t>
      </w:r>
    </w:p>
    <w:p w14:paraId="44C6A7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12.结项报告</w:t>
      </w:r>
    </w:p>
    <w:p w14:paraId="5451CF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项目完成后，投标人应于项目完成之日起30日内向采购人递交项目总结报告</w:t>
      </w:r>
      <w:r>
        <w:rPr>
          <w:rFonts w:hint="eastAsia" w:ascii="仿宋" w:hAnsi="仿宋" w:eastAsia="仿宋" w:cs="仿宋"/>
          <w:color w:val="auto"/>
          <w:sz w:val="24"/>
          <w:szCs w:val="24"/>
          <w:lang w:eastAsia="zh-CN"/>
        </w:rPr>
        <w:t>及验收报告</w:t>
      </w:r>
      <w:r>
        <w:rPr>
          <w:rFonts w:hint="eastAsia" w:ascii="仿宋" w:hAnsi="仿宋" w:eastAsia="仿宋" w:cs="仿宋"/>
          <w:color w:val="auto"/>
          <w:sz w:val="24"/>
          <w:szCs w:val="24"/>
        </w:rPr>
        <w:t>。包括：（1）后台数据、页面截图等证明指标完成的资料；（2）页面设计、帖文分析、传播效果报告；（3）线上线下活动报告；（4）媒体</w:t>
      </w:r>
      <w:r>
        <w:rPr>
          <w:rFonts w:hint="eastAsia" w:ascii="仿宋" w:hAnsi="仿宋" w:eastAsia="仿宋" w:cs="仿宋"/>
          <w:color w:val="auto"/>
          <w:sz w:val="24"/>
          <w:szCs w:val="24"/>
          <w:lang w:eastAsia="zh-CN"/>
        </w:rPr>
        <w:t>发稿</w:t>
      </w:r>
      <w:r>
        <w:rPr>
          <w:rFonts w:hint="eastAsia" w:ascii="仿宋" w:hAnsi="仿宋" w:eastAsia="仿宋" w:cs="仿宋"/>
          <w:color w:val="auto"/>
          <w:sz w:val="24"/>
          <w:szCs w:val="24"/>
        </w:rPr>
        <w:t>及广告投放报告；（5）汇总整理涉及版权归采购人所有的各类图文视频，并提交存有上述资料的移动存储设备。</w:t>
      </w:r>
    </w:p>
    <w:p w14:paraId="6DCD35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13.成效</w:t>
      </w:r>
    </w:p>
    <w:p w14:paraId="7E9E40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项目执行期内，承诺在文旅产业指数实验室发布的“全国省级文化和旅游新媒体国际传播力指数报告”等专业机构发布的综合排名前10。</w:t>
      </w:r>
    </w:p>
    <w:p w14:paraId="539161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14.交接</w:t>
      </w:r>
    </w:p>
    <w:p w14:paraId="5FC05D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承诺项目执行期结束后，免费顺延基础维护服务不少于2个月，以确保在合同期满后至下一年度招标前账号安全。实际交接账号时各项KPI不低于结项报告数据，否则应以甲方同意的方式进行补偿。</w:t>
      </w:r>
    </w:p>
    <w:p w14:paraId="5A62886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rPr>
        <w:t>15.该项目不允许转包分包。</w:t>
      </w:r>
    </w:p>
    <w:p w14:paraId="437D38D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四</w:t>
      </w:r>
      <w:bookmarkStart w:id="0" w:name="_GoBack"/>
      <w:bookmarkEnd w:id="0"/>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关键绩效指标KPI</w:t>
      </w:r>
    </w:p>
    <w:tbl>
      <w:tblPr>
        <w:tblStyle w:val="8"/>
        <w:tblW w:w="499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4"/>
        <w:gridCol w:w="924"/>
        <w:gridCol w:w="1047"/>
        <w:gridCol w:w="1032"/>
        <w:gridCol w:w="1071"/>
        <w:gridCol w:w="1113"/>
        <w:gridCol w:w="1040"/>
        <w:gridCol w:w="959"/>
      </w:tblGrid>
      <w:tr w14:paraId="6554A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3" w:hRule="atLeast"/>
        </w:trPr>
        <w:tc>
          <w:tcPr>
            <w:tcW w:w="778" w:type="pct"/>
            <w:vAlign w:val="center"/>
          </w:tcPr>
          <w:p w14:paraId="571A8F3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平台</w:t>
            </w:r>
          </w:p>
        </w:tc>
        <w:tc>
          <w:tcPr>
            <w:tcW w:w="543" w:type="pct"/>
            <w:vAlign w:val="center"/>
          </w:tcPr>
          <w:p w14:paraId="7704543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页面更新</w:t>
            </w:r>
            <w:r>
              <w:rPr>
                <w:rFonts w:hint="eastAsia" w:ascii="仿宋" w:hAnsi="仿宋" w:eastAsia="仿宋" w:cs="仿宋"/>
                <w:sz w:val="21"/>
                <w:szCs w:val="21"/>
              </w:rPr>
              <w:t>≥</w:t>
            </w:r>
          </w:p>
        </w:tc>
        <w:tc>
          <w:tcPr>
            <w:tcW w:w="615" w:type="pct"/>
            <w:vAlign w:val="center"/>
          </w:tcPr>
          <w:p w14:paraId="37E4A64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贴文数量</w:t>
            </w:r>
          </w:p>
          <w:p w14:paraId="340C7B7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w:t>
            </w:r>
          </w:p>
        </w:tc>
        <w:tc>
          <w:tcPr>
            <w:tcW w:w="606" w:type="pct"/>
            <w:vAlign w:val="center"/>
          </w:tcPr>
          <w:p w14:paraId="6FEFEC5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粉丝增长量≥</w:t>
            </w:r>
          </w:p>
        </w:tc>
        <w:tc>
          <w:tcPr>
            <w:tcW w:w="629" w:type="pct"/>
            <w:vAlign w:val="center"/>
          </w:tcPr>
          <w:p w14:paraId="4D52C72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视频</w:t>
            </w:r>
            <w:r>
              <w:rPr>
                <w:rFonts w:hint="eastAsia" w:ascii="仿宋" w:hAnsi="仿宋" w:eastAsia="仿宋" w:cs="仿宋"/>
                <w:sz w:val="21"/>
                <w:szCs w:val="21"/>
                <w:lang w:val="en-US" w:eastAsia="zh-CN"/>
              </w:rPr>
              <w:t>观</w:t>
            </w:r>
            <w:r>
              <w:rPr>
                <w:rFonts w:hint="eastAsia" w:ascii="仿宋" w:hAnsi="仿宋" w:eastAsia="仿宋" w:cs="仿宋"/>
                <w:sz w:val="21"/>
                <w:szCs w:val="21"/>
                <w:lang w:eastAsia="zh-CN"/>
              </w:rPr>
              <w:t>看</w:t>
            </w:r>
            <w:r>
              <w:rPr>
                <w:rFonts w:hint="eastAsia" w:ascii="仿宋" w:hAnsi="仿宋" w:eastAsia="仿宋" w:cs="仿宋"/>
                <w:sz w:val="21"/>
                <w:szCs w:val="21"/>
                <w:lang w:val="en-US" w:eastAsia="zh-CN"/>
              </w:rPr>
              <w:t>量</w:t>
            </w:r>
            <w:r>
              <w:rPr>
                <w:rFonts w:hint="eastAsia" w:ascii="仿宋" w:hAnsi="仿宋" w:eastAsia="仿宋" w:cs="仿宋"/>
                <w:sz w:val="21"/>
                <w:szCs w:val="21"/>
              </w:rPr>
              <w:t>≥</w:t>
            </w:r>
          </w:p>
        </w:tc>
        <w:tc>
          <w:tcPr>
            <w:tcW w:w="654" w:type="pct"/>
            <w:vAlign w:val="center"/>
          </w:tcPr>
          <w:p w14:paraId="5A34646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互动增长量≥</w:t>
            </w:r>
          </w:p>
        </w:tc>
        <w:tc>
          <w:tcPr>
            <w:tcW w:w="611" w:type="pct"/>
            <w:vAlign w:val="center"/>
          </w:tcPr>
          <w:p w14:paraId="08B65DB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触及数</w:t>
            </w:r>
            <w:r>
              <w:rPr>
                <w:rFonts w:hint="eastAsia" w:ascii="仿宋" w:hAnsi="仿宋" w:eastAsia="仿宋" w:cs="仿宋"/>
                <w:sz w:val="21"/>
                <w:szCs w:val="21"/>
              </w:rPr>
              <w:t>≥</w:t>
            </w:r>
          </w:p>
        </w:tc>
        <w:tc>
          <w:tcPr>
            <w:tcW w:w="560" w:type="pct"/>
            <w:vAlign w:val="center"/>
          </w:tcPr>
          <w:p w14:paraId="52BFD1C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线上活动≥</w:t>
            </w:r>
          </w:p>
        </w:tc>
      </w:tr>
      <w:tr w14:paraId="25D1D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78" w:type="pct"/>
            <w:vAlign w:val="center"/>
          </w:tcPr>
          <w:p w14:paraId="3BBA5A1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Facebook</w:t>
            </w:r>
          </w:p>
        </w:tc>
        <w:tc>
          <w:tcPr>
            <w:tcW w:w="543" w:type="pct"/>
            <w:vAlign w:val="center"/>
          </w:tcPr>
          <w:p w14:paraId="42115C7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4</w:t>
            </w:r>
          </w:p>
        </w:tc>
        <w:tc>
          <w:tcPr>
            <w:tcW w:w="615" w:type="pct"/>
            <w:vAlign w:val="center"/>
          </w:tcPr>
          <w:p w14:paraId="7E294C2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365</w:t>
            </w:r>
          </w:p>
        </w:tc>
        <w:tc>
          <w:tcPr>
            <w:tcW w:w="606" w:type="pct"/>
            <w:vAlign w:val="center"/>
          </w:tcPr>
          <w:p w14:paraId="5EA0AF4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color w:val="auto"/>
                <w:sz w:val="21"/>
                <w:szCs w:val="21"/>
                <w:lang w:val="en-US" w:eastAsia="zh-CN"/>
              </w:rPr>
              <w:t>20万</w:t>
            </w:r>
          </w:p>
        </w:tc>
        <w:tc>
          <w:tcPr>
            <w:tcW w:w="629" w:type="pct"/>
            <w:vAlign w:val="center"/>
          </w:tcPr>
          <w:p w14:paraId="4854405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654" w:type="pct"/>
            <w:vAlign w:val="center"/>
          </w:tcPr>
          <w:p w14:paraId="3BD1954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200万</w:t>
            </w:r>
          </w:p>
        </w:tc>
        <w:tc>
          <w:tcPr>
            <w:tcW w:w="611" w:type="pct"/>
            <w:vAlign w:val="center"/>
          </w:tcPr>
          <w:p w14:paraId="30F4031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560" w:type="pct"/>
            <w:vAlign w:val="center"/>
          </w:tcPr>
          <w:p w14:paraId="0D2CC2A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12场</w:t>
            </w:r>
          </w:p>
        </w:tc>
      </w:tr>
      <w:tr w14:paraId="616AF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78" w:type="pct"/>
            <w:vAlign w:val="center"/>
          </w:tcPr>
          <w:p w14:paraId="2173975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eastAsia="zh-CN"/>
              </w:rPr>
            </w:pPr>
            <w:r>
              <w:rPr>
                <w:rFonts w:hint="eastAsia" w:ascii="仿宋" w:hAnsi="仿宋" w:eastAsia="仿宋" w:cs="仿宋"/>
                <w:sz w:val="21"/>
                <w:szCs w:val="21"/>
                <w:lang w:val="en-US" w:eastAsia="zh-CN"/>
              </w:rPr>
              <w:t>X</w:t>
            </w:r>
          </w:p>
        </w:tc>
        <w:tc>
          <w:tcPr>
            <w:tcW w:w="543" w:type="pct"/>
            <w:vAlign w:val="center"/>
          </w:tcPr>
          <w:p w14:paraId="6E05C3D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4</w:t>
            </w:r>
          </w:p>
        </w:tc>
        <w:tc>
          <w:tcPr>
            <w:tcW w:w="615" w:type="pct"/>
            <w:vAlign w:val="center"/>
          </w:tcPr>
          <w:p w14:paraId="3AEC239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365</w:t>
            </w:r>
          </w:p>
        </w:tc>
        <w:tc>
          <w:tcPr>
            <w:tcW w:w="606" w:type="pct"/>
            <w:vAlign w:val="center"/>
          </w:tcPr>
          <w:p w14:paraId="55CAA32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1万</w:t>
            </w:r>
          </w:p>
        </w:tc>
        <w:tc>
          <w:tcPr>
            <w:tcW w:w="629" w:type="pct"/>
            <w:vAlign w:val="center"/>
          </w:tcPr>
          <w:p w14:paraId="557A661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654" w:type="pct"/>
            <w:vAlign w:val="center"/>
          </w:tcPr>
          <w:p w14:paraId="12BD0D8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20万</w:t>
            </w:r>
          </w:p>
        </w:tc>
        <w:tc>
          <w:tcPr>
            <w:tcW w:w="611" w:type="pct"/>
            <w:vAlign w:val="center"/>
          </w:tcPr>
          <w:p w14:paraId="5B91846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560" w:type="pct"/>
            <w:vAlign w:val="center"/>
          </w:tcPr>
          <w:p w14:paraId="4B60574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4场</w:t>
            </w:r>
          </w:p>
        </w:tc>
      </w:tr>
      <w:tr w14:paraId="7399A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78" w:type="pct"/>
            <w:vAlign w:val="center"/>
          </w:tcPr>
          <w:p w14:paraId="4D7AF2C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Instagram</w:t>
            </w:r>
          </w:p>
        </w:tc>
        <w:tc>
          <w:tcPr>
            <w:tcW w:w="543" w:type="pct"/>
            <w:vAlign w:val="center"/>
          </w:tcPr>
          <w:p w14:paraId="7FBF90D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4</w:t>
            </w:r>
          </w:p>
        </w:tc>
        <w:tc>
          <w:tcPr>
            <w:tcW w:w="615" w:type="pct"/>
            <w:vAlign w:val="center"/>
          </w:tcPr>
          <w:p w14:paraId="40F8C77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365</w:t>
            </w:r>
          </w:p>
        </w:tc>
        <w:tc>
          <w:tcPr>
            <w:tcW w:w="606" w:type="pct"/>
            <w:vAlign w:val="center"/>
          </w:tcPr>
          <w:p w14:paraId="7A13399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15万</w:t>
            </w:r>
          </w:p>
        </w:tc>
        <w:tc>
          <w:tcPr>
            <w:tcW w:w="629" w:type="pct"/>
            <w:vAlign w:val="center"/>
          </w:tcPr>
          <w:p w14:paraId="1D615DF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654" w:type="pct"/>
            <w:vAlign w:val="center"/>
          </w:tcPr>
          <w:p w14:paraId="4FB209E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200万</w:t>
            </w:r>
          </w:p>
        </w:tc>
        <w:tc>
          <w:tcPr>
            <w:tcW w:w="611" w:type="pct"/>
            <w:vAlign w:val="center"/>
          </w:tcPr>
          <w:p w14:paraId="47372A9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560" w:type="pct"/>
            <w:vAlign w:val="center"/>
          </w:tcPr>
          <w:p w14:paraId="4CE60D1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12场</w:t>
            </w:r>
          </w:p>
        </w:tc>
      </w:tr>
      <w:tr w14:paraId="71FB7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778" w:type="pct"/>
            <w:vAlign w:val="center"/>
          </w:tcPr>
          <w:p w14:paraId="7570506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YouTube</w:t>
            </w:r>
          </w:p>
        </w:tc>
        <w:tc>
          <w:tcPr>
            <w:tcW w:w="543" w:type="pct"/>
            <w:vAlign w:val="center"/>
          </w:tcPr>
          <w:p w14:paraId="4D34F21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4</w:t>
            </w:r>
          </w:p>
        </w:tc>
        <w:tc>
          <w:tcPr>
            <w:tcW w:w="615" w:type="pct"/>
            <w:vAlign w:val="center"/>
          </w:tcPr>
          <w:p w14:paraId="2F8BB9D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24</w:t>
            </w:r>
          </w:p>
        </w:tc>
        <w:tc>
          <w:tcPr>
            <w:tcW w:w="606" w:type="pct"/>
            <w:vAlign w:val="center"/>
          </w:tcPr>
          <w:p w14:paraId="22F66FB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6000</w:t>
            </w:r>
          </w:p>
        </w:tc>
        <w:tc>
          <w:tcPr>
            <w:tcW w:w="629" w:type="pct"/>
            <w:vAlign w:val="center"/>
          </w:tcPr>
          <w:p w14:paraId="3E9BFD2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60万</w:t>
            </w:r>
          </w:p>
        </w:tc>
        <w:tc>
          <w:tcPr>
            <w:tcW w:w="654" w:type="pct"/>
            <w:vAlign w:val="center"/>
          </w:tcPr>
          <w:p w14:paraId="1602EAD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611" w:type="pct"/>
            <w:vAlign w:val="center"/>
          </w:tcPr>
          <w:p w14:paraId="1873129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560" w:type="pct"/>
            <w:vAlign w:val="center"/>
          </w:tcPr>
          <w:p w14:paraId="7518F1B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r>
      <w:tr w14:paraId="4F83D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78" w:type="pct"/>
            <w:vAlign w:val="center"/>
          </w:tcPr>
          <w:p w14:paraId="20D7B29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Tiktok</w:t>
            </w:r>
          </w:p>
        </w:tc>
        <w:tc>
          <w:tcPr>
            <w:tcW w:w="543" w:type="pct"/>
            <w:vAlign w:val="center"/>
          </w:tcPr>
          <w:p w14:paraId="47B1298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4</w:t>
            </w:r>
          </w:p>
        </w:tc>
        <w:tc>
          <w:tcPr>
            <w:tcW w:w="615" w:type="pct"/>
            <w:vAlign w:val="center"/>
          </w:tcPr>
          <w:p w14:paraId="741E22C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48</w:t>
            </w:r>
          </w:p>
        </w:tc>
        <w:tc>
          <w:tcPr>
            <w:tcW w:w="606" w:type="pct"/>
            <w:vAlign w:val="center"/>
          </w:tcPr>
          <w:p w14:paraId="4CB4E59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3.5万</w:t>
            </w:r>
          </w:p>
        </w:tc>
        <w:tc>
          <w:tcPr>
            <w:tcW w:w="629" w:type="pct"/>
            <w:vAlign w:val="center"/>
          </w:tcPr>
          <w:p w14:paraId="3172F93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600万</w:t>
            </w:r>
          </w:p>
        </w:tc>
        <w:tc>
          <w:tcPr>
            <w:tcW w:w="654" w:type="pct"/>
            <w:vAlign w:val="center"/>
          </w:tcPr>
          <w:p w14:paraId="4E73B31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611" w:type="pct"/>
            <w:vAlign w:val="center"/>
          </w:tcPr>
          <w:p w14:paraId="537C291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560" w:type="pct"/>
            <w:vAlign w:val="center"/>
          </w:tcPr>
          <w:p w14:paraId="4B10D5A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r>
      <w:tr w14:paraId="0975F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78" w:type="pct"/>
            <w:vAlign w:val="center"/>
          </w:tcPr>
          <w:p w14:paraId="2B05EDC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线下活动</w:t>
            </w:r>
          </w:p>
        </w:tc>
        <w:tc>
          <w:tcPr>
            <w:tcW w:w="4221" w:type="pct"/>
            <w:gridSpan w:val="7"/>
            <w:vAlign w:val="center"/>
          </w:tcPr>
          <w:p w14:paraId="1B99215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1场，投播触及数不少于200万，总互动量不少于10万</w:t>
            </w:r>
          </w:p>
        </w:tc>
      </w:tr>
      <w:tr w14:paraId="3C054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78" w:type="pct"/>
            <w:vAlign w:val="center"/>
          </w:tcPr>
          <w:p w14:paraId="4E6A9F5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海外媒体发稿</w:t>
            </w:r>
          </w:p>
        </w:tc>
        <w:tc>
          <w:tcPr>
            <w:tcW w:w="4221" w:type="pct"/>
            <w:gridSpan w:val="7"/>
            <w:vAlign w:val="center"/>
          </w:tcPr>
          <w:p w14:paraId="1134644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eastAsia="zh-CN"/>
              </w:rPr>
            </w:pPr>
            <w:r>
              <w:rPr>
                <w:rFonts w:hint="eastAsia" w:ascii="仿宋" w:hAnsi="仿宋" w:eastAsia="仿宋" w:cs="仿宋"/>
                <w:sz w:val="21"/>
                <w:szCs w:val="21"/>
                <w:lang w:val="en-US" w:eastAsia="zh-CN"/>
              </w:rPr>
              <w:t>4</w:t>
            </w:r>
            <w:r>
              <w:rPr>
                <w:rFonts w:hint="eastAsia" w:ascii="仿宋" w:hAnsi="仿宋" w:eastAsia="仿宋" w:cs="仿宋"/>
                <w:sz w:val="21"/>
                <w:szCs w:val="21"/>
              </w:rPr>
              <w:t>篇</w:t>
            </w:r>
            <w:r>
              <w:rPr>
                <w:rFonts w:hint="eastAsia" w:ascii="仿宋" w:hAnsi="仿宋" w:eastAsia="仿宋" w:cs="仿宋"/>
                <w:sz w:val="21"/>
                <w:szCs w:val="21"/>
                <w:lang w:eastAsia="zh-CN"/>
              </w:rPr>
              <w:t>，线上平均每篇不少于</w:t>
            </w:r>
            <w:r>
              <w:rPr>
                <w:rFonts w:hint="eastAsia" w:ascii="仿宋" w:hAnsi="仿宋" w:eastAsia="仿宋" w:cs="仿宋"/>
                <w:sz w:val="21"/>
                <w:szCs w:val="21"/>
                <w:lang w:val="en-US" w:eastAsia="zh-CN"/>
              </w:rPr>
              <w:t>15</w:t>
            </w:r>
            <w:r>
              <w:rPr>
                <w:rFonts w:hint="eastAsia" w:ascii="仿宋" w:hAnsi="仿宋" w:eastAsia="仿宋" w:cs="仿宋"/>
                <w:sz w:val="21"/>
                <w:szCs w:val="21"/>
                <w:lang w:eastAsia="zh-CN"/>
              </w:rPr>
              <w:t>0家国际网站刊登</w:t>
            </w:r>
          </w:p>
        </w:tc>
      </w:tr>
    </w:tbl>
    <w:p w14:paraId="685D46D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三、服务质量、服务标准</w:t>
      </w:r>
    </w:p>
    <w:p w14:paraId="69DFEB0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一）质量要求以本合同为准。本合同未涉及的服务质量、标准，以双方共同签字盖章认可的方案为准。方案中未涉及的合同服务的质量、服务标准按招标文件要求执行，如在招标文件中无相应说明，则按国家有关部门颁布的最新的国家有关部门标准执行，没有国家有关部门标准的，按行业标准和采购人要求执行。验收工作按合同要求标准执行。</w:t>
      </w:r>
    </w:p>
    <w:p w14:paraId="2A2A953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（二）投标人承诺具有履行本合同的授权、资质和能力，投标人的履约行为不违反国家的法律和强制性规定。</w:t>
      </w:r>
    </w:p>
    <w:p w14:paraId="2F5E45D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（三）投标人知悉采购人的官方性质及信誉、影响力等主体特点，应消除来自各方面对采购人的不良影响。</w:t>
      </w:r>
    </w:p>
    <w:p w14:paraId="3EC480D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四）在开展相关活动时造成安全事故、人身财产损失的，均由投标人承担相应责任与赔偿。由于投标人原因致使采购人卷入诉讼，采购人因诉讼产生的相关费用（包括但不限于赔偿金、诉讼费、律师代理费等）由投标人负担。</w:t>
      </w:r>
    </w:p>
    <w:p w14:paraId="22EF81F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（五）服务项目执行内容需要调整时，经采购人同意后，可以对相应的项目局部进行调整。</w:t>
      </w:r>
    </w:p>
    <w:p w14:paraId="7C3F470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四、知识产权</w:t>
      </w:r>
    </w:p>
    <w:p w14:paraId="72D6255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投标人应保证采购人在使用合同产品或其任何一部分时不受第三方提出侵犯知识产权的起诉。如果任何第三方提出侵权指控，投标人须与第三方交涉并承担可能发生的一切费用及法律责任，并且对采购人造成的损失给予赔偿。</w:t>
      </w:r>
    </w:p>
    <w:p w14:paraId="204B698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陕西省文化</w:t>
      </w:r>
      <w:r>
        <w:rPr>
          <w:rFonts w:hint="eastAsia" w:ascii="仿宋" w:hAnsi="仿宋" w:eastAsia="仿宋" w:cs="仿宋"/>
          <w:color w:val="auto"/>
          <w:sz w:val="24"/>
          <w:szCs w:val="24"/>
          <w:highlight w:val="none"/>
          <w:lang w:val="en-US" w:eastAsia="zh-CN"/>
        </w:rPr>
        <w:t>和</w:t>
      </w:r>
      <w:r>
        <w:rPr>
          <w:rFonts w:hint="eastAsia" w:ascii="仿宋" w:hAnsi="仿宋" w:eastAsia="仿宋" w:cs="仿宋"/>
          <w:color w:val="auto"/>
          <w:sz w:val="24"/>
          <w:szCs w:val="24"/>
          <w:highlight w:val="none"/>
          <w:lang w:eastAsia="zh-CN"/>
        </w:rPr>
        <w:t>旅游厅英文版境外社交媒体Facebook、</w:t>
      </w:r>
      <w:r>
        <w:rPr>
          <w:rFonts w:hint="eastAsia" w:ascii="仿宋" w:hAnsi="仿宋" w:eastAsia="仿宋" w:cs="仿宋"/>
          <w:color w:val="auto"/>
          <w:sz w:val="24"/>
          <w:szCs w:val="24"/>
          <w:highlight w:val="none"/>
          <w:lang w:val="en-US" w:eastAsia="zh-CN"/>
        </w:rPr>
        <w:t>X</w:t>
      </w:r>
      <w:r>
        <w:rPr>
          <w:rFonts w:hint="eastAsia" w:ascii="仿宋" w:hAnsi="仿宋" w:eastAsia="仿宋" w:cs="仿宋"/>
          <w:color w:val="auto"/>
          <w:sz w:val="24"/>
          <w:szCs w:val="24"/>
          <w:highlight w:val="none"/>
          <w:lang w:eastAsia="zh-CN"/>
        </w:rPr>
        <w:t>、Instagram、</w:t>
      </w:r>
      <w:r>
        <w:rPr>
          <w:rFonts w:hint="eastAsia" w:ascii="仿宋" w:hAnsi="仿宋" w:eastAsia="仿宋" w:cs="仿宋"/>
          <w:color w:val="auto"/>
          <w:sz w:val="24"/>
          <w:szCs w:val="24"/>
          <w:highlight w:val="none"/>
          <w:lang w:val="en-US" w:eastAsia="zh-CN"/>
        </w:rPr>
        <w:t>Youtube、Tiktok</w:t>
      </w:r>
      <w:r>
        <w:rPr>
          <w:rFonts w:hint="eastAsia" w:ascii="仿宋" w:hAnsi="仿宋" w:eastAsia="仿宋" w:cs="仿宋"/>
          <w:color w:val="auto"/>
          <w:sz w:val="24"/>
          <w:szCs w:val="24"/>
          <w:highlight w:val="none"/>
          <w:lang w:eastAsia="zh-CN"/>
        </w:rPr>
        <w:t>官方账户用户名、密码、用户个人资料数据库等与本合同相关的一切知识产权和所有权归采购人所有。投标人不得以其他任何方式侵犯采购人商业秘密。若投标人侵犯采购人的知识产权或商业秘密，则应赔偿给采购人造成的一切损失，并支付合同总价5％的违约金。</w:t>
      </w:r>
    </w:p>
    <w:p w14:paraId="4F9B430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b/>
          <w:bCs/>
          <w:color w:val="auto"/>
          <w:sz w:val="24"/>
          <w:szCs w:val="24"/>
          <w:highlight w:val="none"/>
          <w:lang w:eastAsia="zh-CN"/>
        </w:rPr>
        <w:t>五、合同总价和支付方式</w:t>
      </w:r>
    </w:p>
    <w:p w14:paraId="1F0D40E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1、合同总价</w:t>
      </w:r>
    </w:p>
    <w:p w14:paraId="551CCFF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合同总价为人民币(大写)</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元整，即 RMB</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元。该合同总价是乙方在服务范图内提供服务所发生的所有费用(含税)。本合同执行期间合同总价不变。</w:t>
      </w:r>
    </w:p>
    <w:p w14:paraId="4D83A3B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2、结算方式</w:t>
      </w:r>
    </w:p>
    <w:p w14:paraId="53B2041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双方约定，甲方就陕西文化和旅游境外社交媒体宣传推广项目，以下列明细向乙方支付合同费用：</w:t>
      </w:r>
    </w:p>
    <w:p w14:paraId="24C4907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采购包1：付款条件说明：本合同签订后，成交单位应向采购人开具项目总金额40%的发票，达到付款条件起30日内，支付合同总金额的40.00%。</w:t>
      </w:r>
    </w:p>
    <w:p w14:paraId="6853712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采购包1：付款条件说明：关键绩效指标KPI各项指标完成，成交单位应向采购人开具项目总金额60％的发票，达到付款条件起30日内，支付合同总金额的60.00%。</w:t>
      </w:r>
    </w:p>
    <w:p w14:paraId="64B901C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甲方将依照合同规定，将经费打入乙方指定账户：</w:t>
      </w:r>
    </w:p>
    <w:p w14:paraId="3C9BD41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账户名称：</w:t>
      </w:r>
    </w:p>
    <w:p w14:paraId="1984058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开户行：</w:t>
      </w:r>
    </w:p>
    <w:p w14:paraId="6EB61E9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w:t>
      </w:r>
    </w:p>
    <w:p w14:paraId="4D42DD2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若以上账户信息变动，乙方应立即书面告知甲方，否则责任由乙方承担。</w:t>
      </w:r>
    </w:p>
    <w:p w14:paraId="22728AA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六、违约责任</w:t>
      </w:r>
    </w:p>
    <w:p w14:paraId="30CE0EE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(一)甲方违约责任</w:t>
      </w:r>
    </w:p>
    <w:p w14:paraId="0C9A701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根据本合同规定，甲方按时向乙方支付应付服务费用。 甲方无故逾期3个月不支付服务款的，除应及时支付服务款外，每逾期1天，向乙方偿付本结算阶段欠款总额万分之一的违约金。</w:t>
      </w:r>
    </w:p>
    <w:p w14:paraId="052D4B7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(二)乙方违约责任</w:t>
      </w:r>
    </w:p>
    <w:p w14:paraId="3AE9B0C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1、乙方所承诺的服务内容出现缺漏等情况的，按照漏 一补一的原则进行补充。如果在合同期结束或合同解除后3月内无法补充，乙方应向甲方退还相应的款项，并向甲方支付未服务内容项对应总金额30%的违约金。</w:t>
      </w:r>
    </w:p>
    <w:p w14:paraId="2DBFC67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2、乙方不能交付或交付的服务不符合合同约定的，乙 方应向甲方支付合同总价的5%的违约金，甲方有权解除本合同并要求乙方退还已支付款项。</w:t>
      </w:r>
    </w:p>
    <w:p w14:paraId="22924CE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3、乙方逾期提供服务的，经书面警告后仍未得到改正，每逾期1天，应向甲方偿付逾期服务部分价款总额1%的违 约金。逾期提供服务超过15 天，甲方有权终止合同，并要求乙方退还已支付款项，并支付合同总价5%的违约金。</w:t>
      </w:r>
    </w:p>
    <w:p w14:paraId="05DE0AE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七、不可抗力</w:t>
      </w:r>
    </w:p>
    <w:p w14:paraId="42EDB4D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由于不可抗力造成本合同无法履行，甲乙双方均可免除责任；但在不可抗力事由消除后，经过双方协商确定解决方案。</w:t>
      </w:r>
    </w:p>
    <w:p w14:paraId="489E11D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八、争议解决</w:t>
      </w:r>
    </w:p>
    <w:p w14:paraId="54124F4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凡有关本合同或执行本合同中发生的争端，双方应通过友好协商妥善解决，如通过协商仍不能解决时，双方均可向甲方所在地人民法院诉讼解决。</w:t>
      </w:r>
    </w:p>
    <w:p w14:paraId="6043E06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九、其他</w:t>
      </w:r>
    </w:p>
    <w:p w14:paraId="2A65A64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1、合同经双方法定代表人或授权代理人签字并加盖单位公章后生效。</w:t>
      </w:r>
    </w:p>
    <w:p w14:paraId="1D1C1AC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2、本合同未约定或约定不详的，双方可以签订补充协 议。补充协议与本合同具有同等法律效力，补充协议与本合同发生冲突时，以补充协议为准。</w:t>
      </w:r>
    </w:p>
    <w:p w14:paraId="03606C5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3、本合同一式陆份，甲方、乙方、采购代理机构各执 壹份，政府采购管理部门备案壹份，其余甲方存档，具有同等法律效力</w:t>
      </w:r>
    </w:p>
    <w:p w14:paraId="6F367BD2">
      <w:pPr>
        <w:pStyle w:val="2"/>
        <w:rPr>
          <w:rFonts w:hint="eastAsia" w:ascii="仿宋" w:hAnsi="仿宋" w:eastAsia="仿宋" w:cs="仿宋"/>
          <w:color w:val="auto"/>
          <w:sz w:val="24"/>
          <w:szCs w:val="24"/>
          <w:highlight w:val="none"/>
        </w:rPr>
      </w:pPr>
    </w:p>
    <w:p w14:paraId="14E53608">
      <w:pPr>
        <w:pStyle w:val="3"/>
        <w:rPr>
          <w:rFonts w:hint="eastAsia" w:ascii="仿宋" w:hAnsi="仿宋" w:eastAsia="仿宋" w:cs="仿宋"/>
          <w:color w:val="auto"/>
          <w:sz w:val="24"/>
          <w:szCs w:val="24"/>
          <w:highlight w:val="none"/>
        </w:rPr>
      </w:pPr>
    </w:p>
    <w:p w14:paraId="73909DAC">
      <w:pP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br w:type="page"/>
      </w:r>
    </w:p>
    <w:p w14:paraId="3A3DBF4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(以下无正文；接合同签署页)</w:t>
      </w:r>
    </w:p>
    <w:p w14:paraId="5550D363">
      <w:pPr>
        <w:pStyle w:val="2"/>
        <w:rPr>
          <w:rFonts w:hint="eastAsia" w:ascii="仿宋" w:hAnsi="仿宋" w:eastAsia="仿宋" w:cs="仿宋"/>
          <w:color w:val="auto"/>
          <w:sz w:val="24"/>
          <w:szCs w:val="24"/>
          <w:highlight w:val="none"/>
          <w:lang w:eastAsia="zh-CN"/>
        </w:rPr>
      </w:pPr>
    </w:p>
    <w:p w14:paraId="0DF52A33">
      <w:pPr>
        <w:pStyle w:val="3"/>
        <w:rPr>
          <w:rFonts w:hint="eastAsia" w:ascii="仿宋" w:hAnsi="仿宋" w:eastAsia="仿宋" w:cs="仿宋"/>
          <w:color w:val="auto"/>
          <w:sz w:val="24"/>
          <w:szCs w:val="24"/>
          <w:highlight w:val="none"/>
          <w:lang w:eastAsia="zh-CN"/>
        </w:rPr>
      </w:pPr>
    </w:p>
    <w:p w14:paraId="1EDF541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甲方(需方)：                             乙方(供方)： </w:t>
      </w:r>
    </w:p>
    <w:p w14:paraId="415C53A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项目负责人：                             法定代表人： </w:t>
      </w:r>
    </w:p>
    <w:p w14:paraId="1F6C74C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授权代表：                               授权代表： </w:t>
      </w:r>
    </w:p>
    <w:p w14:paraId="3CC9813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电话：                                   电话： </w:t>
      </w:r>
    </w:p>
    <w:p w14:paraId="4CA2014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传真：                                   传真： </w:t>
      </w:r>
    </w:p>
    <w:p w14:paraId="63E6335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开户银行：                               开户银行： </w:t>
      </w:r>
    </w:p>
    <w:p w14:paraId="708E631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帐号：                                   帐号： </w:t>
      </w:r>
    </w:p>
    <w:p w14:paraId="6FE5135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邮政编码：                               邮政编码： </w:t>
      </w:r>
    </w:p>
    <w:p w14:paraId="172CC93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签订地点：                               签订地点： </w:t>
      </w:r>
    </w:p>
    <w:p w14:paraId="26DE3133">
      <w:r>
        <w:rPr>
          <w:rFonts w:hint="eastAsia" w:ascii="仿宋" w:hAnsi="仿宋" w:eastAsia="仿宋" w:cs="仿宋"/>
          <w:snapToGrid w:val="0"/>
          <w:color w:val="auto"/>
          <w:kern w:val="0"/>
          <w:sz w:val="24"/>
          <w:szCs w:val="24"/>
          <w:highlight w:val="none"/>
          <w:lang w:val="en-US" w:eastAsia="zh-CN" w:bidi="ar"/>
        </w:rPr>
        <w:t>签约时间：     年 月 日                  签约时间：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84550C"/>
    <w:rsid w:val="48AD0A60"/>
    <w:rsid w:val="5584550C"/>
    <w:rsid w:val="719F2E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style>
  <w:style w:type="paragraph" w:styleId="3">
    <w:name w:val="toc 4"/>
    <w:basedOn w:val="1"/>
    <w:next w:val="1"/>
    <w:unhideWhenUsed/>
    <w:qFormat/>
    <w:uiPriority w:val="39"/>
  </w:style>
  <w:style w:type="paragraph" w:styleId="4">
    <w:name w:val="Body Text"/>
    <w:basedOn w:val="1"/>
    <w:qFormat/>
    <w:uiPriority w:val="0"/>
    <w:pPr>
      <w:spacing w:after="120" w:afterLines="0" w:afterAutospacing="0"/>
    </w:p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Body Text First Indent"/>
    <w:basedOn w:val="4"/>
    <w:qFormat/>
    <w:uiPriority w:val="0"/>
    <w:pPr>
      <w:ind w:firstLine="420" w:firstLineChars="100"/>
    </w:p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4245</Words>
  <Characters>4435</Characters>
  <Lines>0</Lines>
  <Paragraphs>0</Paragraphs>
  <TotalTime>0</TotalTime>
  <ScaleCrop>false</ScaleCrop>
  <LinksUpToDate>false</LinksUpToDate>
  <CharactersWithSpaces>4952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2026-01-13T08:41:00Z</dcterms:created>
  <dc:creator>1</dc:creator>
  <cp:lastModifiedBy>1</cp:lastModifiedBy>
  <dcterms:modified xsi:type="dcterms:W3CDTF">2026-01-14T06:01:43Z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5B84EF0F98CE4BE2A311EEA68D072F7E_11</vt:lpwstr>
  </property>
  <property fmtid="{D5CDD505-2E9C-101B-9397-08002B2CF9AE}" pid="4" name="KSOTemplateDocerSaveRecord">
    <vt:lpwstr>eyJoZGlkIjoiYWRjNjA3YjNkZTkyNDk4OTI5YWU2YmU2MzVkMmI4MTAiLCJ1c2VySWQiOiI0ODU3MDc4MjgifQ==</vt:lpwstr>
  </property>
</Properties>
</file>