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版本号：SCZA2026-CS-0079-001R20260129001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2026年境外重点展会承办单位服务项目(二次)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SCZA2026-CS-0079-001R</w:t>
      </w:r>
      <w:r>
        <w:br/>
      </w:r>
      <w:r>
        <w:br/>
      </w:r>
      <w:r>
        <w:br/>
      </w:r>
    </w:p>
    <w:p>
      <w:pPr>
        <w:pStyle w:val="null3"/>
        <w:jc w:val="center"/>
        <w:outlineLvl w:val="2"/>
      </w:pPr>
      <w:r>
        <w:rPr>
          <w:rFonts w:ascii="仿宋_GB2312" w:hAnsi="仿宋_GB2312" w:cs="仿宋_GB2312" w:eastAsia="仿宋_GB2312"/>
          <w:sz w:val="28"/>
          <w:b/>
        </w:rPr>
        <w:t>陕西省商务厅机关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陕西省商务厅机关</w:t>
      </w:r>
      <w:r>
        <w:rPr>
          <w:rFonts w:ascii="仿宋_GB2312" w:hAnsi="仿宋_GB2312" w:cs="仿宋_GB2312" w:eastAsia="仿宋_GB2312"/>
        </w:rPr>
        <w:t>委托，拟对</w:t>
      </w:r>
      <w:r>
        <w:rPr>
          <w:rFonts w:ascii="仿宋_GB2312" w:hAnsi="仿宋_GB2312" w:cs="仿宋_GB2312" w:eastAsia="仿宋_GB2312"/>
        </w:rPr>
        <w:t>2026年境外重点展会承办单位服务项目(二次)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SCZA2026-CS-0079-001R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2026年境外重点展会承办单位服务项目(二次)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2026年境外重点展会承办单位服务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采购包2（香港国际授权展）：属于专门面向中小企业采购。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1、特定资格条件：供应商在递交磋商响应文件截止时间前被“信用中国 ”网站（www.creditchina.gov.cn）和中国政府采购网（www.ccgp.gov.cn）上被列入失信被执行人、重大税收违法失信主体、政府采购严重违法失信行为记录名单的，不得参加磋商 ;</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1、特定资格条件：供应商在递交磋商响应文件截止时间前被“信用中国 ”网站（www.creditchina.gov.cn）和中国政府采购网（www.ccgp.gov.cn）上被列入失信被执行人、重大税收违法失信主体、政府采购严重违法失信行为记录名单的，不得参加磋商 ;</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陕西省商务厅机关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029-63914003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李盼盼、白国锋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采购包1：165,000.00元</w:t>
            </w:r>
          </w:p>
          <w:p>
            <w:pPr>
              <w:pStyle w:val="null3"/>
            </w:pPr>
            <w:r>
              <w:rPr>
                <w:rFonts w:ascii="仿宋_GB2312" w:hAnsi="仿宋_GB2312" w:cs="仿宋_GB2312" w:eastAsia="仿宋_GB2312"/>
              </w:rPr>
              <w:t>采购包2：110,000.00元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采购包1保证金金额：3,300.00元</w:t>
            </w:r>
          </w:p>
          <w:p>
            <w:pPr>
              <w:pStyle w:val="null3"/>
            </w:pPr>
            <w:r>
              <w:rPr>
                <w:rFonts w:ascii="仿宋_GB2312" w:hAnsi="仿宋_GB2312" w:cs="仿宋_GB2312" w:eastAsia="仿宋_GB2312"/>
              </w:rPr>
              <w:t>采购包2保证金金额：2,200.00元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银行账号：103261191825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代理服务费收费标准：招标代理服务费定额收费，按定额5000.00元/采购包收取。 成交单位的代理服务费交纳信息 银行户名：陕西省采购招标有限责任公司 开户银行：中国光大银行西安友谊路支行 账号：78560188000095264 联系人：财务部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陕西省商务厅机关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陕西省商务厅机关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陕西省商务厅机关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地址：西安市高新区锦业路1号都市之门C座9层综合办公室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2026年境外重点展会承办单位服务项目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165,000.00</w:t>
      </w:r>
    </w:p>
    <w:p>
      <w:pPr>
        <w:pStyle w:val="null3"/>
      </w:pPr>
      <w:r>
        <w:rPr>
          <w:rFonts w:ascii="仿宋_GB2312" w:hAnsi="仿宋_GB2312" w:cs="仿宋_GB2312" w:eastAsia="仿宋_GB2312"/>
        </w:rPr>
        <w:t>采购包最高限价（元）: 165,000.00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俄罗斯国际物流与运输展览会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110,000.00</w:t>
      </w:r>
    </w:p>
    <w:p>
      <w:pPr>
        <w:pStyle w:val="null3"/>
      </w:pPr>
      <w:r>
        <w:rPr>
          <w:rFonts w:ascii="仿宋_GB2312" w:hAnsi="仿宋_GB2312" w:cs="仿宋_GB2312" w:eastAsia="仿宋_GB2312"/>
        </w:rPr>
        <w:t>采购包最高限价（元）: 110,000.00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香港国际授权展</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标的名称：俄罗斯国际物流与运输展览会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国别</w:t>
                  </w:r>
                </w:p>
              </w:tc>
              <w:tc>
                <w:tcPr>
                  <w:tcW w:type="dxa" w:w="426"/>
                </w:tcPr>
                <w:p>
                  <w:pPr>
                    <w:pStyle w:val="null3"/>
                  </w:pPr>
                  <w:r>
                    <w:rPr>
                      <w:rFonts w:ascii="仿宋_GB2312" w:hAnsi="仿宋_GB2312" w:cs="仿宋_GB2312" w:eastAsia="仿宋_GB2312"/>
                    </w:rPr>
                    <w:t>城市</w:t>
                  </w:r>
                </w:p>
              </w:tc>
              <w:tc>
                <w:tcPr>
                  <w:tcW w:type="dxa" w:w="426"/>
                </w:tcPr>
                <w:p>
                  <w:pPr>
                    <w:pStyle w:val="null3"/>
                  </w:pPr>
                  <w:r>
                    <w:rPr>
                      <w:rFonts w:ascii="仿宋_GB2312" w:hAnsi="仿宋_GB2312" w:cs="仿宋_GB2312" w:eastAsia="仿宋_GB2312"/>
                    </w:rPr>
                    <w:t>展会名称</w:t>
                  </w:r>
                </w:p>
              </w:tc>
              <w:tc>
                <w:tcPr>
                  <w:tcW w:type="dxa" w:w="426"/>
                </w:tcPr>
                <w:p>
                  <w:pPr>
                    <w:pStyle w:val="null3"/>
                  </w:pPr>
                  <w:r>
                    <w:rPr>
                      <w:rFonts w:ascii="仿宋_GB2312" w:hAnsi="仿宋_GB2312" w:cs="仿宋_GB2312" w:eastAsia="仿宋_GB2312"/>
                    </w:rPr>
                    <w:t>展览</w:t>
                  </w:r>
                </w:p>
                <w:p>
                  <w:pPr>
                    <w:pStyle w:val="null3"/>
                  </w:pPr>
                  <w:r>
                    <w:rPr>
                      <w:rFonts w:ascii="仿宋_GB2312" w:hAnsi="仿宋_GB2312" w:cs="仿宋_GB2312" w:eastAsia="仿宋_GB2312"/>
                    </w:rPr>
                    <w:t>日期</w:t>
                  </w:r>
                </w:p>
              </w:tc>
              <w:tc>
                <w:tcPr>
                  <w:tcW w:type="dxa" w:w="426"/>
                </w:tcPr>
                <w:p>
                  <w:pPr>
                    <w:pStyle w:val="null3"/>
                  </w:pPr>
                  <w:r>
                    <w:rPr>
                      <w:rFonts w:ascii="仿宋_GB2312" w:hAnsi="仿宋_GB2312" w:cs="仿宋_GB2312" w:eastAsia="仿宋_GB2312"/>
                    </w:rPr>
                    <w:t>展品</w:t>
                  </w:r>
                </w:p>
                <w:p>
                  <w:pPr>
                    <w:pStyle w:val="null3"/>
                  </w:pPr>
                  <w:r>
                    <w:rPr>
                      <w:rFonts w:ascii="仿宋_GB2312" w:hAnsi="仿宋_GB2312" w:cs="仿宋_GB2312" w:eastAsia="仿宋_GB2312"/>
                    </w:rPr>
                    <w:t>范围</w:t>
                  </w:r>
                </w:p>
              </w:tc>
              <w:tc>
                <w:tcPr>
                  <w:tcW w:type="dxa" w:w="426"/>
                </w:tcPr>
                <w:p>
                  <w:pPr>
                    <w:pStyle w:val="null3"/>
                  </w:pPr>
                  <w:r>
                    <w:rPr>
                      <w:rFonts w:ascii="仿宋_GB2312" w:hAnsi="仿宋_GB2312" w:cs="仿宋_GB2312" w:eastAsia="仿宋_GB2312"/>
                    </w:rPr>
                    <w:t>采购预算</w:t>
                  </w:r>
                </w:p>
                <w:p>
                  <w:pPr>
                    <w:pStyle w:val="null3"/>
                  </w:pPr>
                  <w:r>
                    <w:rPr>
                      <w:rFonts w:ascii="仿宋_GB2312" w:hAnsi="仿宋_GB2312" w:cs="仿宋_GB2312" w:eastAsia="仿宋_GB2312"/>
                    </w:rPr>
                    <w:t>（万元）</w:t>
                  </w:r>
                </w:p>
              </w:tc>
            </w:tr>
            <w:tr>
              <w:tc>
                <w:tcPr>
                  <w:tcW w:type="dxa" w:w="426"/>
                </w:tcPr>
                <w:p>
                  <w:pPr>
                    <w:pStyle w:val="null3"/>
                  </w:pPr>
                  <w:r>
                    <w:rPr>
                      <w:rFonts w:ascii="仿宋_GB2312" w:hAnsi="仿宋_GB2312" w:cs="仿宋_GB2312" w:eastAsia="仿宋_GB2312"/>
                    </w:rPr>
                    <w:t>俄罗斯</w:t>
                  </w:r>
                </w:p>
              </w:tc>
              <w:tc>
                <w:tcPr>
                  <w:tcW w:type="dxa" w:w="426"/>
                </w:tcPr>
                <w:p>
                  <w:pPr>
                    <w:pStyle w:val="null3"/>
                  </w:pPr>
                  <w:r>
                    <w:rPr>
                      <w:rFonts w:ascii="仿宋_GB2312" w:hAnsi="仿宋_GB2312" w:cs="仿宋_GB2312" w:eastAsia="仿宋_GB2312"/>
                    </w:rPr>
                    <w:t>莫斯科</w:t>
                  </w:r>
                </w:p>
              </w:tc>
              <w:tc>
                <w:tcPr>
                  <w:tcW w:type="dxa" w:w="426"/>
                </w:tcPr>
                <w:p>
                  <w:pPr>
                    <w:pStyle w:val="null3"/>
                  </w:pPr>
                  <w:r>
                    <w:rPr>
                      <w:rFonts w:ascii="仿宋_GB2312" w:hAnsi="仿宋_GB2312" w:cs="仿宋_GB2312" w:eastAsia="仿宋_GB2312"/>
                    </w:rPr>
                    <w:t>俄罗斯国际物流与运输展览会</w:t>
                  </w:r>
                </w:p>
              </w:tc>
              <w:tc>
                <w:tcPr>
                  <w:tcW w:type="dxa" w:w="426"/>
                </w:tcPr>
                <w:p>
                  <w:pPr>
                    <w:pStyle w:val="null3"/>
                  </w:pPr>
                  <w:r>
                    <w:rPr>
                      <w:rFonts w:ascii="仿宋_GB2312" w:hAnsi="仿宋_GB2312" w:cs="仿宋_GB2312" w:eastAsia="仿宋_GB2312"/>
                    </w:rPr>
                    <w:t>5月26日-29日</w:t>
                  </w:r>
                </w:p>
              </w:tc>
              <w:tc>
                <w:tcPr>
                  <w:tcW w:type="dxa" w:w="426"/>
                </w:tcPr>
                <w:p>
                  <w:pPr>
                    <w:pStyle w:val="null3"/>
                  </w:pPr>
                  <w:r>
                    <w:rPr>
                      <w:rFonts w:ascii="仿宋_GB2312" w:hAnsi="仿宋_GB2312" w:cs="仿宋_GB2312" w:eastAsia="仿宋_GB2312"/>
                    </w:rPr>
                    <w:t>运输服务</w:t>
                  </w:r>
                </w:p>
              </w:tc>
              <w:tc>
                <w:tcPr>
                  <w:tcW w:type="dxa" w:w="426"/>
                </w:tcPr>
                <w:p>
                  <w:pPr>
                    <w:pStyle w:val="null3"/>
                  </w:pPr>
                  <w:r>
                    <w:rPr>
                      <w:rFonts w:ascii="仿宋_GB2312" w:hAnsi="仿宋_GB2312" w:cs="仿宋_GB2312" w:eastAsia="仿宋_GB2312"/>
                    </w:rPr>
                    <w:t>16.5（其中包含公共布展费6.5万元）</w:t>
                  </w:r>
                </w:p>
              </w:tc>
            </w:tr>
          </w:tbl>
          <w:p>
            <w:pPr>
              <w:pStyle w:val="null3"/>
            </w:pPr>
            <w:r>
              <w:rPr>
                <w:rFonts w:ascii="仿宋_GB2312" w:hAnsi="仿宋_GB2312" w:cs="仿宋_GB2312" w:eastAsia="仿宋_GB2312"/>
              </w:rPr>
              <w:t>（说明：该项目具体行程以最终实际行程为准）</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1.负责与展会组织方或展会国内一级代理机构联系确定展会展位，并组织我省企业参加展会。其中组织企业数不少于10家（以实际企业法人予以认定，少于10家不予支持）；每家企业补贴1个标准展位，参展企业中无进出口业绩企业不得超过参展企业总数的50%。</w:t>
            </w:r>
          </w:p>
          <w:p>
            <w:pPr>
              <w:pStyle w:val="null3"/>
            </w:pPr>
            <w:r>
              <w:rPr>
                <w:rFonts w:ascii="仿宋_GB2312" w:hAnsi="仿宋_GB2312" w:cs="仿宋_GB2312" w:eastAsia="仿宋_GB2312"/>
              </w:rPr>
              <w:t>2.负责组织参展企业人员有关商务礼仪、谈判技巧、产品报价、出国纪律等方面内容的培训，负责办理参展企业人员出国手续，组织企业人员按时参加展会，并负责安排参展人员食宿及交通、展会期间翻译等事项，承办单位必须不少于2人全程参与展会的组织；</w:t>
            </w:r>
          </w:p>
          <w:p>
            <w:pPr>
              <w:pStyle w:val="null3"/>
            </w:pPr>
            <w:r>
              <w:rPr>
                <w:rFonts w:ascii="仿宋_GB2312" w:hAnsi="仿宋_GB2312" w:cs="仿宋_GB2312" w:eastAsia="仿宋_GB2312"/>
              </w:rPr>
              <w:t>3.负责做好参展企业的展品运输及报关、报检等相关手续；</w:t>
            </w:r>
          </w:p>
          <w:p>
            <w:pPr>
              <w:pStyle w:val="null3"/>
            </w:pPr>
            <w:r>
              <w:rPr>
                <w:rFonts w:ascii="仿宋_GB2312" w:hAnsi="仿宋_GB2312" w:cs="仿宋_GB2312" w:eastAsia="仿宋_GB2312"/>
              </w:rPr>
              <w:t>4.负责做好公共布展，其中每家企业公共布展补助费不超过5000元，公共布展费用补助上限为6.5万元；</w:t>
            </w:r>
          </w:p>
          <w:p>
            <w:pPr>
              <w:pStyle w:val="null3"/>
            </w:pPr>
            <w:r>
              <w:rPr>
                <w:rFonts w:ascii="仿宋_GB2312" w:hAnsi="仿宋_GB2312" w:cs="仿宋_GB2312" w:eastAsia="仿宋_GB2312"/>
              </w:rPr>
              <w:t>5.负责先行垫付展位费，标准内的运输费及报关、报检费用和标准内的公共布展费用以及人员境外食宿补贴，待展会结束后由商务厅按标准核销；</w:t>
            </w:r>
          </w:p>
          <w:p>
            <w:pPr>
              <w:pStyle w:val="null3"/>
            </w:pPr>
            <w:r>
              <w:rPr>
                <w:rFonts w:ascii="仿宋_GB2312" w:hAnsi="仿宋_GB2312" w:cs="仿宋_GB2312" w:eastAsia="仿宋_GB2312"/>
              </w:rPr>
              <w:t>6.承办单位服务为10万元。</w:t>
            </w:r>
          </w:p>
          <w:p>
            <w:pPr>
              <w:pStyle w:val="null3"/>
            </w:pPr>
            <w:r>
              <w:rPr>
                <w:rFonts w:ascii="仿宋_GB2312" w:hAnsi="仿宋_GB2312" w:cs="仿宋_GB2312" w:eastAsia="仿宋_GB2312"/>
              </w:rPr>
              <w:t>7.服务期限：合同签订之日起至展会结束后30日（需按采购人要求提供活动相关资料）。</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标的名称：香港国际授权展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国别</w:t>
                  </w:r>
                </w:p>
              </w:tc>
              <w:tc>
                <w:tcPr>
                  <w:tcW w:type="dxa" w:w="426"/>
                </w:tcPr>
                <w:p>
                  <w:pPr>
                    <w:pStyle w:val="null3"/>
                  </w:pPr>
                  <w:r>
                    <w:rPr>
                      <w:rFonts w:ascii="仿宋_GB2312" w:hAnsi="仿宋_GB2312" w:cs="仿宋_GB2312" w:eastAsia="仿宋_GB2312"/>
                    </w:rPr>
                    <w:t>城市</w:t>
                  </w:r>
                </w:p>
              </w:tc>
              <w:tc>
                <w:tcPr>
                  <w:tcW w:type="dxa" w:w="426"/>
                </w:tcPr>
                <w:p>
                  <w:pPr>
                    <w:pStyle w:val="null3"/>
                  </w:pPr>
                  <w:r>
                    <w:rPr>
                      <w:rFonts w:ascii="仿宋_GB2312" w:hAnsi="仿宋_GB2312" w:cs="仿宋_GB2312" w:eastAsia="仿宋_GB2312"/>
                    </w:rPr>
                    <w:t>展会名称</w:t>
                  </w:r>
                </w:p>
              </w:tc>
              <w:tc>
                <w:tcPr>
                  <w:tcW w:type="dxa" w:w="426"/>
                </w:tcPr>
                <w:p>
                  <w:pPr>
                    <w:pStyle w:val="null3"/>
                  </w:pPr>
                  <w:r>
                    <w:rPr>
                      <w:rFonts w:ascii="仿宋_GB2312" w:hAnsi="仿宋_GB2312" w:cs="仿宋_GB2312" w:eastAsia="仿宋_GB2312"/>
                    </w:rPr>
                    <w:t>展览</w:t>
                  </w:r>
                </w:p>
                <w:p>
                  <w:pPr>
                    <w:pStyle w:val="null3"/>
                  </w:pPr>
                  <w:r>
                    <w:rPr>
                      <w:rFonts w:ascii="仿宋_GB2312" w:hAnsi="仿宋_GB2312" w:cs="仿宋_GB2312" w:eastAsia="仿宋_GB2312"/>
                    </w:rPr>
                    <w:t>日期</w:t>
                  </w:r>
                </w:p>
              </w:tc>
              <w:tc>
                <w:tcPr>
                  <w:tcW w:type="dxa" w:w="426"/>
                </w:tcPr>
                <w:p>
                  <w:pPr>
                    <w:pStyle w:val="null3"/>
                  </w:pPr>
                  <w:r>
                    <w:rPr>
                      <w:rFonts w:ascii="仿宋_GB2312" w:hAnsi="仿宋_GB2312" w:cs="仿宋_GB2312" w:eastAsia="仿宋_GB2312"/>
                    </w:rPr>
                    <w:t>展品</w:t>
                  </w:r>
                </w:p>
                <w:p>
                  <w:pPr>
                    <w:pStyle w:val="null3"/>
                  </w:pPr>
                  <w:r>
                    <w:rPr>
                      <w:rFonts w:ascii="仿宋_GB2312" w:hAnsi="仿宋_GB2312" w:cs="仿宋_GB2312" w:eastAsia="仿宋_GB2312"/>
                    </w:rPr>
                    <w:t>范围</w:t>
                  </w:r>
                </w:p>
              </w:tc>
              <w:tc>
                <w:tcPr>
                  <w:tcW w:type="dxa" w:w="426"/>
                </w:tcPr>
                <w:p>
                  <w:pPr>
                    <w:pStyle w:val="null3"/>
                  </w:pPr>
                  <w:r>
                    <w:rPr>
                      <w:rFonts w:ascii="仿宋_GB2312" w:hAnsi="仿宋_GB2312" w:cs="仿宋_GB2312" w:eastAsia="仿宋_GB2312"/>
                    </w:rPr>
                    <w:t>采购预算</w:t>
                  </w:r>
                </w:p>
                <w:p>
                  <w:pPr>
                    <w:pStyle w:val="null3"/>
                  </w:pPr>
                  <w:r>
                    <w:rPr>
                      <w:rFonts w:ascii="仿宋_GB2312" w:hAnsi="仿宋_GB2312" w:cs="仿宋_GB2312" w:eastAsia="仿宋_GB2312"/>
                    </w:rPr>
                    <w:t>（万元）</w:t>
                  </w:r>
                </w:p>
              </w:tc>
            </w:tr>
            <w:tr>
              <w:tc>
                <w:tcPr>
                  <w:tcW w:type="dxa" w:w="426"/>
                </w:tcPr>
                <w:p>
                  <w:pPr>
                    <w:pStyle w:val="null3"/>
                  </w:pPr>
                  <w:r>
                    <w:rPr>
                      <w:rFonts w:ascii="仿宋_GB2312" w:hAnsi="仿宋_GB2312" w:cs="仿宋_GB2312" w:eastAsia="仿宋_GB2312"/>
                    </w:rPr>
                    <w:t>香港</w:t>
                  </w:r>
                </w:p>
              </w:tc>
              <w:tc>
                <w:tcPr>
                  <w:tcW w:type="dxa" w:w="426"/>
                </w:tcPr>
                <w:p>
                  <w:pPr>
                    <w:pStyle w:val="null3"/>
                  </w:pPr>
                  <w:r>
                    <w:rPr>
                      <w:rFonts w:ascii="仿宋_GB2312" w:hAnsi="仿宋_GB2312" w:cs="仿宋_GB2312" w:eastAsia="仿宋_GB2312"/>
                    </w:rPr>
                    <w:t>香港</w:t>
                  </w:r>
                </w:p>
              </w:tc>
              <w:tc>
                <w:tcPr>
                  <w:tcW w:type="dxa" w:w="426"/>
                </w:tcPr>
                <w:p>
                  <w:pPr>
                    <w:pStyle w:val="null3"/>
                  </w:pPr>
                  <w:r>
                    <w:rPr>
                      <w:rFonts w:ascii="仿宋_GB2312" w:hAnsi="仿宋_GB2312" w:cs="仿宋_GB2312" w:eastAsia="仿宋_GB2312"/>
                    </w:rPr>
                    <w:t>香港国际授权展</w:t>
                  </w:r>
                </w:p>
              </w:tc>
              <w:tc>
                <w:tcPr>
                  <w:tcW w:type="dxa" w:w="426"/>
                </w:tcPr>
                <w:p>
                  <w:pPr>
                    <w:pStyle w:val="null3"/>
                  </w:pPr>
                  <w:r>
                    <w:rPr>
                      <w:rFonts w:ascii="仿宋_GB2312" w:hAnsi="仿宋_GB2312" w:cs="仿宋_GB2312" w:eastAsia="仿宋_GB2312"/>
                    </w:rPr>
                    <w:t>4月27日-29日</w:t>
                  </w:r>
                </w:p>
              </w:tc>
              <w:tc>
                <w:tcPr>
                  <w:tcW w:type="dxa" w:w="426"/>
                </w:tcPr>
                <w:p>
                  <w:pPr>
                    <w:pStyle w:val="null3"/>
                  </w:pPr>
                  <w:r>
                    <w:rPr>
                      <w:rFonts w:ascii="仿宋_GB2312" w:hAnsi="仿宋_GB2312" w:cs="仿宋_GB2312" w:eastAsia="仿宋_GB2312"/>
                    </w:rPr>
                    <w:t>知识产权</w:t>
                  </w:r>
                </w:p>
              </w:tc>
              <w:tc>
                <w:tcPr>
                  <w:tcW w:type="dxa" w:w="426"/>
                </w:tcPr>
                <w:p>
                  <w:pPr>
                    <w:pStyle w:val="null3"/>
                  </w:pPr>
                  <w:r>
                    <w:rPr>
                      <w:rFonts w:ascii="仿宋_GB2312" w:hAnsi="仿宋_GB2312" w:cs="仿宋_GB2312" w:eastAsia="仿宋_GB2312"/>
                    </w:rPr>
                    <w:t>11（其中包含公共布展费6万元）</w:t>
                  </w:r>
                </w:p>
              </w:tc>
            </w:tr>
          </w:tbl>
          <w:p>
            <w:pPr>
              <w:pStyle w:val="null3"/>
            </w:pPr>
            <w:r>
              <w:rPr>
                <w:rFonts w:ascii="仿宋_GB2312" w:hAnsi="仿宋_GB2312" w:cs="仿宋_GB2312" w:eastAsia="仿宋_GB2312"/>
              </w:rPr>
              <w:t>（说明：该项目具体行程以最终实际行程为准）</w:t>
            </w:r>
          </w:p>
          <w:p>
            <w:pPr>
              <w:pStyle w:val="null3"/>
            </w:pPr>
            <w:r>
              <w:rPr>
                <w:rFonts w:ascii="仿宋_GB2312" w:hAnsi="仿宋_GB2312" w:cs="仿宋_GB2312" w:eastAsia="仿宋_GB2312"/>
              </w:rPr>
              <w:t>二、服务要求</w:t>
            </w:r>
          </w:p>
          <w:p>
            <w:pPr>
              <w:pStyle w:val="null3"/>
            </w:pPr>
            <w:r>
              <w:rPr>
                <w:rFonts w:ascii="仿宋_GB2312" w:hAnsi="仿宋_GB2312" w:cs="仿宋_GB2312" w:eastAsia="仿宋_GB2312"/>
              </w:rPr>
              <w:t>1.负责与展会组织方或展会国内一级代理机构联系确定展会展位，并组织我省企业参加展会。其中组织企业数不少于10家（以实际企业法人予以认定，少于10家不予支持）；每家企业补贴1个标准展位，参展企业中无进出口业绩企业不得超过参展企业总数的50%。</w:t>
            </w:r>
          </w:p>
          <w:p>
            <w:pPr>
              <w:pStyle w:val="null3"/>
            </w:pPr>
            <w:r>
              <w:rPr>
                <w:rFonts w:ascii="仿宋_GB2312" w:hAnsi="仿宋_GB2312" w:cs="仿宋_GB2312" w:eastAsia="仿宋_GB2312"/>
              </w:rPr>
              <w:t>2.负责组织参展企业人员有关商务礼仪、谈判技巧、产品报价、出国纪律等方面内容的培训，负责办理参展企业人员出国手续，组织企业人员按时参加展会，并负责安排参展人员食宿及交通、展会期间翻译等事项，承办单位必须不少于2人全程参与展会的组织；</w:t>
            </w:r>
          </w:p>
          <w:p>
            <w:pPr>
              <w:pStyle w:val="null3"/>
            </w:pPr>
            <w:r>
              <w:rPr>
                <w:rFonts w:ascii="仿宋_GB2312" w:hAnsi="仿宋_GB2312" w:cs="仿宋_GB2312" w:eastAsia="仿宋_GB2312"/>
              </w:rPr>
              <w:t>3.负责做好参展企业的展品运输及报关、报检等相关手续；</w:t>
            </w:r>
          </w:p>
          <w:p>
            <w:pPr>
              <w:pStyle w:val="null3"/>
            </w:pPr>
            <w:r>
              <w:rPr>
                <w:rFonts w:ascii="仿宋_GB2312" w:hAnsi="仿宋_GB2312" w:cs="仿宋_GB2312" w:eastAsia="仿宋_GB2312"/>
              </w:rPr>
              <w:t>4.负责做好公共布展，其中每家企业公共布展补助费不超过5000元，公共布展费用补助上限为6万元；</w:t>
            </w:r>
          </w:p>
          <w:p>
            <w:pPr>
              <w:pStyle w:val="null3"/>
            </w:pPr>
            <w:r>
              <w:rPr>
                <w:rFonts w:ascii="仿宋_GB2312" w:hAnsi="仿宋_GB2312" w:cs="仿宋_GB2312" w:eastAsia="仿宋_GB2312"/>
              </w:rPr>
              <w:t>5.负责先行垫付展位费，标准内的运输费及报关、报检费用和标准内的公共布展费用以及人员境外食宿补贴，待展会结束后由商务厅按标准核销；</w:t>
            </w:r>
          </w:p>
          <w:p>
            <w:pPr>
              <w:pStyle w:val="null3"/>
            </w:pPr>
            <w:r>
              <w:rPr>
                <w:rFonts w:ascii="仿宋_GB2312" w:hAnsi="仿宋_GB2312" w:cs="仿宋_GB2312" w:eastAsia="仿宋_GB2312"/>
              </w:rPr>
              <w:t>6.承办单位服务为5万元。</w:t>
            </w:r>
          </w:p>
          <w:p>
            <w:pPr>
              <w:pStyle w:val="null3"/>
            </w:pPr>
            <w:r>
              <w:rPr>
                <w:rFonts w:ascii="仿宋_GB2312" w:hAnsi="仿宋_GB2312" w:cs="仿宋_GB2312" w:eastAsia="仿宋_GB2312"/>
              </w:rPr>
              <w:t>7.服务期限：合同签订之日起至展会结束后30日（需按采购人要求提供活动相关资料）。</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满足采购需求的设备设施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满足采购需求的设备设施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合同签订之日起至展会结束后30日（需按采购人要求提供活动相关资料）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合同签订之日起至展会结束后30日（需按采购人要求提供活动相关资料）</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承办单位负责在结束后30日内，将展会执行情况、参展数据、参展总结等上报省商务厅，并按照商务厅有关要求提交经费核销相关资料</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承办单位负责在结束后30日内，将展会执行情况、参展数据、参展总结等上报省商务厅，并按照商务厅有关要求提交经费核销相关资料 ，达到付款条件起 30 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3、提供磋商截止时间前近六个月中至少一个月的纳税证明或完税证明，依法免税的单位应提供相关证明材料；时间以税款所属时期为准 4、提供磋商截止时间前近六个月中至少一个月的社会保障资金缴存单据或社保机构开具的社会保险参保缴费情况证明，依法不需要缴纳社会保障资金的单位应提供相关证明材料。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磋商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3、提供磋商截止时间前近六个月中至少一个月的纳税证明或完税证明，依法免税的单位应提供相关证明材料；时间以税款所属时期为准 4、提供磋商截止时间前近六个月中至少一个月的社会保障资金缴存单据或社保机构开具的社会保险参保缴费情况证明，依法不需要缴纳社会保障资金的单位应提供相关证明材料。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磋商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供应商在递交磋商响应文件截止时间前被“信用中国 ”网站（www.creditchina.gov.cn）和中国政府采购网（www.ccgp.gov.cn）上被列入失信被执行人、重大税收违法失信主体、政府采购严重违法失信行为记录名单的，不得参加磋商 ;</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供应商在递交磋商响应文件截止时间前被“信用中国 ”网站（www.creditchina.gov.cn）和中国政府采购网（www.ccgp.gov.cn）上被列入失信被执行人、重大税收违法失信主体、政府采购严重违法失信行为记录名单的，不得参加磋商 ;</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商务应答表 服务方案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 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 服务方案</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按照磋商文件的规定提交磋商保证金（包括形式及金额）</w:t>
            </w:r>
          </w:p>
        </w:tc>
        <w:tc>
          <w:tcPr>
            <w:tcW w:type="dxa" w:w="1661"/>
          </w:tcPr>
          <w:p>
            <w:pPr>
              <w:pStyle w:val="null3"/>
            </w:pPr>
            <w:r>
              <w:rPr>
                <w:rFonts w:ascii="仿宋_GB2312" w:hAnsi="仿宋_GB2312" w:cs="仿宋_GB2312" w:eastAsia="仿宋_GB2312"/>
              </w:rPr>
              <w:t>商务应答表 服务方案</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遵循公平竞争的原则，没有弄虚作假、恶意串通或妨碍其他供应商的竞争行为，损害采购人或者其他供应商的合法权益；弄虚作假、相互串通的情形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 目有两个或者多个报价</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供应商提供的货物（服务）无实质性遗漏</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 服务方案</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磋商文件不允许偏差时，响应文件无负偏差</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1.评审得分相同的，按照最后报价由低到高的顺序推荐。评审得分且最后报价相同的，按照技术指标优劣顺序推荐。评审得分且最后报价且技术指标得分均相同的，成交候选供应商并列。2.各供应商根据自身情况选择一个或多个采购包进行参与磋商，但只能作为其中一个采购包的第一成交候选人，已在先评审的采购包中成为第一成交候选人的供应商，将不再参与后续采购包的第一成交候选人推荐，由后续候选人顺位递补。评审工作按照采购包1→2的顺序进行。3.在一次磋商中成为澳大利亚工业展、巴西消费品及礼品及家庭用品展、第30届伊朗石油天然气及炼化展、俄罗斯工业贸易博览会、摩洛哥纺织服装工业展、伊朗德黑兰国际电子元器件及电子商务展览会、德国纽伦堡传感器及测试测量展览会、新加坡科技展-新加坡人工智能峰会采购包的成交单位，将不再参与本次采购包的第一成交候选人推荐。</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1.评审得分相同的，按照最后报价由低到高的顺序推荐。评审得分且最后报价相同的，按照技术指标优劣顺序推荐。评审得分且最后报价且技术指标得分均相同的，成交候选供应商并列。2.各供应商根据自身情况选择一个或多个采购包进行参与磋商，但只能作为其中一个采购包的第一成交候选人，已在先评审的采购包中成为第一成交候选人的供应商，将不再参与后续采购包的第一成交候选人推荐，由后续候选人顺位递补。评审工作按照采购包1→2的顺序进行。3.在一次磋商中成为澳大利亚工业展、巴西消费品及礼品及家庭用品展、第30届伊朗石油天然气及炼化展、俄罗斯工业贸易博览会、摩洛哥纺织服装工业展、伊朗德黑兰国际电子元器件及电子商务展览会、德国纽伦堡传感器及测试测量展览会、新加坡科技展-新加坡人工智能峰会采购包的成交单位，将不再参与本次采购包的第一成交候选人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提供针对本项目活动的企业组展实施方案及参展服务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提供针对本项目活动的公共布展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提供针对本项目活动的展品运输实施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提供针对本项目活动的展位情况，根据取得展位在展馆的区域及位置、对应价格和数量等情况进行评审：①展位可见性高、价格合理、数量完全满足展会要求得10分；②展位可见性一般、价格基本合理、数量满足展会要求得7分；③展位可见性较差、价格基本合理、数量不满足展会要求得4分；④展位可见性差、价格不合理、数量不满足展会要求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进行评审：①措施内容详尽、完善、有针对性，完全满足得10分；②措施比较详尽、完善、比较有针对性，得7分；③措施基本合理、可行，但有偏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①应急预案内容分析全面、具体、合理，应对突发事件的保障措施详细、可行、有针对性，得10分；②应急预案内容分析较为全面、具体、合理，应对突发事件的保障措施较为详细、可行，比较有针对性，得7分；③应急预案内容分析不够全面、具体、合理，应对突发事件的保障措施不够详细，可行性、针对性较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①承诺内容进行了详细阐述且完全满足采购需求、可实施性强，得10分；②内容阐述完整但并未完全贴合项目需求理解情况、可实施性一般，得7分；③阐述内容有缺失影响、可实施性差，得4分。④内容未进行阐述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供应商提供2023年1月1日至今类似项目业绩：每提供一项得2分，最多得10分（以合同复印件复印件为准，时间以合同签订时间为准，否则不得分）。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根据供应商的团队人员配备情况进行评审：①团队组织架构、人员构成及分工合理，岗位设置明确，责任制度严谨、规范，工作人员经验丰富，得10分；②团队组织架构、人员构成及分工较为合理，岗位设置比较明确，责任制度较为严谨、规范，工作人员经验比较丰富，得7分；③团队组织架构、人员构成及分工不够合理，岗位设置不够明确，责任制度不够严谨、规范，工作人员经验较少，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实施方案1</w:t>
            </w:r>
          </w:p>
        </w:tc>
        <w:tc>
          <w:tcPr>
            <w:tcW w:type="dxa" w:w="2492"/>
          </w:tcPr>
          <w:p>
            <w:pPr>
              <w:pStyle w:val="null3"/>
            </w:pPr>
            <w:r>
              <w:rPr>
                <w:rFonts w:ascii="仿宋_GB2312" w:hAnsi="仿宋_GB2312" w:cs="仿宋_GB2312" w:eastAsia="仿宋_GB2312"/>
              </w:rPr>
              <w:t>提供针对本项目活动的企业组展实施方案及参展服务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实施方案2</w:t>
            </w:r>
          </w:p>
        </w:tc>
        <w:tc>
          <w:tcPr>
            <w:tcW w:type="dxa" w:w="2492"/>
          </w:tcPr>
          <w:p>
            <w:pPr>
              <w:pStyle w:val="null3"/>
            </w:pPr>
            <w:r>
              <w:rPr>
                <w:rFonts w:ascii="仿宋_GB2312" w:hAnsi="仿宋_GB2312" w:cs="仿宋_GB2312" w:eastAsia="仿宋_GB2312"/>
              </w:rPr>
              <w:t>提供针对本项目活动的公共布展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实施方案3</w:t>
            </w:r>
          </w:p>
        </w:tc>
        <w:tc>
          <w:tcPr>
            <w:tcW w:type="dxa" w:w="2492"/>
          </w:tcPr>
          <w:p>
            <w:pPr>
              <w:pStyle w:val="null3"/>
            </w:pPr>
            <w:r>
              <w:rPr>
                <w:rFonts w:ascii="仿宋_GB2312" w:hAnsi="仿宋_GB2312" w:cs="仿宋_GB2312" w:eastAsia="仿宋_GB2312"/>
              </w:rPr>
              <w:t>提供针对本项目活动的展品运输实施方案：①方案内容详细完整、科学合理、针对性强、可行性高，完全满足项目采购要求的，得10分；②方案内容较为详细完整、科学合理，针对性较强、可行性较高，满足项目采购要求的，得7分；③方案内容基本完整、合理，针对性、可行性一般，基本满足项目采购要求的，得4分； ④方案不够详细完整，合理性、针对性、可行性较差，部分满足项目采购要求的，得2分；⑤未提供或其他不得分。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实施方案4</w:t>
            </w:r>
          </w:p>
        </w:tc>
        <w:tc>
          <w:tcPr>
            <w:tcW w:type="dxa" w:w="2492"/>
          </w:tcPr>
          <w:p>
            <w:pPr>
              <w:pStyle w:val="null3"/>
            </w:pPr>
            <w:r>
              <w:rPr>
                <w:rFonts w:ascii="仿宋_GB2312" w:hAnsi="仿宋_GB2312" w:cs="仿宋_GB2312" w:eastAsia="仿宋_GB2312"/>
              </w:rPr>
              <w:t>提供针对本项目活动的展位情况，根据取得展位在展馆的区域及位置、对应价格和数量等情况进行评审：①展位可见性高、价格合理、数量完全满足展会要求得10分；②展位可见性一般、价格基本合理、数量满足展会要求得7分；③展位可见性较差、价格基本合理、数量不满足展会要求得4分；④展位可见性差、价格不合理、数量不满足展会要求得2分；⑤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供应商提供的安全保障措施进行评审：①措施内容详尽、完善、有针对性，完全满足得10分；②措施比较详尽、完善、比较有针对性，得7分；③措施基本合理、可行，但有偏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应急预案及突发事件应急保障措施</w:t>
            </w:r>
          </w:p>
        </w:tc>
        <w:tc>
          <w:tcPr>
            <w:tcW w:type="dxa" w:w="2492"/>
          </w:tcPr>
          <w:p>
            <w:pPr>
              <w:pStyle w:val="null3"/>
            </w:pPr>
            <w:r>
              <w:rPr>
                <w:rFonts w:ascii="仿宋_GB2312" w:hAnsi="仿宋_GB2312" w:cs="仿宋_GB2312" w:eastAsia="仿宋_GB2312"/>
              </w:rPr>
              <w:t>根据供应商提供的应急预案及突发事件（包括但不限于紧急情况的处置、知识产权纠纷的处理等）应急保障措施进行评审：①应急预案内容分析全面、具体、合理，应对突发事件的保障措施详细、可行、有针对性，得10分；②应急预案内容分析较为全面、具体、合理，应对突发事件的保障措施较为详细、可行，比较有针对性，得7分；③应急预案内容分析不够全面、具体、合理，应对突发事件的保障措施不够详细，可行性、针对性较差，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保障承诺</w:t>
            </w:r>
          </w:p>
        </w:tc>
        <w:tc>
          <w:tcPr>
            <w:tcW w:type="dxa" w:w="2492"/>
          </w:tcPr>
          <w:p>
            <w:pPr>
              <w:pStyle w:val="null3"/>
            </w:pPr>
            <w:r>
              <w:rPr>
                <w:rFonts w:ascii="仿宋_GB2312" w:hAnsi="仿宋_GB2312" w:cs="仿宋_GB2312" w:eastAsia="仿宋_GB2312"/>
              </w:rPr>
              <w:t>供应商提供保障本次活动良好顺利完成的其他保障承诺，根据服务单位的实际情况，结合供应商自身实力，作出其他有利于本项目及采购人的承诺，①承诺内容进行了详细阐述且完全满足采购需求、可实施性强，得10分；②内容阐述完整但并未完全贴合项目需求理解情况、可实施性一般，得7分；③阐述内容有缺失影响、可实施性差，得4分。④内容未进行阐述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供应商提供2023年1月1日至今类似项目业绩：每提供一项得2分，最多得10分（以合同复印件复印件为准，时间以合同签订时间为准，否则不得分）。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根据供应商的团队人员配备情况进行评审：①团队组织架构、人员构成及分工合理，岗位设置明确，责任制度严谨、规范，工作人员经验丰富，得10分；②团队组织架构、人员构成及分工较为合理，岗位设置比较明确，责任制度较为严谨、规范，工作人员经验比较丰富，得7分；③团队组织架构、人员构成及分工不够合理，岗位设置不够明确，责任制度不够严谨、规范，工作人员经验较少，得4分；④未提供或其他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