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版本号：2026-HZZB-00320260130001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部分关键弱电及硬件类维保服务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2026-HZZB-003</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部分关键弱电及硬件类维保服务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2026-HZZB-003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部分关键弱电及硬件类维保服务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对西北妇女儿童医院的部分弱电及硬件进行维保，具体详见磋商文件。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采购包1（部分关键弱电及硬件类维保服务）：属于专门面向中小企业采购。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注册会计师行业统一监管平台(网址http://acc.mof.gov.cn)赋码可查询的2024年度审计报告（成立时间至提交响应文件截止时间不足一年的可提供成立后任意时段的资产负债表)，或磋商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6、具有履行合同所必需的设备和专业技术能力：具有履行合同所必须的设备和专业技术能力的承诺及说明；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8、非联合体声明：本项目不接受联合体参与。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陕西省西安市雁塔区科技西路绿地博海大厦1603室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杨旭、仵严佳、张进花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029-88720501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开户名称：衡正国际工程咨询有限公司</w:t>
            </w:r>
          </w:p>
          <w:p>
            <w:pPr>
              <w:pStyle w:val="null3"/>
            </w:pPr>
            <w:r>
              <w:rPr>
                <w:rFonts w:ascii="仿宋_GB2312" w:hAnsi="仿宋_GB2312" w:cs="仿宋_GB2312" w:eastAsia="仿宋_GB2312"/>
              </w:rPr>
              <w:t>开户银行：中国银行西安科技路西段支行</w:t>
            </w:r>
          </w:p>
          <w:p>
            <w:pPr>
              <w:pStyle w:val="null3"/>
            </w:pPr>
            <w:r>
              <w:rPr>
                <w:rFonts w:ascii="仿宋_GB2312" w:hAnsi="仿宋_GB2312" w:cs="仿宋_GB2312" w:eastAsia="仿宋_GB2312"/>
              </w:rPr>
              <w:t>银行账号：103674378316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代理服务费收费标准：参照按国家计委颁发的《招标代理服务收费管理暂行办法》（计价格[2002]1980号）的规定标准下浮20%，成交单位在领取成交通知书时向代理机构支付代理服务费。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供应商按周提供服务报告，分析服务范围内设备系统健康状况，提供相应处理意见，采购人根据上述资料进行项目评估并在合同结束前对合同内容进行服务考评并签署验收意见，作为下一年度续签依据。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联系人：杨旭</w:t>
      </w:r>
    </w:p>
    <w:p>
      <w:pPr>
        <w:pStyle w:val="null3"/>
      </w:pPr>
      <w:r>
        <w:rPr>
          <w:rFonts w:ascii="仿宋_GB2312" w:hAnsi="仿宋_GB2312" w:cs="仿宋_GB2312" w:eastAsia="仿宋_GB2312"/>
        </w:rPr>
        <w:t>联系电话：029-88720501</w:t>
      </w:r>
    </w:p>
    <w:p>
      <w:pPr>
        <w:pStyle w:val="null3"/>
      </w:pPr>
      <w:r>
        <w:rPr>
          <w:rFonts w:ascii="仿宋_GB2312" w:hAnsi="仿宋_GB2312" w:cs="仿宋_GB2312" w:eastAsia="仿宋_GB2312"/>
        </w:rPr>
        <w:t>地址：陕西省西安市雁塔区科技西路绿地博海大厦1603室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对西北妇女儿童医院的部分关键弱电及硬件类维保，具体详见磋商文件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588,000.00</w:t>
      </w:r>
    </w:p>
    <w:p>
      <w:pPr>
        <w:pStyle w:val="null3"/>
      </w:pPr>
      <w:r>
        <w:rPr>
          <w:rFonts w:ascii="仿宋_GB2312" w:hAnsi="仿宋_GB2312" w:cs="仿宋_GB2312" w:eastAsia="仿宋_GB2312"/>
        </w:rPr>
        <w:t>采购包最高限价（元）: 588,000.00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部分关键弱电及硬件类维保服务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标的名称：部分关键弱电及硬件类维保服务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一、设备清单：</w:t>
            </w:r>
          </w:p>
          <w:tbl>
            <w:tblPr>
              <w:tblBorders>
                <w:top w:val="none" w:color="000000" w:sz="4"/>
                <w:left w:val="none" w:color="000000" w:sz="4"/>
                <w:bottom w:val="none" w:color="000000" w:sz="4"/>
                <w:right w:val="none" w:color="000000" w:sz="4"/>
                <w:insideH w:val="none"/>
                <w:insideV w:val="none"/>
              </w:tblBorders>
            </w:tblPr>
            <w:tblGrid>
              <w:gridCol w:w="407"/>
              <w:gridCol w:w="1004"/>
              <w:gridCol w:w="1136"/>
            </w:tblGrid>
            <w:tr>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类别</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1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预估数量</w:t>
                  </w:r>
                </w:p>
              </w:tc>
            </w:tr>
            <w:tr>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需维保设备清单</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w:t>
                  </w:r>
                  <w:r>
                    <w:rPr>
                      <w:rFonts w:ascii="仿宋_GB2312" w:hAnsi="仿宋_GB2312" w:cs="仿宋_GB2312" w:eastAsia="仿宋_GB2312"/>
                      <w:sz w:val="21"/>
                    </w:rPr>
                    <w:t>UPS（含电池）</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3套</w:t>
                  </w:r>
                </w:p>
              </w:tc>
            </w:tr>
            <w:tr>
              <w:tc>
                <w:tcPr>
                  <w:tcW w:type="dxa" w:w="407"/>
                  <w:vMerge/>
                  <w:tcBorders>
                    <w:top w:val="none" w:color="000000" w:sz="4"/>
                    <w:left w:val="single" w:color="000000" w:sz="4"/>
                    <w:bottom w:val="single" w:color="000000" w:sz="4"/>
                    <w:right w:val="single" w:color="000000" w:sz="4"/>
                  </w:tcBorders>
                </w:tcP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弱电点位</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6500个（含新增30个点位/年）</w:t>
                  </w:r>
                </w:p>
              </w:tc>
            </w:tr>
            <w:tr>
              <w:tc>
                <w:tcPr>
                  <w:tcW w:type="dxa" w:w="407"/>
                  <w:vMerge/>
                  <w:tcBorders>
                    <w:top w:val="none" w:color="000000" w:sz="4"/>
                    <w:left w:val="single" w:color="000000" w:sz="4"/>
                    <w:bottom w:val="single" w:color="000000" w:sz="4"/>
                    <w:right w:val="single" w:color="000000" w:sz="4"/>
                  </w:tcBorders>
                </w:tcP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数字时钟</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80个终端（含母钟）</w:t>
                  </w:r>
                </w:p>
              </w:tc>
            </w:tr>
            <w:tr>
              <w:tc>
                <w:tcPr>
                  <w:tcW w:type="dxa" w:w="407"/>
                  <w:vMerge/>
                  <w:tcBorders>
                    <w:top w:val="none" w:color="000000" w:sz="4"/>
                    <w:left w:val="single" w:color="000000" w:sz="4"/>
                    <w:bottom w:val="single" w:color="000000" w:sz="4"/>
                    <w:right w:val="single" w:color="000000" w:sz="4"/>
                  </w:tcBorders>
                </w:tcP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精密空调</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3台终端</w:t>
                  </w:r>
                </w:p>
              </w:tc>
            </w:tr>
            <w:tr>
              <w:tc>
                <w:tcPr>
                  <w:tcW w:type="dxa" w:w="407"/>
                  <w:vMerge/>
                  <w:tcBorders>
                    <w:top w:val="none" w:color="000000" w:sz="4"/>
                    <w:left w:val="single" w:color="000000" w:sz="4"/>
                    <w:bottom w:val="single" w:color="000000" w:sz="4"/>
                    <w:right w:val="single" w:color="000000" w:sz="4"/>
                  </w:tcBorders>
                </w:tcP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台式、笔记本电脑</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2300台</w:t>
                  </w:r>
                </w:p>
              </w:tc>
            </w:tr>
            <w:tr>
              <w:tc>
                <w:tcPr>
                  <w:tcW w:type="dxa" w:w="407"/>
                  <w:vMerge/>
                  <w:tcBorders>
                    <w:top w:val="none" w:color="000000" w:sz="4"/>
                    <w:left w:val="single" w:color="000000" w:sz="4"/>
                    <w:bottom w:val="single" w:color="000000" w:sz="4"/>
                    <w:right w:val="single" w:color="000000" w:sz="4"/>
                  </w:tcBorders>
                </w:tcP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打印机</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1900台</w:t>
                  </w:r>
                </w:p>
              </w:tc>
            </w:tr>
            <w:tr>
              <w:tc>
                <w:tcPr>
                  <w:tcW w:type="dxa" w:w="407"/>
                  <w:vMerge/>
                  <w:tcBorders>
                    <w:top w:val="none" w:color="000000" w:sz="4"/>
                    <w:left w:val="single" w:color="000000" w:sz="4"/>
                    <w:bottom w:val="single" w:color="000000" w:sz="4"/>
                    <w:right w:val="single" w:color="000000" w:sz="4"/>
                  </w:tcBorders>
                </w:tcP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电话线路</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407"/>
                  <w:vMerge/>
                  <w:tcBorders>
                    <w:top w:val="none" w:color="000000" w:sz="4"/>
                    <w:left w:val="single" w:color="000000" w:sz="4"/>
                    <w:bottom w:val="single" w:color="000000" w:sz="4"/>
                    <w:right w:val="single" w:color="000000" w:sz="4"/>
                  </w:tcBorders>
                </w:tcP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教学大屏</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60台</w:t>
                  </w:r>
                </w:p>
              </w:tc>
            </w:tr>
            <w:tr>
              <w:tc>
                <w:tcPr>
                  <w:tcW w:type="dxa" w:w="407"/>
                  <w:vMerge/>
                  <w:tcBorders>
                    <w:top w:val="none" w:color="000000" w:sz="4"/>
                    <w:left w:val="single" w:color="000000" w:sz="4"/>
                    <w:bottom w:val="single" w:color="000000" w:sz="4"/>
                    <w:right w:val="single" w:color="000000" w:sz="4"/>
                  </w:tcBorders>
                </w:tcP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各类音响、喇叭</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80个</w:t>
                  </w:r>
                </w:p>
              </w:tc>
            </w:tr>
            <w:tr>
              <w:tc>
                <w:tcPr>
                  <w:tcW w:type="dxa" w:w="407"/>
                  <w:vMerge/>
                  <w:tcBorders>
                    <w:top w:val="none" w:color="000000" w:sz="4"/>
                    <w:left w:val="single" w:color="000000" w:sz="4"/>
                    <w:bottom w:val="single" w:color="000000" w:sz="4"/>
                    <w:right w:val="single" w:color="000000" w:sz="4"/>
                  </w:tcBorders>
                </w:tcP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电视、广告机</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30台</w:t>
                  </w:r>
                </w:p>
              </w:tc>
            </w:tr>
            <w:tr>
              <w:tc>
                <w:tcPr>
                  <w:tcW w:type="dxa" w:w="407"/>
                  <w:vMerge/>
                  <w:tcBorders>
                    <w:top w:val="none" w:color="000000" w:sz="4"/>
                    <w:left w:val="single" w:color="000000" w:sz="4"/>
                    <w:bottom w:val="single" w:color="000000" w:sz="4"/>
                    <w:right w:val="single" w:color="000000" w:sz="4"/>
                  </w:tcBorders>
                </w:tcP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抽号机</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r>
            <w:tr>
              <w:tc>
                <w:tcPr>
                  <w:tcW w:type="dxa" w:w="407"/>
                  <w:vMerge/>
                  <w:tcBorders>
                    <w:top w:val="none" w:color="000000" w:sz="4"/>
                    <w:left w:val="single" w:color="000000" w:sz="4"/>
                    <w:bottom w:val="single" w:color="000000" w:sz="4"/>
                    <w:right w:val="single" w:color="000000" w:sz="4"/>
                  </w:tcBorders>
                </w:tcP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电脑外设</w:t>
                  </w:r>
                  <w:r>
                    <w:rPr>
                      <w:rFonts w:ascii="仿宋_GB2312" w:hAnsi="仿宋_GB2312" w:cs="仿宋_GB2312" w:eastAsia="仿宋_GB2312"/>
                      <w:sz w:val="21"/>
                    </w:rPr>
                    <w:t>(扫码设备、高拍仪、读写卡器、PDA等)</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1200台</w:t>
                  </w:r>
                </w:p>
              </w:tc>
            </w:tr>
            <w:tr>
              <w:tc>
                <w:tcPr>
                  <w:tcW w:type="dxa" w:w="407"/>
                  <w:vMerge/>
                  <w:tcBorders>
                    <w:top w:val="none" w:color="000000" w:sz="4"/>
                    <w:left w:val="single" w:color="000000" w:sz="4"/>
                    <w:bottom w:val="single" w:color="000000" w:sz="4"/>
                    <w:right w:val="single" w:color="000000" w:sz="4"/>
                  </w:tcBorders>
                </w:tcP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信息科其他未尽设备</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一项</w:t>
                  </w:r>
                </w:p>
              </w:tc>
            </w:tr>
          </w:tbl>
          <w:p>
            <w:pPr>
              <w:pStyle w:val="null3"/>
              <w:jc w:val="both"/>
            </w:pPr>
            <w:r>
              <w:rPr>
                <w:rFonts w:ascii="仿宋_GB2312" w:hAnsi="仿宋_GB2312" w:cs="仿宋_GB2312" w:eastAsia="仿宋_GB2312"/>
                <w:sz w:val="21"/>
                <w:b/>
              </w:rPr>
              <w:t>二、服务范围及内容：</w:t>
            </w:r>
          </w:p>
          <w:p>
            <w:pPr>
              <w:pStyle w:val="null3"/>
              <w:jc w:val="both"/>
            </w:pPr>
            <w:r>
              <w:rPr>
                <w:rFonts w:ascii="仿宋_GB2312" w:hAnsi="仿宋_GB2312" w:cs="仿宋_GB2312" w:eastAsia="仿宋_GB2312"/>
                <w:sz w:val="21"/>
                <w:b/>
              </w:rPr>
              <w:t>（一）机房核心设备</w:t>
            </w:r>
          </w:p>
          <w:p>
            <w:pPr>
              <w:pStyle w:val="null3"/>
              <w:jc w:val="both"/>
            </w:pPr>
            <w:r>
              <w:rPr>
                <w:rFonts w:ascii="仿宋_GB2312" w:hAnsi="仿宋_GB2312" w:cs="仿宋_GB2312" w:eastAsia="仿宋_GB2312"/>
                <w:sz w:val="21"/>
              </w:rPr>
              <w:t>1. UPS（含电池）：定期进行电池容量测试、充放电维护、主机运行参数检测；故障时快速排查整流器、逆变器、蓄电池组问题，更换故障部件，保障机房供电不间断；建立电池寿命台账，提前预警更换周期。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 </w:t>
            </w:r>
            <w:r>
              <w:rPr>
                <w:rFonts w:ascii="仿宋_GB2312" w:hAnsi="仿宋_GB2312" w:cs="仿宋_GB2312" w:eastAsia="仿宋_GB2312"/>
                <w:sz w:val="21"/>
              </w:rPr>
              <w:t>精密空调</w:t>
            </w:r>
            <w:r>
              <w:rPr>
                <w:rFonts w:ascii="仿宋_GB2312" w:hAnsi="仿宋_GB2312" w:cs="仿宋_GB2312" w:eastAsia="仿宋_GB2312"/>
                <w:sz w:val="21"/>
              </w:rPr>
              <w:t>(世图兹)：需提供原厂维保，包含日常巡检温湿度控制精度、压缩机运行状态、滤网洁净度；定期清洗滤网、冷凝器，检测制冷剂压力；故障处理涵盖压缩机启停故障、温湿度失控、漏水报警等，确保机房环境稳定，需提供原厂授权证明文件。</w:t>
            </w:r>
          </w:p>
          <w:p>
            <w:pPr>
              <w:pStyle w:val="null3"/>
              <w:jc w:val="both"/>
            </w:pPr>
            <w:r>
              <w:rPr>
                <w:rFonts w:ascii="仿宋_GB2312" w:hAnsi="仿宋_GB2312" w:cs="仿宋_GB2312" w:eastAsia="仿宋_GB2312"/>
                <w:sz w:val="21"/>
                <w:b/>
              </w:rPr>
              <w:t>（二）弱电及智能化设备</w:t>
            </w:r>
          </w:p>
          <w:p>
            <w:pPr>
              <w:pStyle w:val="null3"/>
              <w:jc w:val="both"/>
            </w:pPr>
            <w:r>
              <w:rPr>
                <w:rFonts w:ascii="仿宋_GB2312" w:hAnsi="仿宋_GB2312" w:cs="仿宋_GB2312" w:eastAsia="仿宋_GB2312"/>
                <w:sz w:val="21"/>
              </w:rPr>
              <w:t>1. 弱电点位：涵盖网络、电话点位的线路通断检测、模块更换、端口调试；定期巡检布线链路，排查信号衰减、短路故障，保障点位正常接入。</w:t>
            </w:r>
          </w:p>
          <w:p>
            <w:pPr>
              <w:pStyle w:val="null3"/>
              <w:jc w:val="both"/>
            </w:pPr>
            <w:r>
              <w:rPr>
                <w:rFonts w:ascii="仿宋_GB2312" w:hAnsi="仿宋_GB2312" w:cs="仿宋_GB2312" w:eastAsia="仿宋_GB2312"/>
                <w:sz w:val="21"/>
              </w:rPr>
              <w:t>2. 电话线路：故障排查、线路抢修、分机号码配置与调试，配合运营商处理外线故障，确保办公及病区电话畅通。</w:t>
            </w:r>
          </w:p>
          <w:p>
            <w:pPr>
              <w:pStyle w:val="null3"/>
              <w:jc w:val="both"/>
            </w:pPr>
            <w:r>
              <w:rPr>
                <w:rFonts w:ascii="仿宋_GB2312" w:hAnsi="仿宋_GB2312" w:cs="仿宋_GB2312" w:eastAsia="仿宋_GB2312"/>
                <w:sz w:val="21"/>
              </w:rPr>
              <w:t>3. 数字时钟：同步时间校准、故障维修（如显示异常、走时不准）、系统对接调试，保障全院时钟时间统一。</w:t>
            </w:r>
          </w:p>
          <w:p>
            <w:pPr>
              <w:pStyle w:val="null3"/>
              <w:jc w:val="both"/>
            </w:pPr>
            <w:r>
              <w:rPr>
                <w:rFonts w:ascii="仿宋_GB2312" w:hAnsi="仿宋_GB2312" w:cs="仿宋_GB2312" w:eastAsia="仿宋_GB2312"/>
                <w:sz w:val="21"/>
                <w:b/>
              </w:rPr>
              <w:t>（三）终端及办公设备</w:t>
            </w:r>
          </w:p>
          <w:p>
            <w:pPr>
              <w:pStyle w:val="null3"/>
              <w:jc w:val="both"/>
            </w:pPr>
            <w:r>
              <w:rPr>
                <w:rFonts w:ascii="仿宋_GB2312" w:hAnsi="仿宋_GB2312" w:cs="仿宋_GB2312" w:eastAsia="仿宋_GB2312"/>
                <w:sz w:val="21"/>
              </w:rPr>
              <w:t>1. 台式/笔记本电脑：硬件故障诊断与维修（主板、CPU、内存、硬盘等部件更换）、系统安装调试、外设驱动适配，配合信息科完成软件部署。</w:t>
            </w:r>
          </w:p>
          <w:p>
            <w:pPr>
              <w:pStyle w:val="null3"/>
              <w:jc w:val="both"/>
            </w:pPr>
            <w:r>
              <w:rPr>
                <w:rFonts w:ascii="仿宋_GB2312" w:hAnsi="仿宋_GB2312" w:cs="仿宋_GB2312" w:eastAsia="仿宋_GB2312"/>
                <w:sz w:val="21"/>
              </w:rPr>
              <w:t>2. 打印机：涵盖激光、喷墨、针式打印机及一体机等打印设备的配件更换、卡纸处理、喷头清洗、定影组件维修，保障打印功能正常。</w:t>
            </w:r>
          </w:p>
          <w:p>
            <w:pPr>
              <w:pStyle w:val="null3"/>
              <w:jc w:val="both"/>
            </w:pPr>
            <w:r>
              <w:rPr>
                <w:rFonts w:ascii="仿宋_GB2312" w:hAnsi="仿宋_GB2312" w:cs="仿宋_GB2312" w:eastAsia="仿宋_GB2312"/>
                <w:sz w:val="21"/>
              </w:rPr>
              <w:t>3. 电脑外设：扫码设备、高拍仪、读写卡器、PDA等设备的驱动安装、故障维修、数据传输调试；定期检测设备灵敏度，确保与医院信息系统兼容。</w:t>
            </w:r>
          </w:p>
          <w:p>
            <w:pPr>
              <w:pStyle w:val="null3"/>
              <w:jc w:val="both"/>
            </w:pPr>
            <w:r>
              <w:rPr>
                <w:rFonts w:ascii="仿宋_GB2312" w:hAnsi="仿宋_GB2312" w:cs="仿宋_GB2312" w:eastAsia="仿宋_GB2312"/>
                <w:sz w:val="21"/>
                <w:b/>
              </w:rPr>
              <w:t>（四）教学及展示设备</w:t>
            </w:r>
          </w:p>
          <w:p>
            <w:pPr>
              <w:pStyle w:val="null3"/>
              <w:jc w:val="both"/>
            </w:pPr>
            <w:r>
              <w:rPr>
                <w:rFonts w:ascii="仿宋_GB2312" w:hAnsi="仿宋_GB2312" w:cs="仿宋_GB2312" w:eastAsia="仿宋_GB2312"/>
                <w:sz w:val="21"/>
              </w:rPr>
              <w:t>1. 教学大屏：触控功能校准、显示故障维修、信号输入切换调试、系统升级维护，保障教学及会议使用。</w:t>
            </w:r>
          </w:p>
          <w:p>
            <w:pPr>
              <w:pStyle w:val="null3"/>
              <w:jc w:val="both"/>
            </w:pPr>
            <w:r>
              <w:rPr>
                <w:rFonts w:ascii="仿宋_GB2312" w:hAnsi="仿宋_GB2312" w:cs="仿宋_GB2312" w:eastAsia="仿宋_GB2312"/>
                <w:sz w:val="21"/>
              </w:rPr>
              <w:t>2. 各类音响、喇叭：音质调试、线路排查、功放设备维修、音量控制校准，确保广播及通知系统正常运行。</w:t>
            </w:r>
          </w:p>
          <w:p>
            <w:pPr>
              <w:pStyle w:val="null3"/>
              <w:jc w:val="both"/>
            </w:pPr>
            <w:r>
              <w:rPr>
                <w:rFonts w:ascii="仿宋_GB2312" w:hAnsi="仿宋_GB2312" w:cs="仿宋_GB2312" w:eastAsia="仿宋_GB2312"/>
                <w:sz w:val="21"/>
              </w:rPr>
              <w:t>3. 电视、广告机：硬件及显示故障维修、节目播放调试、网络接入配置，定期巡检设备运行状态。</w:t>
            </w:r>
          </w:p>
          <w:p>
            <w:pPr>
              <w:pStyle w:val="null3"/>
              <w:jc w:val="both"/>
            </w:pPr>
            <w:r>
              <w:rPr>
                <w:rFonts w:ascii="仿宋_GB2312" w:hAnsi="仿宋_GB2312" w:cs="仿宋_GB2312" w:eastAsia="仿宋_GB2312"/>
                <w:sz w:val="21"/>
                <w:b/>
              </w:rPr>
              <w:t>（五）其他设备</w:t>
            </w:r>
          </w:p>
          <w:p>
            <w:pPr>
              <w:pStyle w:val="null3"/>
              <w:jc w:val="both"/>
            </w:pPr>
            <w:r>
              <w:rPr>
                <w:rFonts w:ascii="仿宋_GB2312" w:hAnsi="仿宋_GB2312" w:cs="仿宋_GB2312" w:eastAsia="仿宋_GB2312"/>
                <w:sz w:val="21"/>
              </w:rPr>
              <w:t>1. 抽号机：硬件故障维修、排队系统对接调试、打印模块维护，保障门诊叫号秩序。</w:t>
            </w:r>
          </w:p>
          <w:p>
            <w:pPr>
              <w:pStyle w:val="null3"/>
              <w:jc w:val="both"/>
            </w:pPr>
            <w:r>
              <w:rPr>
                <w:rFonts w:ascii="仿宋_GB2312" w:hAnsi="仿宋_GB2312" w:cs="仿宋_GB2312" w:eastAsia="仿宋_GB2312"/>
                <w:sz w:val="21"/>
              </w:rPr>
              <w:t>2. 信息科其他未尽设备：按照采购人要求，提供新增设备的验收、安装、调试的配合，并需与其他第三方单位协作，确保设备正常运行。</w:t>
            </w:r>
          </w:p>
          <w:p>
            <w:pPr>
              <w:pStyle w:val="null3"/>
              <w:jc w:val="both"/>
            </w:pPr>
            <w:r>
              <w:rPr>
                <w:rFonts w:ascii="仿宋_GB2312" w:hAnsi="仿宋_GB2312" w:cs="仿宋_GB2312" w:eastAsia="仿宋_GB2312"/>
                <w:sz w:val="21"/>
                <w:b/>
              </w:rPr>
              <w:t>三、服务响应及处理时效</w:t>
            </w:r>
          </w:p>
          <w:p>
            <w:pPr>
              <w:pStyle w:val="null3"/>
              <w:jc w:val="both"/>
            </w:pPr>
            <w:r>
              <w:rPr>
                <w:rFonts w:ascii="仿宋_GB2312" w:hAnsi="仿宋_GB2312" w:cs="仿宋_GB2312" w:eastAsia="仿宋_GB2312"/>
                <w:sz w:val="21"/>
              </w:rPr>
              <w:t>1. 日常响应：接到采购人报修后，驻场工程师5分钟内响应；现场故障15分钟内到达报修地点；非现场支持（如远程调试）25分钟内启动。</w:t>
            </w:r>
          </w:p>
          <w:p>
            <w:pPr>
              <w:pStyle w:val="null3"/>
              <w:jc w:val="both"/>
            </w:pPr>
            <w:r>
              <w:rPr>
                <w:rFonts w:ascii="仿宋_GB2312" w:hAnsi="仿宋_GB2312" w:cs="仿宋_GB2312" w:eastAsia="仿宋_GB2312"/>
                <w:sz w:val="21"/>
              </w:rPr>
              <w:t>2. 故障处理时效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1）一般故障（如打印机耗材更换、电脑外设调试、弱电点位通断修复）30分钟内解决。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 复杂故障（如UPS电池更换、精密空调压缩机维修、教学大屏触控失灵）：4小时内提出解决方案，备件到位后24小时内完成维修。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3）重大故障（如机房UPS宕机、精密空调停机、多台终端同时故障影响诊疗）：立即启动应急预案，1小时内协调原厂技术支持，24小时内恢复核心设备运行；同时向招标人提交故障处理进展报告。</w:t>
            </w:r>
          </w:p>
          <w:p>
            <w:pPr>
              <w:pStyle w:val="null3"/>
              <w:jc w:val="both"/>
            </w:pPr>
            <w:r>
              <w:rPr>
                <w:rFonts w:ascii="仿宋_GB2312" w:hAnsi="仿宋_GB2312" w:cs="仿宋_GB2312" w:eastAsia="仿宋_GB2312"/>
                <w:sz w:val="21"/>
              </w:rPr>
              <w:t>3. 巡检周期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1）机房UPS、精密空调：每日巡检至少1次，每月进行至少1次深度检测；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2）弱电点位、数字时钟、电话线路：每月巡检至少1次；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3）终端设备、教学大屏、抽号机等：每季度全覆盖巡检至少1次。</w:t>
            </w:r>
          </w:p>
          <w:p>
            <w:pPr>
              <w:pStyle w:val="null3"/>
              <w:jc w:val="both"/>
            </w:pPr>
            <w:r>
              <w:rPr>
                <w:rFonts w:ascii="仿宋_GB2312" w:hAnsi="仿宋_GB2312" w:cs="仿宋_GB2312" w:eastAsia="仿宋_GB2312"/>
                <w:sz w:val="21"/>
              </w:rPr>
              <w:t>形成巡检报告，明确问题及整改建议。</w:t>
            </w:r>
          </w:p>
          <w:p>
            <w:pPr>
              <w:pStyle w:val="null3"/>
              <w:jc w:val="both"/>
            </w:pPr>
            <w:r>
              <w:rPr>
                <w:rFonts w:ascii="仿宋_GB2312" w:hAnsi="仿宋_GB2312" w:cs="仿宋_GB2312" w:eastAsia="仿宋_GB2312"/>
                <w:sz w:val="21"/>
                <w:b/>
              </w:rPr>
              <w:t>四、备件与工具要求</w:t>
            </w:r>
          </w:p>
          <w:p>
            <w:pPr>
              <w:pStyle w:val="null3"/>
              <w:jc w:val="both"/>
            </w:pPr>
            <w:r>
              <w:rPr>
                <w:rFonts w:ascii="仿宋_GB2312" w:hAnsi="仿宋_GB2312" w:cs="仿宋_GB2312" w:eastAsia="仿宋_GB2312"/>
                <w:sz w:val="21"/>
              </w:rPr>
              <w:t>1. 备件储备要求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供应商需在采购人指定地点设立专用封闭备件存储区域，配备温湿度监控设备，确保备件存储环境符合要求；储备常用及核心备件，包括但不限于UPS电池、精密空调滤网/传感器、打印机硒鼓/墨盒/定影组件、电脑内存条/硬盘/电源、弱电模块/水晶头、扫码设备/PDA电池及配件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2）核心备件（如UPS电池、精密空调压缩机、教学大屏触控模块）储备充足率需达到100%，常用备件储备量需满足甲方30天维修需求；备件型号需与采购人在用设备完全匹配，提供原厂授权证明及产品合格证。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建立电子化备件台账，详细记录备件名称、型号、规格、数量、入库时间、生产厂家、领用记录、更换设备编号、报废时间等信息；每月5日前完成上月备件盘点，形成盘点报告提交采购人，确保账实相符率100%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4）备件更换遵循“先换后补”原则，故障备件更换后，供应商需在7个工作日内补充库存；更换下的故障备件需登记留存，经采购人确认后，按“以旧换新”或报废处理，严禁随意丢弃。</w:t>
            </w:r>
          </w:p>
          <w:p>
            <w:pPr>
              <w:pStyle w:val="null3"/>
              <w:jc w:val="both"/>
            </w:pPr>
            <w:r>
              <w:rPr>
                <w:rFonts w:ascii="仿宋_GB2312" w:hAnsi="仿宋_GB2312" w:cs="仿宋_GB2312" w:eastAsia="仿宋_GB2312"/>
                <w:sz w:val="21"/>
              </w:rPr>
              <w:t>2. 备件更换及时性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故障维修需更换备件时，核心备件需在30分钟内送达维修现场，常用备件需在1小时内送达；特殊备件无法即时调配时，需在2小时内明确调配方案及到货时间，书面告知采购人，并提供备用设备（如适用）保障采购人工作不受影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2）备件到货后需立即组织更换维修，确保设备尽快恢复运行；更换完成后需进行不少于24小时的运行监测，确认设备运行稳定。</w:t>
            </w:r>
          </w:p>
          <w:p>
            <w:pPr>
              <w:pStyle w:val="null3"/>
              <w:jc w:val="both"/>
            </w:pPr>
            <w:r>
              <w:rPr>
                <w:rFonts w:ascii="仿宋_GB2312" w:hAnsi="仿宋_GB2312" w:cs="仿宋_GB2312" w:eastAsia="仿宋_GB2312"/>
                <w:sz w:val="21"/>
              </w:rPr>
              <w:t>3. 工具配置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驻场工程师需自备全套专业工具，包括防静电工具套装、UPS检测仪表、精密空调维修工具、网络测线仪/福禄克测试仪、硬件诊断仪、系统安装U盘、光纤熔接工具、高空作业梯具等；工具需定期校准，确保精度符合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2）配备应急抢修设备，包括备用UPS电源、临时网线、备用打印机、备用电脑终端等，应对机房断电、网络中断等突发故障。</w:t>
            </w:r>
          </w:p>
          <w:p>
            <w:pPr>
              <w:pStyle w:val="null3"/>
              <w:jc w:val="both"/>
            </w:pPr>
            <w:r>
              <w:rPr>
                <w:rFonts w:ascii="仿宋_GB2312" w:hAnsi="仿宋_GB2312" w:cs="仿宋_GB2312" w:eastAsia="仿宋_GB2312"/>
                <w:sz w:val="21"/>
                <w:b/>
              </w:rPr>
              <w:t>五、服务报告与文档管理</w:t>
            </w:r>
          </w:p>
          <w:p>
            <w:pPr>
              <w:pStyle w:val="null3"/>
              <w:jc w:val="both"/>
            </w:pPr>
            <w:r>
              <w:rPr>
                <w:rFonts w:ascii="仿宋_GB2312" w:hAnsi="仿宋_GB2312" w:cs="仿宋_GB2312" w:eastAsia="仿宋_GB2312"/>
                <w:sz w:val="21"/>
              </w:rPr>
              <w:t>1. 单次维修记录：每次维修完成后填写《硬件维修服务单》，注明故障现象、处理方案、更换部件，由报修人签字确认。</w:t>
            </w:r>
          </w:p>
          <w:p>
            <w:pPr>
              <w:pStyle w:val="null3"/>
              <w:jc w:val="both"/>
            </w:pPr>
            <w:r>
              <w:rPr>
                <w:rFonts w:ascii="仿宋_GB2312" w:hAnsi="仿宋_GB2312" w:cs="仿宋_GB2312" w:eastAsia="仿宋_GB2312"/>
                <w:sz w:val="21"/>
              </w:rPr>
              <w:t>2. 定期报告提交：每月提交《驻场服务月报》，包含报修统计、故障分析、巡检总结、备件消耗及补充计划；每季度提交《设备健康状况评估报告》，提出设备升级或更换建议。</w:t>
            </w:r>
          </w:p>
          <w:p>
            <w:pPr>
              <w:pStyle w:val="null3"/>
              <w:jc w:val="both"/>
            </w:pPr>
            <w:r>
              <w:rPr>
                <w:rFonts w:ascii="仿宋_GB2312" w:hAnsi="仿宋_GB2312" w:cs="仿宋_GB2312" w:eastAsia="仿宋_GB2312"/>
                <w:sz w:val="21"/>
              </w:rPr>
              <w:t>3. 设备档案管理：建立全院维保设备台账，记录设备型号、序列号、购置时间、维修历史、备件更换记录，实现全生命周期可追溯管理。</w:t>
            </w:r>
          </w:p>
          <w:p>
            <w:pPr>
              <w:pStyle w:val="null3"/>
              <w:jc w:val="both"/>
            </w:pPr>
            <w:r>
              <w:rPr>
                <w:rFonts w:ascii="仿宋_GB2312" w:hAnsi="仿宋_GB2312" w:cs="仿宋_GB2312" w:eastAsia="仿宋_GB2312"/>
                <w:sz w:val="21"/>
                <w:b/>
              </w:rPr>
              <w:t>六、驻场人员要求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 岗前培训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1）驻场人员上岗前，需完成采购人组织的专项培训，培训内容涵盖医院规章制度、医疗数据安全规范、设备运维流程、应急处置预案、院感防控要求、消防安全管理六大模块，培训时长不少于2个工作日。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2）培训后需通过理论+实操考核，理论考核成绩≥90分、实操考核一次性合格者，方可上岗；考核不合格者需重新培训，累计2次考核不合格的，供应商需更换人员。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3）服务期内，需参与采购人每月组织的至少1次专项技能培训，每年参与不少于2次行业前沿技术培训。</w:t>
            </w:r>
          </w:p>
          <w:p>
            <w:pPr>
              <w:pStyle w:val="null3"/>
              <w:jc w:val="both"/>
            </w:pPr>
            <w:r>
              <w:rPr>
                <w:rFonts w:ascii="仿宋_GB2312" w:hAnsi="仿宋_GB2312" w:cs="仿宋_GB2312" w:eastAsia="仿宋_GB2312"/>
                <w:sz w:val="21"/>
              </w:rPr>
              <w:t>2. 服务礼仪规范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1）驻场人员需遵守采购人服务礼仪要求，工作期间使用“您好、请、麻烦您、谢谢、再见”等礼貌用语，主动询问需求，耐心解答采购人员工咨询，做到“首问负责制”。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2）进入病区、诊室等区域维修时，需提前征得医护人员同意，避免影响诊疗工作；维修完成后需清理现场，保持环境整洁。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3）严禁与采购人员工发生争执，收到投诉需在1个工作日内响应，3个工作日内完成整改并提交书面整改报告，确保服务投诉整改率100%。</w:t>
            </w:r>
          </w:p>
          <w:p>
            <w:pPr>
              <w:pStyle w:val="null3"/>
              <w:jc w:val="both"/>
            </w:pPr>
            <w:r>
              <w:rPr>
                <w:rFonts w:ascii="仿宋_GB2312" w:hAnsi="仿宋_GB2312" w:cs="仿宋_GB2312" w:eastAsia="仿宋_GB2312"/>
                <w:sz w:val="21"/>
              </w:rPr>
              <w:t>3. 着装要求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1）驻场人员工作期间着装需整洁干净、无破损污渍、无明显褶皱；需佩戴包含姓名、岗位、照片、工号的硬质工牌。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2）进入机房需穿戴防静电鞋套、防静电服；进入病区需遵守院感要求，穿戴一次性鞋套、口罩、防护服（按需）；高空作业时需穿戴安全帽、安全带等防护装备。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3）采购人不定期抽查着装情况，发现违规1次，投标人需向采购人提交书面说明，累计3次违规，采购人有权要求更换驻场人员。</w:t>
            </w:r>
          </w:p>
          <w:p>
            <w:pPr>
              <w:pStyle w:val="null3"/>
              <w:jc w:val="both"/>
            </w:pPr>
            <w:r>
              <w:rPr>
                <w:rFonts w:ascii="仿宋_GB2312" w:hAnsi="仿宋_GB2312" w:cs="仿宋_GB2312" w:eastAsia="仿宋_GB2312"/>
                <w:sz w:val="21"/>
                <w:b/>
              </w:rPr>
              <w:t>七、服务质量考核指标</w:t>
            </w:r>
          </w:p>
          <w:p>
            <w:pPr>
              <w:pStyle w:val="null3"/>
              <w:jc w:val="both"/>
            </w:pPr>
            <w:r>
              <w:rPr>
                <w:rFonts w:ascii="仿宋_GB2312" w:hAnsi="仿宋_GB2312" w:cs="仿宋_GB2312" w:eastAsia="仿宋_GB2312"/>
                <w:sz w:val="21"/>
              </w:rPr>
              <w:t>1. 故障一次性解决率≥98%。</w:t>
            </w:r>
          </w:p>
          <w:p>
            <w:pPr>
              <w:pStyle w:val="null3"/>
              <w:jc w:val="both"/>
            </w:pPr>
            <w:r>
              <w:rPr>
                <w:rFonts w:ascii="仿宋_GB2312" w:hAnsi="仿宋_GB2312" w:cs="仿宋_GB2312" w:eastAsia="仿宋_GB2312"/>
                <w:sz w:val="21"/>
              </w:rPr>
              <w:t>2. 设备平均无故障运行时间（MTBF）≥360小时。</w:t>
            </w:r>
          </w:p>
          <w:p>
            <w:pPr>
              <w:pStyle w:val="null3"/>
              <w:jc w:val="both"/>
            </w:pPr>
            <w:r>
              <w:rPr>
                <w:rFonts w:ascii="仿宋_GB2312" w:hAnsi="仿宋_GB2312" w:cs="仿宋_GB2312" w:eastAsia="仿宋_GB2312"/>
                <w:sz w:val="21"/>
              </w:rPr>
              <w:t>3. 重大故障应急响应及时率100%，24小时内修复率100%。</w:t>
            </w:r>
          </w:p>
          <w:p>
            <w:pPr>
              <w:pStyle w:val="null3"/>
              <w:jc w:val="both"/>
            </w:pPr>
            <w:r>
              <w:rPr>
                <w:rFonts w:ascii="仿宋_GB2312" w:hAnsi="仿宋_GB2312" w:cs="仿宋_GB2312" w:eastAsia="仿宋_GB2312"/>
                <w:sz w:val="21"/>
              </w:rPr>
              <w:t>4. 采购人半年度服务满意度评分≥95分。</w:t>
            </w:r>
          </w:p>
          <w:p>
            <w:pPr>
              <w:pStyle w:val="null3"/>
              <w:jc w:val="both"/>
            </w:pPr>
            <w:r>
              <w:rPr>
                <w:rFonts w:ascii="仿宋_GB2312" w:hAnsi="仿宋_GB2312" w:cs="仿宋_GB2312" w:eastAsia="仿宋_GB2312"/>
                <w:sz w:val="21"/>
              </w:rPr>
              <w:t>5. 巡检问题整改完成率≥98%。</w:t>
            </w:r>
          </w:p>
          <w:p>
            <w:pPr>
              <w:pStyle w:val="null3"/>
              <w:jc w:val="both"/>
            </w:pPr>
            <w:r>
              <w:rPr>
                <w:rFonts w:ascii="仿宋_GB2312" w:hAnsi="仿宋_GB2312" w:cs="仿宋_GB2312" w:eastAsia="仿宋_GB2312"/>
                <w:sz w:val="21"/>
              </w:rPr>
              <w:t>6. 驻场人员着装合规率100%，服务投诉整改率100%，首问负责制落实率100%。</w:t>
            </w:r>
          </w:p>
          <w:p>
            <w:pPr>
              <w:pStyle w:val="null3"/>
            </w:pPr>
            <w:r>
              <w:rPr>
                <w:rFonts w:ascii="仿宋_GB2312" w:hAnsi="仿宋_GB2312" w:cs="仿宋_GB2312" w:eastAsia="仿宋_GB2312"/>
                <w:sz w:val="21"/>
              </w:rPr>
              <w:t>7. 备件储备充足率≥100%（核心备件）、≥95%（常用备件），备件更换及时率≥98%，账实相符率100%。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人员配置：配置不少于4名全职驻场工程师，其中1名侧重机房设备（UPS、精密空调）及弱电系统，3名侧重终端设备及外设；常驻两院区，服务时间①曲江院区提供7×24小时驻场服务②后宰门院区提供7×8小时驻场服务。 2. 资质与经验：团队成员需持有相关技能认证；具备同类硬件维保经验，熟悉医疗场景设备运行规范及数据安全要求。 3. 能力要求：熟练掌握采购人设备的故障诊断、维修及调试；具备应急处置能力，可独立处理机房设备突发故障；熟悉医院网络架构，能配合信息科完成设备网络对接；严格遵守医院保密制度，保障医疗数据安全。</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供应商应提供在本项目服务过程中使用的设施设备清单满足项目实施要求。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投标人需严格遵守医院消防安全、数据保密、院感管理等相关制度，严禁泄露招标人医疗及办公数据。 2. 驻场人员需接受采购人的日常管理及考核，服从采购人的工作调度（如重大检查、临时性或紧急事项等）。 3. 服务期内，投标人需配合采购人完成新设备的验收、安装及调试工作。 4. 投标人需为驻场人员购买足额的工伤保险或商业意外险，确保人员在工作期间的人身安全；如因驻场人员操作不当造成采购人设备损坏或人员伤亡，由投标人承担全部责任。 5.该项目价格包含约定范围的服务中产生的所有费用，采购人无须再因任何情形支付任何费用。 6.保密要求：供应商在服务期间所获悉的技术信息、经营信息、其他信息等，未经许可不得向任何第三方披露、不得将保密信息用于工作职责以外的任何目的、不得擅自复制、下载、拍摄或以其他方式获取保密资料、不得私自留存涉密载体（如文件、U盘、账号等）。以上所述，如有泄密，采购人有权解除服务合同。保密期限为永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计划服务期：三年。合同根据考核情况一年一签，最多续签两次。如因年度考核未通过不能续签下一年度合同。本次为第一年度，服务期自合同签订之日起一年。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供应商按周提供服务报告，分析服务范围内设备系统健康状况，提供相应处理意见，采购人根据上述资料进行项目评估并在合同结束前对合同内容进行服务考评并签署验收意见，作为下一年度续签依据。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合同生效后，付款前，成交供应商提供符合税法规定的等额增值税发票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年底考核合格后，付款前，成交供应商提供符合税法规定的等额增值税发票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本合同在履行过程中发生争议时，采购人及成交供应商双方应及时协商解决，协商或调解不成时，任何一方均有权向采购人所在地人民法院起诉。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线下提交响应文件正本壹套、副本贰套、电子版壹套（U盘一套标明供应商名称，单独密封）。且提供的投标文件纸质版与电子版必须与在陕西省政府采购综合管理平台项目电子化交易系统上提交的电子投标文件内容一致，若电子化投标文件与纸质投标文件不一致的，以电子化投标文件为准。线下递交截止时间同在线递交电子投标文件截止时间一致。线下递交文件时间：详见本项目招标公告文件截止时间；线下递交文件地点：西安市雁塔区科技西路绿地博海大厦16层1603室 2、本项目采购预算：588000.00元/年；最高限价：588000.00元/年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注册会计师行业统一监管平台(网址http://acc.mof.gov.cn)赋码可查询的2024年度审计报告（成立时间至提交响应文件截止时间不足一年的可提供成立后任意时段的资产负债表)，或磋商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服务期限是否满足竞争性磋商文件要求</w:t>
            </w:r>
          </w:p>
        </w:tc>
        <w:tc>
          <w:tcPr>
            <w:tcW w:type="dxa" w:w="1661"/>
          </w:tcPr>
          <w:p>
            <w:pPr>
              <w:pStyle w:val="null3"/>
            </w:pPr>
            <w:r>
              <w:rPr>
                <w:rFonts w:ascii="仿宋_GB2312" w:hAnsi="仿宋_GB2312" w:cs="仿宋_GB2312" w:eastAsia="仿宋_GB2312"/>
              </w:rPr>
              <w:t>2.响应偏离表.docx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响应文件封面 9.业绩一览表.docx 2.响应偏离表.docx 中小企业声明函 残疾人福利性单位声明函 标的清单 报价表 1.资格证明文件.docx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法律法规和实质性要求：是否符合法律法规和磋商文件规定的其他实质性要求</w:t>
            </w:r>
          </w:p>
        </w:tc>
        <w:tc>
          <w:tcPr>
            <w:tcW w:type="dxa" w:w="1661"/>
          </w:tcPr>
          <w:p>
            <w:pPr>
              <w:pStyle w:val="null3"/>
            </w:pPr>
            <w:r>
              <w:rPr>
                <w:rFonts w:ascii="仿宋_GB2312" w:hAnsi="仿宋_GB2312" w:cs="仿宋_GB2312" w:eastAsia="仿宋_GB2312"/>
              </w:rPr>
              <w:t>响应文件封面 9.业绩一览表.docx 2.响应偏离表.docx 中小企业声明函 残疾人福利性单位声明函 标的清单 报价表 1.资格证明文件.docx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供应商磋商保证金是否符合采购文件要求</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不同供应商的响应文件是否由同一单位或者个人编制</w:t>
            </w:r>
          </w:p>
        </w:tc>
        <w:tc>
          <w:tcPr>
            <w:tcW w:type="dxa" w:w="3322"/>
          </w:tcPr>
          <w:p>
            <w:pPr>
              <w:pStyle w:val="null3"/>
            </w:pPr>
            <w:r>
              <w:rPr>
                <w:rFonts w:ascii="仿宋_GB2312" w:hAnsi="仿宋_GB2312" w:cs="仿宋_GB2312" w:eastAsia="仿宋_GB2312"/>
              </w:rPr>
              <w:t>不同供应商的响应文件是否由同一单位或者个人编制</w:t>
            </w:r>
          </w:p>
        </w:tc>
        <w:tc>
          <w:tcPr>
            <w:tcW w:type="dxa" w:w="1661"/>
          </w:tcPr>
          <w:p>
            <w:pPr>
              <w:pStyle w:val="null3"/>
            </w:pPr>
            <w:r>
              <w:rPr>
                <w:rFonts w:ascii="仿宋_GB2312" w:hAnsi="仿宋_GB2312" w:cs="仿宋_GB2312" w:eastAsia="仿宋_GB2312"/>
              </w:rPr>
              <w:t>3.维修保养服务方案.docx 5.培训及增值服务.docx 6.保障措施.docx 中小企业声明函 报价表 1.资格证明文件.docx 4.应急预案.docx 响应文件封面 9.业绩一览表.docx 7.服务能力.docx 2.响应偏离表.docx 残疾人福利性单位声明函 8.拟投入本项目的组成人员.docx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不同供应商是否委托同一单位或者个人办理投标事宜</w:t>
            </w:r>
          </w:p>
        </w:tc>
        <w:tc>
          <w:tcPr>
            <w:tcW w:type="dxa" w:w="3322"/>
          </w:tcPr>
          <w:p>
            <w:pPr>
              <w:pStyle w:val="null3"/>
            </w:pPr>
            <w:r>
              <w:rPr>
                <w:rFonts w:ascii="仿宋_GB2312" w:hAnsi="仿宋_GB2312" w:cs="仿宋_GB2312" w:eastAsia="仿宋_GB2312"/>
              </w:rPr>
              <w:t>不同供应商是否委托同一单位或者个人办理投标事宜</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1.资格证明文件.docx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不同供应商的响应文件载明的项目管理成员或者联系人员是否为同一人</w:t>
            </w:r>
          </w:p>
        </w:tc>
        <w:tc>
          <w:tcPr>
            <w:tcW w:type="dxa" w:w="3322"/>
          </w:tcPr>
          <w:p>
            <w:pPr>
              <w:pStyle w:val="null3"/>
            </w:pPr>
            <w:r>
              <w:rPr>
                <w:rFonts w:ascii="仿宋_GB2312" w:hAnsi="仿宋_GB2312" w:cs="仿宋_GB2312" w:eastAsia="仿宋_GB2312"/>
              </w:rPr>
              <w:t>不同供应商的响应文件载明的项目管理成员或者联系人员是否为同一人</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1.资格证明文件.docx 响应函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不同供应商的响应文件是否异常一致或者投标报价呈规律性差异</w:t>
            </w:r>
          </w:p>
        </w:tc>
        <w:tc>
          <w:tcPr>
            <w:tcW w:type="dxa" w:w="3322"/>
          </w:tcPr>
          <w:p>
            <w:pPr>
              <w:pStyle w:val="null3"/>
            </w:pPr>
            <w:r>
              <w:rPr>
                <w:rFonts w:ascii="仿宋_GB2312" w:hAnsi="仿宋_GB2312" w:cs="仿宋_GB2312" w:eastAsia="仿宋_GB2312"/>
              </w:rPr>
              <w:t>不同供应商的响应文件是否异常一致或者投标报价呈规律性差异</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不同供应商的响应文件是否相互混装</w:t>
            </w:r>
          </w:p>
        </w:tc>
        <w:tc>
          <w:tcPr>
            <w:tcW w:type="dxa" w:w="3322"/>
          </w:tcPr>
          <w:p>
            <w:pPr>
              <w:pStyle w:val="null3"/>
            </w:pPr>
            <w:r>
              <w:rPr>
                <w:rFonts w:ascii="仿宋_GB2312" w:hAnsi="仿宋_GB2312" w:cs="仿宋_GB2312" w:eastAsia="仿宋_GB2312"/>
              </w:rPr>
              <w:t>不同供应商的响应文件是否相互混装</w:t>
            </w:r>
          </w:p>
        </w:tc>
        <w:tc>
          <w:tcPr>
            <w:tcW w:type="dxa" w:w="1661"/>
          </w:tcPr>
          <w:p>
            <w:pPr>
              <w:pStyle w:val="null3"/>
            </w:pPr>
            <w:r>
              <w:rPr>
                <w:rFonts w:ascii="仿宋_GB2312" w:hAnsi="仿宋_GB2312" w:cs="仿宋_GB2312" w:eastAsia="仿宋_GB2312"/>
              </w:rPr>
              <w:t>3.维修保养服务方案.docx 5.培训及增值服务.docx 6.保障措施.docx 中小企业声明函 报价表 1.资格证明文件.docx 4.应急预案.docx 响应文件封面 9.业绩一览表.docx 7.服务能力.docx 2.响应偏离表.docx 残疾人福利性单位声明函 8.拟投入本项目的组成人员.docx 标的清单 响应函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不同供应商的磋商保证金是否从同一单位或者个人的账户转出</w:t>
            </w:r>
          </w:p>
        </w:tc>
        <w:tc>
          <w:tcPr>
            <w:tcW w:type="dxa" w:w="3322"/>
          </w:tcPr>
          <w:p>
            <w:pPr>
              <w:pStyle w:val="null3"/>
            </w:pPr>
            <w:r>
              <w:rPr>
                <w:rFonts w:ascii="仿宋_GB2312" w:hAnsi="仿宋_GB2312" w:cs="仿宋_GB2312" w:eastAsia="仿宋_GB2312"/>
              </w:rPr>
              <w:t>不同供应商的磋商保证金是否从同一单位或者个人的账户转出</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响应文件与采购文件商务要求条款是否一致或增加了采购人难以接受的条款</w:t>
            </w:r>
          </w:p>
        </w:tc>
        <w:tc>
          <w:tcPr>
            <w:tcW w:type="dxa" w:w="3322"/>
          </w:tcPr>
          <w:p>
            <w:pPr>
              <w:pStyle w:val="null3"/>
            </w:pPr>
            <w:r>
              <w:rPr>
                <w:rFonts w:ascii="仿宋_GB2312" w:hAnsi="仿宋_GB2312" w:cs="仿宋_GB2312" w:eastAsia="仿宋_GB2312"/>
              </w:rPr>
              <w:t>响应文件与采购文件商务要求条款是否一致或增加了采购人难以接受的条款</w:t>
            </w:r>
          </w:p>
        </w:tc>
        <w:tc>
          <w:tcPr>
            <w:tcW w:type="dxa" w:w="1661"/>
          </w:tcPr>
          <w:p>
            <w:pPr>
              <w:pStyle w:val="null3"/>
            </w:pPr>
            <w:r>
              <w:rPr>
                <w:rFonts w:ascii="仿宋_GB2312" w:hAnsi="仿宋_GB2312" w:cs="仿宋_GB2312" w:eastAsia="仿宋_GB2312"/>
              </w:rPr>
              <w:t>2.响应偏离表.docx 标的清单 报价表 1.资格证明文件.docx 响应函</w:t>
            </w:r>
          </w:p>
        </w:tc>
      </w:tr>
      <w:tr>
        <w:tc>
          <w:tcPr>
            <w:tcW w:type="dxa" w:w="831"/>
          </w:tcPr>
          <w:p>
            <w:pPr>
              <w:pStyle w:val="null3"/>
            </w:pPr>
            <w:r>
              <w:rPr>
                <w:rFonts w:ascii="仿宋_GB2312" w:hAnsi="仿宋_GB2312" w:cs="仿宋_GB2312" w:eastAsia="仿宋_GB2312"/>
              </w:rPr>
              <w:t>15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“★”项必须完全响应</w:t>
            </w:r>
          </w:p>
        </w:tc>
        <w:tc>
          <w:tcPr>
            <w:tcW w:type="dxa" w:w="1661"/>
          </w:tcPr>
          <w:p>
            <w:pPr>
              <w:pStyle w:val="null3"/>
            </w:pPr>
            <w:r>
              <w:rPr>
                <w:rFonts w:ascii="仿宋_GB2312" w:hAnsi="仿宋_GB2312" w:cs="仿宋_GB2312" w:eastAsia="仿宋_GB2312"/>
              </w:rPr>
              <w:t>2.响应偏离表.docx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维修保养服务方案</w:t>
            </w:r>
          </w:p>
        </w:tc>
        <w:tc>
          <w:tcPr>
            <w:tcW w:type="dxa" w:w="2492"/>
          </w:tcPr>
          <w:p>
            <w:pPr>
              <w:pStyle w:val="null3"/>
            </w:pPr>
            <w:r>
              <w:rPr>
                <w:rFonts w:ascii="仿宋_GB2312" w:hAnsi="仿宋_GB2312" w:cs="仿宋_GB2312" w:eastAsia="仿宋_GB2312"/>
              </w:rPr>
              <w:t>供应商针对本项目提供规范化的修复性服务和定期预防性管理维护方案，内容包括但不限于：①设备软件免费升级；②设备日常巡检、维护、保养；③设备维修、配件免费更换；④报废评估、置换、质量监控、使用评价等。 上述4项评审内容方案完整详细，条理清晰且符合采购实际需求得30分；每有一个评审内容缺项扣7.5分，扣完为止；每有一项评审内容存在缺陷，扣2.5分。未提供不得分。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3.维修保养服务方案.docx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供应商针对本项目具体情况制定行之有效的应急方案，应急方案应充分考虑到用户的现场环境以及业务需求。内容包含： ①硬件设备大面积故障应急预案； ②突发断电应急预案； ③设备损坏场景应急预案； ④应急演练计划； ⑤非人为的不可抗力后的应急预案。 上述5项评审内容方案完整详细，条理清晰且符合采购实际需求得5分；每有一个评审内容缺项扣1分，扣完为止；每有一项评审内容存在缺陷，扣0.5分。未提供不得分。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4.应急预案.docx</w:t>
            </w:r>
          </w:p>
        </w:tc>
      </w:tr>
      <w:tr>
        <w:tc>
          <w:tcPr>
            <w:tcW w:type="dxa" w:w="831"/>
            <w:vMerge/>
          </w:tcPr>
          <w:p/>
        </w:tc>
        <w:tc>
          <w:tcPr>
            <w:tcW w:type="dxa" w:w="1661"/>
          </w:tcPr>
          <w:p>
            <w:pPr>
              <w:pStyle w:val="null3"/>
            </w:pPr>
            <w:r>
              <w:rPr>
                <w:rFonts w:ascii="仿宋_GB2312" w:hAnsi="仿宋_GB2312" w:cs="仿宋_GB2312" w:eastAsia="仿宋_GB2312"/>
              </w:rPr>
              <w:t>培训及增值服务</w:t>
            </w:r>
          </w:p>
        </w:tc>
        <w:tc>
          <w:tcPr>
            <w:tcW w:type="dxa" w:w="2492"/>
          </w:tcPr>
          <w:p>
            <w:pPr>
              <w:pStyle w:val="null3"/>
            </w:pPr>
            <w:r>
              <w:rPr>
                <w:rFonts w:ascii="仿宋_GB2312" w:hAnsi="仿宋_GB2312" w:cs="仿宋_GB2312" w:eastAsia="仿宋_GB2312"/>
              </w:rPr>
              <w:t>供应商针对本项目所涉及的产品制定详细的培训方案，内容包含： ①提供硬件设备使用培训； ②设备生命周期评估； ③节能降耗优化建议等增值服务。 上述3项评审内容方案完整详细，条理清晰且符合采购实际需求得6分；每有一个评审内容缺项扣2分，扣完为止；每有一项评审内容存在缺陷，扣1分。未提供不得分。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5.培训及增值服务.docx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保障措施需要有明确的针对性和可操作性，制定详细的运维管理制度，措施内容包含： ①项目驻场人员的考勤管理方案； ②工作守则等制度； ③是否将制度执行情况与工作绩效挂钩。 上述3项评审内容完整详细，条理清晰且符合采购实际需求得6分；每有一个评审内容缺项扣2分，扣完为止；每有一项评审内容存在缺陷，扣1分。未提供不得分。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6.保障措施.docx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1.投标人在项目实施所在地具有相应的技术支持服务机构(提供相关证明材料)，得4分，未提供不得分。2.能够提供备机和常用备件数量及明细清单，保障本地化技术服务及服务协调的及时性。内容全面详细、阐述条理清晰，能有效保障本项目实施得4分，内容存在缺陷，扣1分，未提供不得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7.服务能力.docx</w:t>
            </w:r>
          </w:p>
        </w:tc>
      </w:tr>
      <w:tr>
        <w:tc>
          <w:tcPr>
            <w:tcW w:type="dxa" w:w="831"/>
            <w:vMerge/>
          </w:tcPr>
          <w:p/>
        </w:tc>
        <w:tc>
          <w:tcPr>
            <w:tcW w:type="dxa" w:w="1661"/>
          </w:tcPr>
          <w:p>
            <w:pPr>
              <w:pStyle w:val="null3"/>
            </w:pPr>
            <w:r>
              <w:rPr>
                <w:rFonts w:ascii="仿宋_GB2312" w:hAnsi="仿宋_GB2312" w:cs="仿宋_GB2312" w:eastAsia="仿宋_GB2312"/>
              </w:rPr>
              <w:t>拟投入本项目的组成人员</w:t>
            </w:r>
          </w:p>
        </w:tc>
        <w:tc>
          <w:tcPr>
            <w:tcW w:type="dxa" w:w="2492"/>
          </w:tcPr>
          <w:p>
            <w:pPr>
              <w:pStyle w:val="null3"/>
            </w:pPr>
            <w:r>
              <w:rPr>
                <w:rFonts w:ascii="仿宋_GB2312" w:hAnsi="仿宋_GB2312" w:cs="仿宋_GB2312" w:eastAsia="仿宋_GB2312"/>
              </w:rPr>
              <w:t>供应商结合实际情况针对本项目提供的团队配备方案，包括： ①人员基本信息及分工表，须包含人员清单； ②人员证明资料（至少包含：姓名、年龄、学历、专业技能）； ③团队稳定性：承诺服务期内核心人员更换率不超过1人，提供稳定性承诺函。 ④工作经验：人员均需要提供工作经验证明(例如相关工作证明文件或其他采购单位加盖公章的证明材料)。 前3项评审内容全面详细、阐述条理清晰，能有效保障本项目实施得15分，每有一个评审内容缺项扣2分，扣完为止；每有一项评审内容存在缺陷，扣1分。不提供不得分。 第④项人员工作经验大于等于3年的相关项目工作经验得5分、 1年以上不足3年的相关项目工作经验得2分、低于1年的得1分，不提供不得分。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8.拟投入本项目的组成人员.docx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提供供应商2023年1月1日至今（以合同签订日期为准）同类项目完整合同，每提供1个计1分，最高得5分，合同不完整不计分。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详见附件：2.响应偏离表.docx</w:t>
      </w:r>
    </w:p>
    <w:p>
      <w:pPr>
        <w:pStyle w:val="null3"/>
        <w:ind w:firstLine="960"/>
      </w:pPr>
      <w:r>
        <w:rPr>
          <w:rFonts w:ascii="仿宋_GB2312" w:hAnsi="仿宋_GB2312" w:cs="仿宋_GB2312" w:eastAsia="仿宋_GB2312"/>
        </w:rPr>
        <w:t>详见附件：3.维修保养服务方案.docx</w:t>
      </w:r>
    </w:p>
    <w:p>
      <w:pPr>
        <w:pStyle w:val="null3"/>
        <w:ind w:firstLine="960"/>
      </w:pPr>
      <w:r>
        <w:rPr>
          <w:rFonts w:ascii="仿宋_GB2312" w:hAnsi="仿宋_GB2312" w:cs="仿宋_GB2312" w:eastAsia="仿宋_GB2312"/>
        </w:rPr>
        <w:t>详见附件：4.应急预案.docx</w:t>
      </w:r>
    </w:p>
    <w:p>
      <w:pPr>
        <w:pStyle w:val="null3"/>
        <w:ind w:firstLine="960"/>
      </w:pPr>
      <w:r>
        <w:rPr>
          <w:rFonts w:ascii="仿宋_GB2312" w:hAnsi="仿宋_GB2312" w:cs="仿宋_GB2312" w:eastAsia="仿宋_GB2312"/>
        </w:rPr>
        <w:t>详见附件：5.培训及增值服务.docx</w:t>
      </w:r>
    </w:p>
    <w:p>
      <w:pPr>
        <w:pStyle w:val="null3"/>
        <w:ind w:firstLine="960"/>
      </w:pPr>
      <w:r>
        <w:rPr>
          <w:rFonts w:ascii="仿宋_GB2312" w:hAnsi="仿宋_GB2312" w:cs="仿宋_GB2312" w:eastAsia="仿宋_GB2312"/>
        </w:rPr>
        <w:t>详见附件：6.保障措施.docx</w:t>
      </w:r>
    </w:p>
    <w:p>
      <w:pPr>
        <w:pStyle w:val="null3"/>
        <w:ind w:firstLine="960"/>
      </w:pPr>
      <w:r>
        <w:rPr>
          <w:rFonts w:ascii="仿宋_GB2312" w:hAnsi="仿宋_GB2312" w:cs="仿宋_GB2312" w:eastAsia="仿宋_GB2312"/>
        </w:rPr>
        <w:t>详见附件：7.服务能力.docx</w:t>
      </w:r>
    </w:p>
    <w:p>
      <w:pPr>
        <w:pStyle w:val="null3"/>
        <w:ind w:firstLine="960"/>
      </w:pPr>
      <w:r>
        <w:rPr>
          <w:rFonts w:ascii="仿宋_GB2312" w:hAnsi="仿宋_GB2312" w:cs="仿宋_GB2312" w:eastAsia="仿宋_GB2312"/>
        </w:rPr>
        <w:t>详见附件：8.拟投入本项目的组成人员.docx</w:t>
      </w:r>
    </w:p>
    <w:p>
      <w:pPr>
        <w:pStyle w:val="null3"/>
        <w:ind w:firstLine="960"/>
      </w:pPr>
      <w:r>
        <w:rPr>
          <w:rFonts w:ascii="仿宋_GB2312" w:hAnsi="仿宋_GB2312" w:cs="仿宋_GB2312" w:eastAsia="仿宋_GB2312"/>
        </w:rPr>
        <w:t>详见附件：9.业绩一览表.docx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