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版本号：【KRDL】K5-2510147-0220260104001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网络安全体系建设项目（二期）(二次)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【KRDL】K5-2510147-02</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网络安全体系建设项目（二期）(二次)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【KRDL】K5-2510147-02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网络安全体系建设项目（二期）(二次)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通过建设运维安全能力、业务安全能力、终端安全能力、引入第三方安全能力以及监管学校全域流量状态等内容，完善学校的网络安全防护与管理体系，旨在提升学校信息安全水平，并增强其应对日益复杂的网络威胁的能力，为学校的数字化转型提供坚实的安全保障基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2、财务状况证明：投标人提供经会计师事务所审计的2024年年度财务审计报告；或在开标日期前六个月内其基本开户银行出具的资信证明；</w:t>
      </w:r>
    </w:p>
    <w:p>
      <w:pPr>
        <w:pStyle w:val="null3"/>
      </w:pPr>
      <w:r>
        <w:rPr>
          <w:rFonts w:ascii="仿宋_GB2312" w:hAnsi="仿宋_GB2312" w:cs="仿宋_GB2312" w:eastAsia="仿宋_GB2312"/>
        </w:rPr>
        <w:t>3、税收缴纳证明：投标人提供本单位2024年10月至今已缴纳的至少一个月纳税证明或完税证明，依法免税的单位应提供相关证明材料；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投标人提供本单位2024年10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6、授权委托书：投标人应授权合法的人员参加本项目招标活动全过程；</w:t>
      </w:r>
    </w:p>
    <w:p>
      <w:pPr>
        <w:pStyle w:val="null3"/>
      </w:pPr>
      <w:r>
        <w:rPr>
          <w:rFonts w:ascii="仿宋_GB2312" w:hAnsi="仿宋_GB2312" w:cs="仿宋_GB2312" w:eastAsia="仿宋_GB2312"/>
        </w:rPr>
        <w:t>7、是否面向中小企业采购：本项目为非专门面向中小企业采购项目。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029-82312890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国家计委颁发的《招标代理服务收费管理暂行办法》（计价格[2002]1980号）和国家发展和改革委员会办公厅颁发的《关于招标代理服务收费有关问题的通知》（发改办价格[2003] 857号）的标准的70%计取，向采购代理机构一次付清招标代理服务费。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联系人：王森、于珂欣</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通过建设运维安全能力、业务安全能力、终端安全能力、引入第三方安全能力以及监管学校全域流量状态等内容，完善学校的网络安全防护与管理体系，旨在提升学校信息安全水平，并增强其应对日益复杂的网络威胁的能力，为学校的数字化转型提供坚实的安全保障基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网络安全体系建设项目（二期）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标的名称：网络安全体系建设项目（二期）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B0F0"/>
              </w:rPr>
              <w:t>一、采购内容</w:t>
            </w:r>
          </w:p>
          <w:tbl>
            <w:tblPr>
              <w:tblBorders>
                <w:top w:val="none" w:color="000000" w:sz="4"/>
                <w:left w:val="none" w:color="000000" w:sz="4"/>
                <w:bottom w:val="none" w:color="000000" w:sz="4"/>
                <w:right w:val="none" w:color="000000" w:sz="4"/>
                <w:insideH w:val="none"/>
                <w:insideV w:val="none"/>
              </w:tblBorders>
            </w:tblPr>
            <w:tblGrid>
              <w:gridCol w:w="302"/>
              <w:gridCol w:w="1289"/>
              <w:gridCol w:w="545"/>
              <w:gridCol w:w="400"/>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序号</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标的物名称</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采购数量</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单位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堡垒机【核心产品】</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零信任安全接入系统</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终端安全管理系统</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网络流量汇聚分流器</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安全</w:t>
                  </w:r>
                  <w:r>
                    <w:rPr>
                      <w:rFonts w:ascii="仿宋_GB2312" w:hAnsi="仿宋_GB2312" w:cs="仿宋_GB2312" w:eastAsia="仿宋_GB2312"/>
                      <w:sz w:val="20"/>
                      <w:color w:val="00B0F0"/>
                    </w:rPr>
                    <w:t>MSS服务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套</w:t>
                  </w:r>
                </w:p>
              </w:tc>
            </w:tr>
          </w:tbl>
          <w:p>
            <w:pPr>
              <w:pStyle w:val="null3"/>
            </w:pPr>
            <w:r>
              <w:rPr>
                <w:rFonts w:ascii="仿宋_GB2312" w:hAnsi="仿宋_GB2312" w:cs="仿宋_GB2312" w:eastAsia="仿宋_GB2312"/>
                <w:sz w:val="20"/>
                <w:color w:val="00B0F0"/>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452"/>
              <w:gridCol w:w="234"/>
              <w:gridCol w:w="2496"/>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标的物名称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序号</w:t>
                  </w:r>
                </w:p>
              </w:tc>
              <w:tc>
                <w:tcPr>
                  <w:tcW w:type="dxa" w:w="2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技术参数要求</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堡垒机</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★标准机架式设备，冗余电源，数据存储容量≥4T，千兆光口≥2个，千兆电口≥4个。本次授权管理设备数≥300台，最大可管理设备数≥500台,最大字符并发数≥500个,最大图形并发数≥500个。</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支持基于角色的访问控制，可按部门、岗位、运维场景自定义角色权限，实现账号与运维人员的绑定，支持从</w:t>
                  </w:r>
                  <w:r>
                    <w:rPr>
                      <w:rFonts w:ascii="仿宋_GB2312" w:hAnsi="仿宋_GB2312" w:cs="仿宋_GB2312" w:eastAsia="仿宋_GB2312"/>
                      <w:sz w:val="20"/>
                      <w:color w:val="00B0F0"/>
                    </w:rPr>
                    <w:t>AD/LDAP同步组织架构和用户；支持 “最小权限原则”，权限粒度精确到“用户-设备-协议-操作命令”层级，授权策略，可按用户、用户组、目标设备、访问时间段、协议类型等进行组合授权；支持临时权限申请与审批流程（如工单审批），临时权限自动过期回收。</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▲支持本地静态密码、LDAP、短信、企微、钉钉等多种身份认证方式，含双因素认证，且通过运维隧道隔离，禁止运维客户端直接连接目标设备。</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支持通过浏览器页面</w:t>
                  </w:r>
                  <w:r>
                    <w:rPr>
                      <w:rFonts w:ascii="仿宋_GB2312" w:hAnsi="仿宋_GB2312" w:cs="仿宋_GB2312" w:eastAsia="仿宋_GB2312"/>
                      <w:sz w:val="20"/>
                      <w:color w:val="00B0F0"/>
                    </w:rPr>
                    <w:t>H5方式发起运维操作；支持SSH、Telnet、Rlogin、RDP、VNC、X11、FTP、SFTP、SCP、RZSZ等协议的操作行为。支持对</w:t>
                  </w:r>
                  <w:r>
                    <w:rPr>
                      <w:rFonts w:ascii="仿宋_GB2312" w:hAnsi="仿宋_GB2312" w:cs="仿宋_GB2312" w:eastAsia="仿宋_GB2312"/>
                      <w:sz w:val="20"/>
                      <w:color w:val="00B0F0"/>
                    </w:rPr>
                    <w:t>Oracle (12c</w:t>
                  </w:r>
                  <w:r>
                    <w:rPr>
                      <w:rFonts w:ascii="仿宋_GB2312" w:hAnsi="仿宋_GB2312" w:cs="仿宋_GB2312" w:eastAsia="仿宋_GB2312"/>
                      <w:sz w:val="20"/>
                      <w:color w:val="00B0F0"/>
                    </w:rPr>
                    <w:t>及以上</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r>
                    <w:rPr>
                      <w:rFonts w:ascii="仿宋_GB2312" w:hAnsi="仿宋_GB2312" w:cs="仿宋_GB2312" w:eastAsia="仿宋_GB2312"/>
                      <w:sz w:val="20"/>
                      <w:color w:val="00B0F0"/>
                    </w:rPr>
                    <w:t>MySQL (5.7</w:t>
                  </w:r>
                  <w:r>
                    <w:rPr>
                      <w:rFonts w:ascii="仿宋_GB2312" w:hAnsi="仿宋_GB2312" w:cs="仿宋_GB2312" w:eastAsia="仿宋_GB2312"/>
                      <w:sz w:val="20"/>
                      <w:color w:val="00B0F0"/>
                    </w:rPr>
                    <w:t>及以上</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r>
                    <w:rPr>
                      <w:rFonts w:ascii="仿宋_GB2312" w:hAnsi="仿宋_GB2312" w:cs="仿宋_GB2312" w:eastAsia="仿宋_GB2312"/>
                      <w:sz w:val="20"/>
                      <w:color w:val="00B0F0"/>
                    </w:rPr>
                    <w:t>Microsoft SQL Server (2016</w:t>
                  </w:r>
                  <w:r>
                    <w:rPr>
                      <w:rFonts w:ascii="仿宋_GB2312" w:hAnsi="仿宋_GB2312" w:cs="仿宋_GB2312" w:eastAsia="仿宋_GB2312"/>
                      <w:sz w:val="20"/>
                      <w:color w:val="00B0F0"/>
                    </w:rPr>
                    <w:t>及以上</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r>
                    <w:rPr>
                      <w:rFonts w:ascii="仿宋_GB2312" w:hAnsi="仿宋_GB2312" w:cs="仿宋_GB2312" w:eastAsia="仿宋_GB2312"/>
                      <w:sz w:val="20"/>
                      <w:color w:val="00B0F0"/>
                    </w:rPr>
                    <w:t>DB2 (11.1</w:t>
                  </w:r>
                  <w:r>
                    <w:rPr>
                      <w:rFonts w:ascii="仿宋_GB2312" w:hAnsi="仿宋_GB2312" w:cs="仿宋_GB2312" w:eastAsia="仿宋_GB2312"/>
                      <w:sz w:val="20"/>
                      <w:color w:val="00B0F0"/>
                    </w:rPr>
                    <w:t>及以上</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r>
                    <w:rPr>
                      <w:rFonts w:ascii="仿宋_GB2312" w:hAnsi="仿宋_GB2312" w:cs="仿宋_GB2312" w:eastAsia="仿宋_GB2312"/>
                      <w:sz w:val="20"/>
                      <w:color w:val="00B0F0"/>
                    </w:rPr>
                    <w:t>PostgreSQL (10</w:t>
                  </w:r>
                  <w:r>
                    <w:rPr>
                      <w:rFonts w:ascii="仿宋_GB2312" w:hAnsi="仿宋_GB2312" w:cs="仿宋_GB2312" w:eastAsia="仿宋_GB2312"/>
                      <w:sz w:val="20"/>
                      <w:color w:val="00B0F0"/>
                    </w:rPr>
                    <w:t>及以上</w:t>
                  </w:r>
                  <w:r>
                    <w:rPr>
                      <w:rFonts w:ascii="仿宋_GB2312" w:hAnsi="仿宋_GB2312" w:cs="仿宋_GB2312" w:eastAsia="仿宋_GB2312"/>
                      <w:sz w:val="20"/>
                      <w:color w:val="00B0F0"/>
                    </w:rPr>
                    <w:t xml:space="preserve">) </w:t>
                  </w:r>
                  <w:r>
                    <w:rPr>
                      <w:rFonts w:ascii="仿宋_GB2312" w:hAnsi="仿宋_GB2312" w:cs="仿宋_GB2312" w:eastAsia="仿宋_GB2312"/>
                      <w:sz w:val="20"/>
                      <w:color w:val="00B0F0"/>
                    </w:rPr>
                    <w:t>等数据库版本的访问行为审计。审计内容包含：所执行的</w:t>
                  </w:r>
                  <w:r>
                    <w:rPr>
                      <w:rFonts w:ascii="仿宋_GB2312" w:hAnsi="仿宋_GB2312" w:cs="仿宋_GB2312" w:eastAsia="仿宋_GB2312"/>
                      <w:sz w:val="20"/>
                      <w:color w:val="00B0F0"/>
                    </w:rPr>
                    <w:t>SQL</w:t>
                  </w:r>
                  <w:r>
                    <w:rPr>
                      <w:rFonts w:ascii="仿宋_GB2312" w:hAnsi="仿宋_GB2312" w:cs="仿宋_GB2312" w:eastAsia="仿宋_GB2312"/>
                      <w:sz w:val="20"/>
                      <w:color w:val="00B0F0"/>
                    </w:rPr>
                    <w:t>语句、</w:t>
                  </w:r>
                  <w:r>
                    <w:rPr>
                      <w:rFonts w:ascii="仿宋_GB2312" w:hAnsi="仿宋_GB2312" w:cs="仿宋_GB2312" w:eastAsia="仿宋_GB2312"/>
                      <w:sz w:val="20"/>
                      <w:color w:val="00B0F0"/>
                    </w:rPr>
                    <w:t>SQL</w:t>
                  </w:r>
                  <w:r>
                    <w:rPr>
                      <w:rFonts w:ascii="仿宋_GB2312" w:hAnsi="仿宋_GB2312" w:cs="仿宋_GB2312" w:eastAsia="仿宋_GB2312"/>
                      <w:sz w:val="20"/>
                      <w:color w:val="00B0F0"/>
                    </w:rPr>
                    <w:t>执行结果（成功</w:t>
                  </w:r>
                  <w:r>
                    <w:rPr>
                      <w:rFonts w:ascii="仿宋_GB2312" w:hAnsi="仿宋_GB2312" w:cs="仿宋_GB2312" w:eastAsia="仿宋_GB2312"/>
                      <w:sz w:val="20"/>
                      <w:color w:val="00B0F0"/>
                    </w:rPr>
                    <w:t>/</w:t>
                  </w:r>
                  <w:r>
                    <w:rPr>
                      <w:rFonts w:ascii="仿宋_GB2312" w:hAnsi="仿宋_GB2312" w:cs="仿宋_GB2312" w:eastAsia="仿宋_GB2312"/>
                      <w:sz w:val="20"/>
                      <w:color w:val="00B0F0"/>
                    </w:rPr>
                    <w:t>失败及返回数据）、操作时长等关键信息。</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全程完整记录所有键盘输入和回显内容，支持命令检索、违规命令实时阻断（如删除系统文件、禁用审计日志等操作）。支持全程录像，录像文件可回放、倍速播放、关键操作标记，可精确到秒级检索和播放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6</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水印的日志类型包括：数据库录屏日志中的水印，图形运维录屏日志中的水印，字符回放日志中的水印、应用发布运维的录屏日志中的水印。提供完整的操作日志、系统日志，支持关键字的全文检索和统计分析报表。所有操作日志支持日志导出（格式：</w:t>
                  </w:r>
                  <w:r>
                    <w:rPr>
                      <w:rFonts w:ascii="仿宋_GB2312" w:hAnsi="仿宋_GB2312" w:cs="仿宋_GB2312" w:eastAsia="仿宋_GB2312"/>
                      <w:sz w:val="20"/>
                      <w:color w:val="00B0F0"/>
                    </w:rPr>
                    <w:t>CSV/PDF）和第三方日志平台（如 SIEM）对接（支持 Syslog/CEF 格式）。</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7</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▲支持自动发现运维人员</w:t>
                  </w:r>
                  <w:r>
                    <w:rPr>
                      <w:rFonts w:ascii="仿宋_GB2312" w:hAnsi="仿宋_GB2312" w:cs="仿宋_GB2312" w:eastAsia="仿宋_GB2312"/>
                      <w:sz w:val="20"/>
                      <w:color w:val="00B0F0"/>
                    </w:rPr>
                    <w:t>在</w:t>
                  </w:r>
                  <w:r>
                    <w:rPr>
                      <w:rFonts w:ascii="仿宋_GB2312" w:hAnsi="仿宋_GB2312" w:cs="仿宋_GB2312" w:eastAsia="仿宋_GB2312"/>
                      <w:sz w:val="20"/>
                      <w:color w:val="00B0F0"/>
                    </w:rPr>
                    <w:t>运维过程中创建的后门账号行为，并以列表方式向设备管理员展示托管设备中所有的后门账号信息。支持自动发现运维人员离职后遗留不用的僵尸账号，并以列表方式向管理员展示托管设备中所有的僵尸账号，支持自定义未使用天数。</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8</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w:t>
                  </w:r>
                  <w:r>
                    <w:rPr>
                      <w:rFonts w:ascii="仿宋_GB2312" w:hAnsi="仿宋_GB2312" w:cs="仿宋_GB2312" w:eastAsia="仿宋_GB2312"/>
                      <w:sz w:val="20"/>
                      <w:color w:val="00B0F0"/>
                    </w:rPr>
                    <w:t>“一人一账号” 绑定，禁止共享账号，记录账号全生命周期日志。</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9</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支持自定义自动化脚本，可在线编辑和本地导入，支持</w:t>
                  </w:r>
                  <w:r>
                    <w:rPr>
                      <w:rFonts w:ascii="仿宋_GB2312" w:hAnsi="仿宋_GB2312" w:cs="仿宋_GB2312" w:eastAsia="仿宋_GB2312"/>
                      <w:sz w:val="20"/>
                      <w:color w:val="00B0F0"/>
                    </w:rPr>
                    <w:t>Windows</w:t>
                  </w:r>
                  <w:r>
                    <w:rPr>
                      <w:rFonts w:ascii="仿宋_GB2312" w:hAnsi="仿宋_GB2312" w:cs="仿宋_GB2312" w:eastAsia="仿宋_GB2312"/>
                      <w:sz w:val="20"/>
                      <w:color w:val="00B0F0"/>
                    </w:rPr>
                    <w:t>批处理脚本、</w:t>
                  </w:r>
                  <w:r>
                    <w:rPr>
                      <w:rFonts w:ascii="仿宋_GB2312" w:hAnsi="仿宋_GB2312" w:cs="仿宋_GB2312" w:eastAsia="仿宋_GB2312"/>
                      <w:sz w:val="20"/>
                      <w:color w:val="00B0F0"/>
                    </w:rPr>
                    <w:t>Windows PowerShell</w:t>
                  </w:r>
                  <w:r>
                    <w:rPr>
                      <w:rFonts w:ascii="仿宋_GB2312" w:hAnsi="仿宋_GB2312" w:cs="仿宋_GB2312" w:eastAsia="仿宋_GB2312"/>
                      <w:sz w:val="20"/>
                      <w:color w:val="00B0F0"/>
                    </w:rPr>
                    <w:t>脚本、</w:t>
                  </w:r>
                  <w:r>
                    <w:rPr>
                      <w:rFonts w:ascii="仿宋_GB2312" w:hAnsi="仿宋_GB2312" w:cs="仿宋_GB2312" w:eastAsia="仿宋_GB2312"/>
                      <w:sz w:val="20"/>
                      <w:color w:val="00B0F0"/>
                    </w:rPr>
                    <w:t>Linux Shell</w:t>
                  </w:r>
                  <w:r>
                    <w:rPr>
                      <w:rFonts w:ascii="仿宋_GB2312" w:hAnsi="仿宋_GB2312" w:cs="仿宋_GB2312" w:eastAsia="仿宋_GB2312"/>
                      <w:sz w:val="20"/>
                      <w:color w:val="00B0F0"/>
                    </w:rPr>
                    <w:t>脚本、</w:t>
                  </w:r>
                  <w:r>
                    <w:rPr>
                      <w:rFonts w:ascii="仿宋_GB2312" w:hAnsi="仿宋_GB2312" w:cs="仿宋_GB2312" w:eastAsia="仿宋_GB2312"/>
                      <w:sz w:val="20"/>
                      <w:color w:val="00B0F0"/>
                    </w:rPr>
                    <w:t>Python</w:t>
                  </w:r>
                  <w:r>
                    <w:rPr>
                      <w:rFonts w:ascii="仿宋_GB2312" w:hAnsi="仿宋_GB2312" w:cs="仿宋_GB2312" w:eastAsia="仿宋_GB2312"/>
                      <w:sz w:val="20"/>
                      <w:color w:val="00B0F0"/>
                    </w:rPr>
                    <w:t>脚本，支持设定任务为手动、定时和周期执行方式，支持登录后自动执行脚本，执行完后堡垒机保存运维记录。</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10</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须</w:t>
                  </w:r>
                  <w:r>
                    <w:rPr>
                      <w:rFonts w:ascii="仿宋_GB2312" w:hAnsi="仿宋_GB2312" w:cs="仿宋_GB2312" w:eastAsia="仿宋_GB2312"/>
                      <w:sz w:val="20"/>
                      <w:color w:val="00B0F0"/>
                    </w:rPr>
                    <w:t>具备</w:t>
                  </w:r>
                  <w:r>
                    <w:rPr>
                      <w:rFonts w:ascii="仿宋_GB2312" w:hAnsi="仿宋_GB2312" w:cs="仿宋_GB2312" w:eastAsia="仿宋_GB2312"/>
                      <w:sz w:val="20"/>
                      <w:color w:val="00B0F0"/>
                    </w:rPr>
                    <w:t>由中国网络安全审查技术与认证中心颁发的网络关键设备和网络安全专用产品认证证书。</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零信任安全接入系统</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★硬件及性能要求：标准机架式设备；内存容量</w:t>
                  </w:r>
                  <w:r>
                    <w:rPr>
                      <w:rFonts w:ascii="仿宋_GB2312" w:hAnsi="仿宋_GB2312" w:cs="仿宋_GB2312" w:eastAsia="仿宋_GB2312"/>
                      <w:sz w:val="20"/>
                      <w:color w:val="00B0F0"/>
                    </w:rPr>
                    <w:t>≥16G</w:t>
                  </w:r>
                  <w:r>
                    <w:rPr>
                      <w:rFonts w:ascii="仿宋_GB2312" w:hAnsi="仿宋_GB2312" w:cs="仿宋_GB2312" w:eastAsia="仿宋_GB2312"/>
                      <w:sz w:val="20"/>
                      <w:color w:val="00B0F0"/>
                    </w:rPr>
                    <w:t>，机械硬盘</w:t>
                  </w:r>
                  <w:r>
                    <w:rPr>
                      <w:rFonts w:ascii="仿宋_GB2312" w:hAnsi="仿宋_GB2312" w:cs="仿宋_GB2312" w:eastAsia="仿宋_GB2312"/>
                      <w:sz w:val="20"/>
                      <w:color w:val="00B0F0"/>
                    </w:rPr>
                    <w:t>≥4T</w:t>
                  </w:r>
                  <w:r>
                    <w:rPr>
                      <w:rFonts w:ascii="仿宋_GB2312" w:hAnsi="仿宋_GB2312" w:cs="仿宋_GB2312" w:eastAsia="仿宋_GB2312"/>
                      <w:sz w:val="20"/>
                      <w:color w:val="00B0F0"/>
                    </w:rPr>
                    <w:t>，固态硬盘</w:t>
                  </w:r>
                  <w:r>
                    <w:rPr>
                      <w:rFonts w:ascii="仿宋_GB2312" w:hAnsi="仿宋_GB2312" w:cs="仿宋_GB2312" w:eastAsia="仿宋_GB2312"/>
                      <w:sz w:val="20"/>
                      <w:color w:val="00B0F0"/>
                    </w:rPr>
                    <w:t>≥128G</w:t>
                  </w:r>
                  <w:r>
                    <w:rPr>
                      <w:rFonts w:ascii="仿宋_GB2312" w:hAnsi="仿宋_GB2312" w:cs="仿宋_GB2312" w:eastAsia="仿宋_GB2312"/>
                      <w:sz w:val="20"/>
                      <w:color w:val="00B0F0"/>
                    </w:rPr>
                    <w:t>，冗余电源，千兆电口</w:t>
                  </w:r>
                  <w:r>
                    <w:rPr>
                      <w:rFonts w:ascii="仿宋_GB2312" w:hAnsi="仿宋_GB2312" w:cs="仿宋_GB2312" w:eastAsia="仿宋_GB2312"/>
                      <w:sz w:val="20"/>
                      <w:color w:val="00B0F0"/>
                    </w:rPr>
                    <w:t>≥6</w:t>
                  </w:r>
                  <w:r>
                    <w:rPr>
                      <w:rFonts w:ascii="仿宋_GB2312" w:hAnsi="仿宋_GB2312" w:cs="仿宋_GB2312" w:eastAsia="仿宋_GB2312"/>
                      <w:sz w:val="20"/>
                      <w:color w:val="00B0F0"/>
                    </w:rPr>
                    <w:t>个、千兆光口</w:t>
                  </w:r>
                  <w:r>
                    <w:rPr>
                      <w:rFonts w:ascii="仿宋_GB2312" w:hAnsi="仿宋_GB2312" w:cs="仿宋_GB2312" w:eastAsia="仿宋_GB2312"/>
                      <w:sz w:val="20"/>
                      <w:color w:val="00B0F0"/>
                    </w:rPr>
                    <w:t>≥4</w:t>
                  </w:r>
                  <w:r>
                    <w:rPr>
                      <w:rFonts w:ascii="仿宋_GB2312" w:hAnsi="仿宋_GB2312" w:cs="仿宋_GB2312" w:eastAsia="仿宋_GB2312"/>
                      <w:sz w:val="20"/>
                      <w:color w:val="00B0F0"/>
                    </w:rPr>
                    <w:t>个。每秒并发连接数</w:t>
                  </w:r>
                  <w:r>
                    <w:rPr>
                      <w:rFonts w:ascii="仿宋_GB2312" w:hAnsi="仿宋_GB2312" w:cs="仿宋_GB2312" w:eastAsia="仿宋_GB2312"/>
                      <w:sz w:val="20"/>
                      <w:color w:val="00B0F0"/>
                    </w:rPr>
                    <w:t>≥4000</w:t>
                  </w:r>
                  <w:r>
                    <w:rPr>
                      <w:rFonts w:ascii="仿宋_GB2312" w:hAnsi="仿宋_GB2312" w:cs="仿宋_GB2312" w:eastAsia="仿宋_GB2312"/>
                      <w:sz w:val="20"/>
                      <w:color w:val="00B0F0"/>
                    </w:rPr>
                    <w:t>个，所投设备支持并发用户数</w:t>
                  </w:r>
                  <w:r>
                    <w:rPr>
                      <w:rFonts w:ascii="仿宋_GB2312" w:hAnsi="仿宋_GB2312" w:cs="仿宋_GB2312" w:eastAsia="仿宋_GB2312"/>
                      <w:sz w:val="20"/>
                      <w:color w:val="00B0F0"/>
                    </w:rPr>
                    <w:t>≥2000</w:t>
                  </w:r>
                  <w:r>
                    <w:rPr>
                      <w:rFonts w:ascii="仿宋_GB2312" w:hAnsi="仿宋_GB2312" w:cs="仿宋_GB2312" w:eastAsia="仿宋_GB2312"/>
                      <w:sz w:val="20"/>
                      <w:color w:val="00B0F0"/>
                    </w:rPr>
                    <w:t>个，双向加密吞吐量</w:t>
                  </w:r>
                  <w:r>
                    <w:rPr>
                      <w:rFonts w:ascii="仿宋_GB2312" w:hAnsi="仿宋_GB2312" w:cs="仿宋_GB2312" w:eastAsia="仿宋_GB2312"/>
                      <w:sz w:val="20"/>
                      <w:color w:val="00B0F0"/>
                    </w:rPr>
                    <w:t>≥1Gbps</w:t>
                  </w:r>
                  <w:r>
                    <w:rPr>
                      <w:rFonts w:ascii="仿宋_GB2312" w:hAnsi="仿宋_GB2312" w:cs="仿宋_GB2312" w:eastAsia="仿宋_GB2312"/>
                      <w:sz w:val="20"/>
                      <w:color w:val="00B0F0"/>
                    </w:rPr>
                    <w:t>，配置</w:t>
                  </w:r>
                  <w:r>
                    <w:rPr>
                      <w:rFonts w:ascii="仿宋_GB2312" w:hAnsi="仿宋_GB2312" w:cs="仿宋_GB2312" w:eastAsia="仿宋_GB2312"/>
                      <w:sz w:val="20"/>
                      <w:color w:val="00B0F0"/>
                    </w:rPr>
                    <w:t>2000</w:t>
                  </w:r>
                  <w:r>
                    <w:rPr>
                      <w:rFonts w:ascii="仿宋_GB2312" w:hAnsi="仿宋_GB2312" w:cs="仿宋_GB2312" w:eastAsia="仿宋_GB2312"/>
                      <w:sz w:val="20"/>
                      <w:color w:val="00B0F0"/>
                    </w:rPr>
                    <w:t>个并发用户数的授权。</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支持多因子认证功能，提供的认证方式应包括但不限于：静态口令、动态</w:t>
                  </w:r>
                  <w:r>
                    <w:rPr>
                      <w:rFonts w:ascii="仿宋_GB2312" w:hAnsi="仿宋_GB2312" w:cs="仿宋_GB2312" w:eastAsia="仿宋_GB2312"/>
                      <w:sz w:val="20"/>
                      <w:color w:val="00B0F0"/>
                    </w:rPr>
                    <w:t>OTP、短信认证、企微/钉钉扫码认证、移动端协同认证等；对于移动端，还应支持指纹、人脸识别等生物识别认证方式；支持配置在触发异常环境的条件时，须完成增强认证才可登录。可配置的异常环境包括但不限于：</w:t>
                  </w:r>
                  <w:r>
                    <w:rPr>
                      <w:rFonts w:ascii="仿宋_GB2312" w:hAnsi="仿宋_GB2312" w:cs="仿宋_GB2312" w:eastAsia="仿宋_GB2312"/>
                      <w:sz w:val="20"/>
                      <w:color w:val="00B0F0"/>
                    </w:rPr>
                    <w:t>账号</w:t>
                  </w:r>
                  <w:r>
                    <w:rPr>
                      <w:rFonts w:ascii="仿宋_GB2312" w:hAnsi="仿宋_GB2312" w:cs="仿宋_GB2312" w:eastAsia="仿宋_GB2312"/>
                      <w:sz w:val="20"/>
                      <w:color w:val="00B0F0"/>
                    </w:rPr>
                    <w:t>首次登录、</w:t>
                  </w:r>
                  <w:r>
                    <w:rPr>
                      <w:rFonts w:ascii="仿宋_GB2312" w:hAnsi="仿宋_GB2312" w:cs="仿宋_GB2312" w:eastAsia="仿宋_GB2312"/>
                      <w:sz w:val="20"/>
                      <w:color w:val="00B0F0"/>
                    </w:rPr>
                    <w:t>账号</w:t>
                  </w:r>
                  <w:r>
                    <w:rPr>
                      <w:rFonts w:ascii="仿宋_GB2312" w:hAnsi="仿宋_GB2312" w:cs="仿宋_GB2312" w:eastAsia="仿宋_GB2312"/>
                      <w:sz w:val="20"/>
                      <w:color w:val="00B0F0"/>
                    </w:rPr>
                    <w:t>在该终端首次登录、账号在该地点首次登录、账号在新地点登录、账号在非常用地点登录、闲置</w:t>
                  </w:r>
                  <w:r>
                    <w:rPr>
                      <w:rFonts w:ascii="仿宋_GB2312" w:hAnsi="仿宋_GB2312" w:cs="仿宋_GB2312" w:eastAsia="仿宋_GB2312"/>
                      <w:sz w:val="20"/>
                      <w:color w:val="00B0F0"/>
                    </w:rPr>
                    <w:t>账号</w:t>
                  </w:r>
                  <w:r>
                    <w:rPr>
                      <w:rFonts w:ascii="仿宋_GB2312" w:hAnsi="仿宋_GB2312" w:cs="仿宋_GB2312" w:eastAsia="仿宋_GB2312"/>
                      <w:sz w:val="20"/>
                      <w:color w:val="00B0F0"/>
                    </w:rPr>
                    <w:t>登录、弱密码登录、异常时间登录等。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网络隐身与安全通信：支持网络隐身技术；支持双向</w:t>
                  </w:r>
                  <w:r>
                    <w:rPr>
                      <w:rFonts w:ascii="仿宋_GB2312" w:hAnsi="仿宋_GB2312" w:cs="仿宋_GB2312" w:eastAsia="仿宋_GB2312"/>
                      <w:sz w:val="20"/>
                      <w:color w:val="00B0F0"/>
                    </w:rPr>
                    <w:t>TLS(mTLS)</w:t>
                  </w:r>
                  <w:r>
                    <w:rPr>
                      <w:rFonts w:ascii="仿宋_GB2312" w:hAnsi="仿宋_GB2312" w:cs="仿宋_GB2312" w:eastAsia="仿宋_GB2312"/>
                      <w:sz w:val="20"/>
                      <w:color w:val="00B0F0"/>
                    </w:rPr>
                    <w:t>通信；支持智能链路选择和负载均衡。</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4</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细粒度访问控制：支持基于应用、接口等多层级的细粒度访问控制。</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5</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支持通过网络隐身、动态业务准入等机制实现可信访问，支持持续信任评估，一旦发现用户、设备或环境状态异常，可动态回收访问授权、实时阻断访问。</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6</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具备统一的策略决策点（策略引擎），能综合身份、设备、网络、应用等多个上下文源的信息进行实时风险评估与授权决策。提供可视化的策略编排界面，支持通过拖拽方式组合安全资产、访问条件、控制动作等元素，定义细粒度的访问控制策略。</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7</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自动发现通过隧道的应用流量，并基于规则对应用进行分类（如已知/未知应用）；支持基于多场景安全策略评估结果联动控制，如在Web应用访问场景中触发的安全策略评估结果，可以自动提供给用户登录场景进行调用。</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8</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第三方系统集成：支持通过</w:t>
                  </w:r>
                  <w:r>
                    <w:rPr>
                      <w:rFonts w:ascii="仿宋_GB2312" w:hAnsi="仿宋_GB2312" w:cs="仿宋_GB2312" w:eastAsia="仿宋_GB2312"/>
                      <w:sz w:val="20"/>
                      <w:color w:val="00B0F0"/>
                    </w:rPr>
                    <w:t>CAS、OAuth2.0、SAML等标准协议对接第三方IAM系统，实现与学校现有统一身份认证系统的单点登录对接。</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r>
                    <w:rPr>
                      <w:rFonts w:ascii="仿宋_GB2312" w:hAnsi="仿宋_GB2312" w:cs="仿宋_GB2312" w:eastAsia="仿宋_GB2312"/>
                      <w:sz w:val="20"/>
                      <w:color w:val="00B0F0"/>
                    </w:rPr>
                    <w:t>9</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日志审计与分析：支持用户访问全周期多维日志审计（日志存储</w:t>
                  </w:r>
                  <w:r>
                    <w:rPr>
                      <w:rFonts w:ascii="仿宋_GB2312" w:hAnsi="仿宋_GB2312" w:cs="仿宋_GB2312" w:eastAsia="仿宋_GB2312"/>
                      <w:sz w:val="20"/>
                      <w:color w:val="00B0F0"/>
                    </w:rPr>
                    <w:t>≥</w:t>
                  </w:r>
                  <w:r>
                    <w:rPr>
                      <w:rFonts w:ascii="仿宋_GB2312" w:hAnsi="仿宋_GB2312" w:cs="仿宋_GB2312" w:eastAsia="仿宋_GB2312"/>
                      <w:sz w:val="20"/>
                      <w:color w:val="00B0F0"/>
                    </w:rPr>
                    <w:t>180</w:t>
                  </w:r>
                  <w:r>
                    <w:rPr>
                      <w:rFonts w:ascii="仿宋_GB2312" w:hAnsi="仿宋_GB2312" w:cs="仿宋_GB2312" w:eastAsia="仿宋_GB2312"/>
                      <w:sz w:val="20"/>
                      <w:color w:val="00B0F0"/>
                    </w:rPr>
                    <w:t>天），包括但不限于：用户认证日志、</w:t>
                  </w:r>
                  <w:r>
                    <w:rPr>
                      <w:rFonts w:ascii="仿宋_GB2312" w:hAnsi="仿宋_GB2312" w:cs="仿宋_GB2312" w:eastAsia="仿宋_GB2312"/>
                      <w:sz w:val="20"/>
                      <w:color w:val="00B0F0"/>
                    </w:rPr>
                    <w:t>WEB</w:t>
                  </w:r>
                  <w:r>
                    <w:rPr>
                      <w:rFonts w:ascii="仿宋_GB2312" w:hAnsi="仿宋_GB2312" w:cs="仿宋_GB2312" w:eastAsia="仿宋_GB2312"/>
                      <w:sz w:val="20"/>
                      <w:color w:val="00B0F0"/>
                    </w:rPr>
                    <w:t>访问日志、客户端操作日志、终端安全日志。</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w:t>
                  </w:r>
                  <w:r>
                    <w:rPr>
                      <w:rFonts w:ascii="仿宋_GB2312" w:hAnsi="仿宋_GB2312" w:cs="仿宋_GB2312" w:eastAsia="仿宋_GB2312"/>
                      <w:sz w:val="20"/>
                      <w:color w:val="00B0F0"/>
                    </w:rPr>
                    <w:t>0</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系统巡检：具备设备巡检功能，支持对设备自身的安全状态和策略配置进行巡检，并输出包含检测项、状态、问题描述及改进措施的巡检报告。</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w:t>
                  </w:r>
                  <w:r>
                    <w:rPr>
                      <w:rFonts w:ascii="仿宋_GB2312" w:hAnsi="仿宋_GB2312" w:cs="仿宋_GB2312" w:eastAsia="仿宋_GB2312"/>
                      <w:sz w:val="20"/>
                      <w:color w:val="00B0F0"/>
                    </w:rPr>
                    <w:t>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产品厂商具备中国网络安全审查技术与认证中心颁布的信息安全软件开发服务资质。</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终端安全管理系统</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产品主要性能要求：管理平台1套，采用B/S架构，支持通过HTTPS方式登录管理控制台，支持一个管理控制台同时管理Windows,Linux,信创操作系统，同时支持这些操作系统的服务器版和客户端版；服务器版授权点数≥300点；终端授权点数≥50点；</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▲具备勒索病毒防护能力，支持对勒索入侵的主流方式RDP</w:t>
                  </w:r>
                  <w:r>
                    <w:rPr>
                      <w:rFonts w:ascii="仿宋_GB2312" w:hAnsi="仿宋_GB2312" w:cs="仿宋_GB2312" w:eastAsia="仿宋_GB2312"/>
                      <w:sz w:val="20"/>
                      <w:color w:val="00B0F0"/>
                    </w:rPr>
                    <w:t>爆破</w:t>
                  </w:r>
                  <w:r>
                    <w:rPr>
                      <w:rFonts w:ascii="仿宋_GB2312" w:hAnsi="仿宋_GB2312" w:cs="仿宋_GB2312" w:eastAsia="仿宋_GB2312"/>
                      <w:sz w:val="20"/>
                      <w:color w:val="00B0F0"/>
                    </w:rPr>
                    <w:t>做全方位保护，支持展示勒索病毒处置情况，实时监控防止未授权加密及篡改；具备自动触发预篡改备份机制。</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24</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▲支持基于威胁情报的云端联动机制。</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25</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支持用户普遍关心和危害程度高的威胁，提供专项检测和结果呈现，包括暴力破解、</w:t>
                  </w:r>
                  <w:r>
                    <w:rPr>
                      <w:rFonts w:ascii="仿宋_GB2312" w:hAnsi="仿宋_GB2312" w:cs="仿宋_GB2312" w:eastAsia="仿宋_GB2312"/>
                      <w:sz w:val="20"/>
                      <w:color w:val="00B0F0"/>
                    </w:rPr>
                    <w:t>Shell反弹、WebShell、PowerShell、本地提权、文档漏洞利用等。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26</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支持病毒进程实时监控并处置，具备客户端本地病毒扫描查杀能力，可对病毒进行进程执行阻断、文件隔离</w:t>
                  </w:r>
                  <w:r>
                    <w:rPr>
                      <w:rFonts w:ascii="仿宋_GB2312" w:hAnsi="仿宋_GB2312" w:cs="仿宋_GB2312" w:eastAsia="仿宋_GB2312"/>
                      <w:sz w:val="20"/>
                      <w:color w:val="00B0F0"/>
                    </w:rPr>
                    <w:t>/文件删除等操作，完整记录处置日志；支持病毒清除动作前备份功能。</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27</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支持自动化响应动作（网络封停、文件隔离、进程阻断）；支持自定义安全规则，包括合法登录规则、操作检测规则、</w:t>
                  </w:r>
                  <w:r>
                    <w:rPr>
                      <w:rFonts w:ascii="仿宋_GB2312" w:hAnsi="仿宋_GB2312" w:cs="仿宋_GB2312" w:eastAsia="仿宋_GB2312"/>
                      <w:sz w:val="20"/>
                      <w:color w:val="00B0F0"/>
                    </w:rPr>
                    <w:t>IOA进程检测规则、入侵检测白名单、失陷检测规则等。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28</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w:t>
                  </w:r>
                  <w:r>
                    <w:rPr>
                      <w:rFonts w:ascii="仿宋_GB2312" w:hAnsi="仿宋_GB2312" w:cs="仿宋_GB2312" w:eastAsia="仿宋_GB2312"/>
                      <w:sz w:val="20"/>
                      <w:color w:val="00B0F0"/>
                    </w:rPr>
                    <w:t>Windows高危漏洞补丁免疫防御及批量一键修复；支持Windows环境下C&amp;C可疑站点识别、恶意域名访问检测（可定位原始发起进程）；具备恶意行为监控能力，包括Hosts文件修改、安全策略修改、动态链接库注入、系统文件/进程/启动项修改、新启动程序等未知威胁的检测。</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29</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集成至少</w:t>
                  </w:r>
                  <w:r>
                    <w:rPr>
                      <w:rFonts w:ascii="仿宋_GB2312" w:hAnsi="仿宋_GB2312" w:cs="仿宋_GB2312" w:eastAsia="仿宋_GB2312"/>
                      <w:sz w:val="20"/>
                      <w:color w:val="00B0F0"/>
                    </w:rPr>
                    <w:t>2种独立杀毒引擎（本地引擎 + 云引擎），支持特征码查杀、启发式扫描、行为分析多维检测。病毒库更新：支持自动/手动更新，云引擎病毒库更新频率≤1 小时，本地引擎离线病毒库有效期≥7 天。查杀能力：对勒索病毒、木马、蠕虫、挖矿程序等恶意软件的检出率≥99%（提供近6个月第三方测评报告或公开检测数据）。</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30</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具备</w:t>
                  </w:r>
                  <w:r>
                    <w:rPr>
                      <w:rFonts w:ascii="仿宋_GB2312" w:hAnsi="仿宋_GB2312" w:cs="仿宋_GB2312" w:eastAsia="仿宋_GB2312"/>
                      <w:sz w:val="20"/>
                      <w:color w:val="00B0F0"/>
                    </w:rPr>
                    <w:t>IOC检测能力，支持的威胁类型包括但不限于：远控、钓鱼、僵尸网络、矿池地址、挖矿木马、勒索软件、窃密木马、远控木马、网络蠕虫、APT攻击事件等恶意软件行为。</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支持全资产清点，（操作系统、应用软件、端口、账户等）。支持全网风险展示，包括未处理勒索病毒数量、暴力破解数量、</w:t>
                  </w:r>
                  <w:r>
                    <w:rPr>
                      <w:rFonts w:ascii="仿宋_GB2312" w:hAnsi="仿宋_GB2312" w:cs="仿宋_GB2312" w:eastAsia="仿宋_GB2312"/>
                      <w:sz w:val="20"/>
                      <w:color w:val="00B0F0"/>
                    </w:rPr>
                    <w:t>WebShell后门数量、高危漏洞等危险项及影响的终端数量。</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提供三年软件升级，三年规则库升级。（提供承诺函，承诺函格式自拟）</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产品厂商具备中国网络安全审查技术与认证中心颁发的软件安全开发类安全服务证书资质。</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网络流量汇聚分流器</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34</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★硬件及性能参数：标准机架式设备；具备100GE/40GE自适应接口,数量≥</w:t>
                  </w:r>
                  <w:r>
                    <w:rPr>
                      <w:rFonts w:ascii="仿宋_GB2312" w:hAnsi="仿宋_GB2312" w:cs="仿宋_GB2312" w:eastAsia="仿宋_GB2312"/>
                      <w:sz w:val="20"/>
                      <w:color w:val="00B0F0"/>
                    </w:rPr>
                    <w:t>4</w:t>
                  </w:r>
                  <w:r>
                    <w:rPr>
                      <w:rFonts w:ascii="仿宋_GB2312" w:hAnsi="仿宋_GB2312" w:cs="仿宋_GB2312" w:eastAsia="仿宋_GB2312"/>
                      <w:sz w:val="20"/>
                      <w:color w:val="00B0F0"/>
                    </w:rPr>
                    <w:t>个；</w:t>
                  </w:r>
                  <w:r>
                    <w:rPr>
                      <w:rFonts w:ascii="仿宋_GB2312" w:hAnsi="仿宋_GB2312" w:cs="仿宋_GB2312" w:eastAsia="仿宋_GB2312"/>
                      <w:sz w:val="20"/>
                      <w:color w:val="00B0F0"/>
                    </w:rPr>
                    <w:t>10GE接口数量≥24个；设备吞吐量：≥500 Gbps；时延要求≤1ms，时延抖动≤1ms；具备1个100/1000Mbps管理网络交换口等；双路冗余电源。</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25</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▲流量过滤/编排及规则数量：具备流量过滤及去重功能，包含源IP地址、目的IP地址、源端口号、目的端口号、协议号、物理端口号、 VLAN 、TCP flag，以及上述条件的任意组合；支持配置≥2000条规则。</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26</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支持多种报文的识别及过滤分发，包括</w:t>
                  </w:r>
                  <w:r>
                    <w:rPr>
                      <w:rFonts w:ascii="仿宋_GB2312" w:hAnsi="仿宋_GB2312" w:cs="仿宋_GB2312" w:eastAsia="仿宋_GB2312"/>
                      <w:sz w:val="20"/>
                      <w:color w:val="00B0F0"/>
                    </w:rPr>
                    <w:t>IPv4、IPv6、L2TP、GTP、IPSec、PPTP、ICMP、GRE、TCP/UDP/SCTP报文等。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27</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支持流量的汇聚与分流。</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28</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转发功能：支持特定流量进行数据的丢弃和转发功能，对未匹配流量进行输出。</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39</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失效保护：支持端口失效保护，在某个输出端口故障</w:t>
                  </w:r>
                  <w:r>
                    <w:rPr>
                      <w:rFonts w:ascii="仿宋_GB2312" w:hAnsi="仿宋_GB2312" w:cs="仿宋_GB2312" w:eastAsia="仿宋_GB2312"/>
                      <w:sz w:val="20"/>
                      <w:color w:val="00B0F0"/>
                    </w:rPr>
                    <w:t>Link down时自动负载分担到其他输出端口。</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40</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▲支持按物理端口添加VLAN Tag，并且可以自定义，支持4000个以上自定义VLAN标签。同时，支持对链路上数据包的 VLAN 进行剥离。</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w:t>
                  </w:r>
                  <w:r>
                    <w:rPr>
                      <w:rFonts w:ascii="仿宋_GB2312" w:hAnsi="仿宋_GB2312" w:cs="仿宋_GB2312" w:eastAsia="仿宋_GB2312"/>
                      <w:sz w:val="20"/>
                      <w:color w:val="00B0F0"/>
                    </w:rPr>
                    <w:t>WEB页面管理、命令行管理和SNMP管理。支持Console、Telnet、SSH的模式实现配置管理</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支持存储包括</w:t>
                  </w:r>
                  <w:r>
                    <w:rPr>
                      <w:rFonts w:ascii="仿宋_GB2312" w:hAnsi="仿宋_GB2312" w:cs="仿宋_GB2312" w:eastAsia="仿宋_GB2312"/>
                      <w:sz w:val="20"/>
                      <w:color w:val="00B0F0"/>
                    </w:rPr>
                    <w:t>SYSLOG服务器日志各种运行日志及管理员操作日志；支持基于NTP协议的时钟同步管理；支持SNMP管理和trap告警；支持用户分级管理、密码定期更新提示；支持本地认证、Radius/TACACS+、LDAP等多种登录认证鉴别技术，对登录用户进行身份鉴别。</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安全</w:t>
                  </w:r>
                  <w:r>
                    <w:rPr>
                      <w:rFonts w:ascii="仿宋_GB2312" w:hAnsi="仿宋_GB2312" w:cs="仿宋_GB2312" w:eastAsia="仿宋_GB2312"/>
                      <w:sz w:val="20"/>
                      <w:color w:val="00B0F0"/>
                    </w:rPr>
                    <w:t>MSS服务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为不少于100个核心资产（数据中心资产IP数量）提供全年7*24小时连续性的安全保障，服务期一年，自项目整体验收合格之日起算。配置一名具有3年及以上网络安全从业经验的专属服务经理，组建专属服务响应群，实时响应安全咨询的需求。</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44</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提供不低于以下的SLA承诺：（1）一般事件：日志产生到事件通告≤1小时、遏制影响时间≤4小时；（2）重大事件：日志产生到事件通告(MTTD)≤30分钟、遏制影响时间≤1小时；（3）一般威胁：日志产生到威胁通告≤2小时、遏制影响时间≤4小时；（4）重大威胁：日志产生到通告(MTTD )≤1小时、响应处置时间(MTTR)≤1小时；（5）应急响应：重大事件工作时间内应在15分钟之内进行响应，非工作时间30分钟之内进行响应，2小时上门处置或远程联动响应。</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45</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安全现状评估：对业务系统及</w:t>
                  </w:r>
                  <w:r>
                    <w:rPr>
                      <w:rFonts w:ascii="仿宋_GB2312" w:hAnsi="仿宋_GB2312" w:cs="仿宋_GB2312" w:eastAsia="仿宋_GB2312"/>
                      <w:sz w:val="20"/>
                      <w:color w:val="00B0F0"/>
                    </w:rPr>
                    <w:t>Web</w:t>
                  </w:r>
                  <w:r>
                    <w:rPr>
                      <w:rFonts w:ascii="仿宋_GB2312" w:hAnsi="仿宋_GB2312" w:cs="仿宋_GB2312" w:eastAsia="仿宋_GB2312"/>
                      <w:sz w:val="20"/>
                      <w:color w:val="00B0F0"/>
                    </w:rPr>
                    <w:t>资产开展漏洞扫描，覆盖操作系统、数据库、常见应用</w:t>
                  </w:r>
                  <w:r>
                    <w:rPr>
                      <w:rFonts w:ascii="仿宋_GB2312" w:hAnsi="仿宋_GB2312" w:cs="仿宋_GB2312" w:eastAsia="仿宋_GB2312"/>
                      <w:sz w:val="20"/>
                      <w:color w:val="00B0F0"/>
                    </w:rPr>
                    <w:t>/</w:t>
                  </w:r>
                  <w:r>
                    <w:rPr>
                      <w:rFonts w:ascii="仿宋_GB2312" w:hAnsi="仿宋_GB2312" w:cs="仿宋_GB2312" w:eastAsia="仿宋_GB2312"/>
                      <w:sz w:val="20"/>
                      <w:color w:val="00B0F0"/>
                    </w:rPr>
                    <w:t>协议及</w:t>
                  </w:r>
                  <w:r>
                    <w:rPr>
                      <w:rFonts w:ascii="仿宋_GB2312" w:hAnsi="仿宋_GB2312" w:cs="仿宋_GB2312" w:eastAsia="仿宋_GB2312"/>
                      <w:sz w:val="20"/>
                      <w:color w:val="00B0F0"/>
                    </w:rPr>
                    <w:t>Web</w:t>
                  </w:r>
                  <w:r>
                    <w:rPr>
                      <w:rFonts w:ascii="仿宋_GB2312" w:hAnsi="仿宋_GB2312" w:cs="仿宋_GB2312" w:eastAsia="仿宋_GB2312"/>
                      <w:sz w:val="20"/>
                      <w:color w:val="00B0F0"/>
                    </w:rPr>
                    <w:t>通用漏洞。同时开展弱口令检测，检测范围包括</w:t>
                  </w:r>
                  <w:r>
                    <w:rPr>
                      <w:rFonts w:ascii="仿宋_GB2312" w:hAnsi="仿宋_GB2312" w:cs="仿宋_GB2312" w:eastAsia="仿宋_GB2312"/>
                      <w:sz w:val="20"/>
                      <w:color w:val="00B0F0"/>
                    </w:rPr>
                    <w:t>SMB</w:t>
                  </w:r>
                  <w:r>
                    <w:rPr>
                      <w:rFonts w:ascii="仿宋_GB2312" w:hAnsi="仿宋_GB2312" w:cs="仿宋_GB2312" w:eastAsia="仿宋_GB2312"/>
                      <w:sz w:val="20"/>
                      <w:color w:val="00B0F0"/>
                    </w:rPr>
                    <w:t>、</w:t>
                  </w:r>
                  <w:r>
                    <w:rPr>
                      <w:rFonts w:ascii="仿宋_GB2312" w:hAnsi="仿宋_GB2312" w:cs="仿宋_GB2312" w:eastAsia="仿宋_GB2312"/>
                      <w:sz w:val="20"/>
                      <w:color w:val="00B0F0"/>
                    </w:rPr>
                    <w:t>Microsoft SQL Server</w:t>
                  </w:r>
                  <w:r>
                    <w:rPr>
                      <w:rFonts w:ascii="仿宋_GB2312" w:hAnsi="仿宋_GB2312" w:cs="仿宋_GB2312" w:eastAsia="仿宋_GB2312"/>
                      <w:sz w:val="20"/>
                      <w:color w:val="00B0F0"/>
                    </w:rPr>
                    <w:t>、</w:t>
                  </w:r>
                  <w:r>
                    <w:rPr>
                      <w:rFonts w:ascii="仿宋_GB2312" w:hAnsi="仿宋_GB2312" w:cs="仿宋_GB2312" w:eastAsia="仿宋_GB2312"/>
                      <w:sz w:val="20"/>
                      <w:color w:val="00B0F0"/>
                    </w:rPr>
                    <w:t>MySQL</w:t>
                  </w:r>
                  <w:r>
                    <w:rPr>
                      <w:rFonts w:ascii="仿宋_GB2312" w:hAnsi="仿宋_GB2312" w:cs="仿宋_GB2312" w:eastAsia="仿宋_GB2312"/>
                      <w:sz w:val="20"/>
                      <w:color w:val="00B0F0"/>
                    </w:rPr>
                    <w:t>、</w:t>
                  </w:r>
                  <w:r>
                    <w:rPr>
                      <w:rFonts w:ascii="仿宋_GB2312" w:hAnsi="仿宋_GB2312" w:cs="仿宋_GB2312" w:eastAsia="仿宋_GB2312"/>
                      <w:sz w:val="20"/>
                      <w:color w:val="00B0F0"/>
                    </w:rPr>
                    <w:t>Oracle</w:t>
                  </w:r>
                  <w:r>
                    <w:rPr>
                      <w:rFonts w:ascii="仿宋_GB2312" w:hAnsi="仿宋_GB2312" w:cs="仿宋_GB2312" w:eastAsia="仿宋_GB2312"/>
                      <w:sz w:val="20"/>
                      <w:color w:val="00B0F0"/>
                    </w:rPr>
                    <w:t>、</w:t>
                  </w:r>
                  <w:r>
                    <w:rPr>
                      <w:rFonts w:ascii="仿宋_GB2312" w:hAnsi="仿宋_GB2312" w:cs="仿宋_GB2312" w:eastAsia="仿宋_GB2312"/>
                      <w:sz w:val="20"/>
                      <w:color w:val="00B0F0"/>
                    </w:rPr>
                    <w:t>SMTP</w:t>
                  </w:r>
                  <w:r>
                    <w:rPr>
                      <w:rFonts w:ascii="仿宋_GB2312" w:hAnsi="仿宋_GB2312" w:cs="仿宋_GB2312" w:eastAsia="仿宋_GB2312"/>
                      <w:sz w:val="20"/>
                      <w:color w:val="00B0F0"/>
                    </w:rPr>
                    <w:t>、</w:t>
                  </w:r>
                  <w:r>
                    <w:rPr>
                      <w:rFonts w:ascii="仿宋_GB2312" w:hAnsi="仿宋_GB2312" w:cs="仿宋_GB2312" w:eastAsia="仿宋_GB2312"/>
                      <w:sz w:val="20"/>
                      <w:color w:val="00B0F0"/>
                    </w:rPr>
                    <w:t>VNC</w:t>
                  </w:r>
                  <w:r>
                    <w:rPr>
                      <w:rFonts w:ascii="仿宋_GB2312" w:hAnsi="仿宋_GB2312" w:cs="仿宋_GB2312" w:eastAsia="仿宋_GB2312"/>
                      <w:sz w:val="20"/>
                      <w:color w:val="00B0F0"/>
                    </w:rPr>
                    <w:t>、</w:t>
                  </w:r>
                  <w:r>
                    <w:rPr>
                      <w:rFonts w:ascii="仿宋_GB2312" w:hAnsi="仿宋_GB2312" w:cs="仿宋_GB2312" w:eastAsia="仿宋_GB2312"/>
                      <w:sz w:val="20"/>
                      <w:color w:val="00B0F0"/>
                    </w:rPr>
                    <w:t>FTP</w:t>
                  </w:r>
                  <w:r>
                    <w:rPr>
                      <w:rFonts w:ascii="仿宋_GB2312" w:hAnsi="仿宋_GB2312" w:cs="仿宋_GB2312" w:eastAsia="仿宋_GB2312"/>
                      <w:sz w:val="20"/>
                      <w:color w:val="00B0F0"/>
                    </w:rPr>
                    <w:t>、</w:t>
                  </w:r>
                  <w:r>
                    <w:rPr>
                      <w:rFonts w:ascii="仿宋_GB2312" w:hAnsi="仿宋_GB2312" w:cs="仿宋_GB2312" w:eastAsia="仿宋_GB2312"/>
                      <w:sz w:val="20"/>
                      <w:color w:val="00B0F0"/>
                    </w:rPr>
                    <w:t>Telnet</w:t>
                  </w:r>
                  <w:r>
                    <w:rPr>
                      <w:rFonts w:ascii="仿宋_GB2312" w:hAnsi="仿宋_GB2312" w:cs="仿宋_GB2312" w:eastAsia="仿宋_GB2312"/>
                      <w:sz w:val="20"/>
                      <w:color w:val="00B0F0"/>
                    </w:rPr>
                    <w:t>、</w:t>
                  </w:r>
                  <w:r>
                    <w:rPr>
                      <w:rFonts w:ascii="仿宋_GB2312" w:hAnsi="仿宋_GB2312" w:cs="仿宋_GB2312" w:eastAsia="仿宋_GB2312"/>
                      <w:sz w:val="20"/>
                      <w:color w:val="00B0F0"/>
                    </w:rPr>
                    <w:t>SSH</w:t>
                  </w:r>
                  <w:r>
                    <w:rPr>
                      <w:rFonts w:ascii="仿宋_GB2312" w:hAnsi="仿宋_GB2312" w:cs="仿宋_GB2312" w:eastAsia="仿宋_GB2312"/>
                      <w:sz w:val="20"/>
                      <w:color w:val="00B0F0"/>
                    </w:rPr>
                    <w:t>、</w:t>
                  </w:r>
                  <w:r>
                    <w:rPr>
                      <w:rFonts w:ascii="仿宋_GB2312" w:hAnsi="仿宋_GB2312" w:cs="仿宋_GB2312" w:eastAsia="仿宋_GB2312"/>
                      <w:sz w:val="20"/>
                      <w:color w:val="00B0F0"/>
                    </w:rPr>
                    <w:t>Tomcat</w:t>
                  </w:r>
                  <w:r>
                    <w:rPr>
                      <w:rFonts w:ascii="仿宋_GB2312" w:hAnsi="仿宋_GB2312" w:cs="仿宋_GB2312" w:eastAsia="仿宋_GB2312"/>
                      <w:sz w:val="20"/>
                      <w:color w:val="00B0F0"/>
                    </w:rPr>
                    <w:t>等常见服务与应用。</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46</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脆弱性管理：对系统漏洞和</w:t>
                  </w:r>
                  <w:r>
                    <w:rPr>
                      <w:rFonts w:ascii="仿宋_GB2312" w:hAnsi="仿宋_GB2312" w:cs="仿宋_GB2312" w:eastAsia="仿宋_GB2312"/>
                      <w:sz w:val="20"/>
                      <w:color w:val="00B0F0"/>
                    </w:rPr>
                    <w:t>Web漏洞开展全量扫描及真实性验证，分析漏洞危害并输出可落地修复方案；通过工单跟踪修复闭环。对服务范围内的高危可利用漏洞提供防护建议</w:t>
                  </w:r>
                  <w:r>
                    <w:rPr>
                      <w:rFonts w:ascii="仿宋_GB2312" w:hAnsi="仿宋_GB2312" w:cs="仿宋_GB2312" w:eastAsia="仿宋_GB2312"/>
                      <w:sz w:val="20"/>
                      <w:color w:val="00B0F0"/>
                    </w:rPr>
                    <w:t>并</w:t>
                  </w:r>
                  <w:r>
                    <w:rPr>
                      <w:rFonts w:ascii="仿宋_GB2312" w:hAnsi="仿宋_GB2312" w:cs="仿宋_GB2312" w:eastAsia="仿宋_GB2312"/>
                      <w:sz w:val="20"/>
                      <w:color w:val="00B0F0"/>
                    </w:rPr>
                    <w:t>提供承诺函。</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47</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安全问题处置：提供</w:t>
                  </w:r>
                  <w:r>
                    <w:rPr>
                      <w:rFonts w:ascii="仿宋_GB2312" w:hAnsi="仿宋_GB2312" w:cs="仿宋_GB2312" w:eastAsia="仿宋_GB2312"/>
                      <w:sz w:val="20"/>
                      <w:color w:val="00B0F0"/>
                    </w:rPr>
                    <w:t>7*24小时威胁分析和鉴定服务，依托威胁检测能力，实时监测用户网络安全状态，对安全告警进行分析研判，生成处置工单，并定位真实威胁。</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48</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服务要求：能提供服务成果的相关展示；至少包括具备服务质量的可视化展示，至少包括脆弱性</w:t>
                  </w:r>
                  <w:r>
                    <w:rPr>
                      <w:rFonts w:ascii="仿宋_GB2312" w:hAnsi="仿宋_GB2312" w:cs="仿宋_GB2312" w:eastAsia="仿宋_GB2312"/>
                      <w:sz w:val="20"/>
                      <w:color w:val="00B0F0"/>
                    </w:rPr>
                    <w:t>/威胁/事件闭环率、平均响应时长、平均闭环时长等指标，以验证</w:t>
                  </w:r>
                  <w:r>
                    <w:rPr>
                      <w:rFonts w:ascii="仿宋_GB2312" w:hAnsi="仿宋_GB2312" w:cs="仿宋_GB2312" w:eastAsia="仿宋_GB2312"/>
                      <w:sz w:val="20"/>
                      <w:color w:val="00B0F0"/>
                    </w:rPr>
                    <w:t>SLA</w:t>
                  </w:r>
                  <w:r>
                    <w:rPr>
                      <w:rFonts w:ascii="仿宋_GB2312" w:hAnsi="仿宋_GB2312" w:cs="仿宋_GB2312" w:eastAsia="仿宋_GB2312"/>
                      <w:sz w:val="20"/>
                      <w:color w:val="00B0F0"/>
                    </w:rPr>
                    <w:t>达成情况。</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49</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服务交付物：服务期内，提供以下汇报材料和内容：包括但不限于《项目启动会</w:t>
                  </w:r>
                  <w:r>
                    <w:rPr>
                      <w:rFonts w:ascii="仿宋_GB2312" w:hAnsi="仿宋_GB2312" w:cs="仿宋_GB2312" w:eastAsia="仿宋_GB2312"/>
                      <w:sz w:val="20"/>
                      <w:color w:val="00B0F0"/>
                    </w:rPr>
                    <w:t>PPT》、《首次分析与处置报告》、《漏洞管理举证报告》、《漏洞清单》、《服务资产表》、《安全服务运营报告》、《应急响应报告》、《事件分析与处置报告》、《安全运营报告》、《安全通告》、《综合分析报告》、《季度汇报PPT》、《年度汇报PPT》等。</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50</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★提供每周不少于</w:t>
                  </w:r>
                  <w:r>
                    <w:rPr>
                      <w:rFonts w:ascii="仿宋_GB2312" w:hAnsi="仿宋_GB2312" w:cs="仿宋_GB2312" w:eastAsia="仿宋_GB2312"/>
                      <w:sz w:val="20"/>
                      <w:color w:val="00B0F0"/>
                    </w:rPr>
                    <w:t>2</w:t>
                  </w:r>
                  <w:r>
                    <w:rPr>
                      <w:rFonts w:ascii="仿宋_GB2312" w:hAnsi="仿宋_GB2312" w:cs="仿宋_GB2312" w:eastAsia="仿宋_GB2312"/>
                      <w:sz w:val="20"/>
                      <w:color w:val="00B0F0"/>
                    </w:rPr>
                    <w:t>天的线下驻场服务，驻场人员具备网络安全监测、威胁分析、应急响应等能力，人员相对固定（调整人员须提前报采购人审批）。通过线上线下相结合的值班制度、轮班及应急增援预案，实现</w:t>
                  </w:r>
                  <w:r>
                    <w:rPr>
                      <w:rFonts w:ascii="仿宋_GB2312" w:hAnsi="仿宋_GB2312" w:cs="仿宋_GB2312" w:eastAsia="仿宋_GB2312"/>
                      <w:sz w:val="20"/>
                      <w:color w:val="00B0F0"/>
                    </w:rPr>
                    <w:t>7*24</w:t>
                  </w:r>
                  <w:r>
                    <w:rPr>
                      <w:rFonts w:ascii="仿宋_GB2312" w:hAnsi="仿宋_GB2312" w:cs="仿宋_GB2312" w:eastAsia="仿宋_GB2312"/>
                      <w:sz w:val="20"/>
                      <w:color w:val="00B0F0"/>
                    </w:rPr>
                    <w:t>小时的安全监控与响应。</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51</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配合网络安全宣传活动，（含讲座、素材的支撑）。每半年开展一次面向全校师生开展网络安全培训（须覆盖不同层级受众，采用案例分析等形式）培训后提供总结报告（参与情况及反馈优化建议）</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52</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重保时期（上级部门指定</w:t>
                  </w:r>
                  <w:r>
                    <w:rPr>
                      <w:rFonts w:ascii="仿宋_GB2312" w:hAnsi="仿宋_GB2312" w:cs="仿宋_GB2312" w:eastAsia="仿宋_GB2312"/>
                      <w:sz w:val="20"/>
                      <w:color w:val="00B0F0"/>
                    </w:rPr>
                    <w:t>/采购人通知的特殊保障时段）：根据需求增配驻场人员，提供7×24小时值守服务，制定专属《重保安全保障方案》。重保时期前两周完成漏洞检查、设备巡检、安全加固，保障期间每日输出《运营日报》，保障结束后输出《总结报告》。</w:t>
                  </w:r>
                </w:p>
              </w:tc>
            </w:tr>
            <w:tr>
              <w:tc>
                <w:tcPr>
                  <w:tcW w:type="dxa" w:w="452"/>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53</w:t>
                  </w:r>
                </w:p>
              </w:tc>
              <w:tc>
                <w:tcPr>
                  <w:tcW w:type="dxa" w:w="2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B0F0"/>
                    </w:rPr>
                    <w:t>每季度开展资产进行指纹检测（涵盖操作系统、中间件、软件厂商等），并更新信息，保障资产指纹信息的准确性。每季度对资产进行存活性探测，对未存活</w:t>
                  </w:r>
                  <w:r>
                    <w:rPr>
                      <w:rFonts w:ascii="仿宋_GB2312" w:hAnsi="仿宋_GB2312" w:cs="仿宋_GB2312" w:eastAsia="仿宋_GB2312"/>
                      <w:sz w:val="20"/>
                      <w:color w:val="00B0F0"/>
                    </w:rPr>
                    <w:t>/变更资产进行更新，保障资产信息的全面性。</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合同签订后60个自然日内完成安装并交付采购人使用。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（1）验收依据 招标文件、投标文件及技术澄清文件（函））； 国家/行业标准、规范（如GB、ISO、IEC等）。 （2）验收流程 ①到货初检（采购人、中标人共同参与）： 检查外包装完整性、防伪标识、运输损伤情况； 核对货物型号、数量、规格是否与合同一致； 检查随机文件（合格证、说明书、保修卡等）。 ②安装调试验收 设备安装符合GB 50231-2009《机械设备安装工程施工及验收通用规范》； 调试记录完整。 ③性能测试验收（关键指标实测） 连续运行48小时无故障； 关键参数与投标文件承诺值对比（允许±3%偏差）。 ④试运行验收 中标人完成调试和性能测试后，向采购人书面申请试运行，采购人同意后试运行30个日，中标人出具试运行报告。 ⑤最终验收 中标人根据采购人要求提供相关验收资料，由采购人发起最终验收，签署《验收报告》，产品保修期自验收合格之日起算，由中标人提供产品保修文件。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包装标准：中标人提供产品及相关快递服务的包装要求，按照《商品包装政府采购需求标准（试行）》、《快递包装政府采购需求标准（试行）》执行，确保防潮、防震、防锈蚀； 运输方式：中标人自主选择，须购买全程运输保险，保证按期交付。不得断货，因断货造成的损失由中标人负责赔偿； 运输责任：运输由中标人负责，运杂费已包含在合同总价内。包括从货物供应地点运送至交付地点所含的运输费、装卸费、仓储费、保险费等一切直接费、间接费； 存放与保管：货物到达采购人指定地点后，中标人应按有关技术规程和采购人要求进行存放和保管。</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违约情况按《中华人民共和国民法典》中的相关条款执行。2、甲乙双方必须遵守本合同并执行合同中的各项规定，保证本合同的正常履行。3、如因乙方工作人员在履行职务过程中的疏忽、失职、过错等故意或者过失原因给甲方造成损失或侵害，包括但不限于甲方本身的财产损失、由此而导致的甲方对任何第三方的法律责任等，乙方对此均应承担全部的赔偿责任。4、未按合同要求提供设备或提供的设备质量或规格不能满足技术要求，甲方有权终止合同并对乙方违约行为进行追究，同时按政府采购法的有关规定进行相应的处罚。 解决合同纠纷的方式 1、在执行本合同中发生的或与本合同有关的争端，双方应通过友好协商解决，经协商不能达成协议时，则采取以下第2种方式解决争议： （1）向甲方所在地有管辖权的人民法院提起诉讼；（2）向西安仲裁委员会按其仲裁规则申请仲裁。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1.用保函形式缴纳投标保证金的投标人应按照陕西省政府采购网的相关要求进行递交，同时还需在投标截止时间前将保函扫描成清晰的PDF文件发送至邮箱1253677747@qq.com（邮件命名：项目编号+项目名称） 2.中标单位在领取中标通知书时须线下递交纸质投标文件正本壹份、副本壹份，纸质投标文件正副本分别胶装，递交文件地点：开瑞项目管理有限公司（陕西省西安市莲湖区高新二路1号招商银行大厦19层，联系人：于珂欣，联系电话：18821613947）,若电子投标文件与纸质投标文件不一致的，以电子投标文件为准。 3.在项目实施进程中所涉及的系统对接费用包含在本次报价内。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投标人提供经会计师事务所审计的2024年年度财务审计报告；或在开标日期前六个月内其基本开户银行出具的资信证明；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投标人提供本单位2024年10月至今已缴纳的至少一个月纳税证明或完税证明，依法免税的单位应提供相关证明材料；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2024年10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展和改革委员会、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开标一览表 技术方案.docx 投标人应提交的相关资格证明材料.docx 产品技术参数表 分项报价表.docx 投标函 中小企业声明函 残疾人福利性单位声明函 商务应答表 标的清单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开标一览表 技术方案.docx 投标人应提交的相关资格证明材料.docx 产品技术参数表 分项报价表.docx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开标一览表 技术方案.docx 投标人应提交的相关资格证明材料.docx 产品技术参数表 分项报价表.docx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技术方案.docx 投标人应提交的相关资格证明材料.docx 产品技术参数表 分项报价表.docx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 1.完全满足采购技术要求的，得20分； 2.标记“★”的参数需求为实质性要求，投标人必须响应并满足参数需求，否则按无效投标处理； 3.“▲”项技术参数为重要参数，每负偏离一项扣1分，扣完为止； 4.无标识参数为一般参数，每负偏离一项扣0.4分，扣完为止； 注：投标人对所投产品“★”项及“▲”项参数须提供相应的佐证材料（包括产品彩页或官网截图或产品白皮书或检测报告等），未提供或提供佐证材料无法体现对应参数的视为负偏离；其他参数需尽可能多地提供相应的佐证材料（包括产品彩页或官网截图或产品白皮书或检测报告等）；投标人自行承担因材料提供不全导致技术参数评审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根据投标人提供的针对本项目拟投产品的来源渠道的佐证材料（佐证材料可为对产品的技术描述资料；产品进货渠道；产品测试报告等）进行评审。 产品相关证明材料齐全、链条清晰完整，完全满足本项目对产品的质量要求的得3分； 投标人针对本项目拟投产品的质量提供的相关佐证资料有部分缺失、链条有缺陷但不影响招标人正常使用，基本能够满足本项目对产品的质量要求的得2分； 投标人针对本项目拟投产品的质量提供的相关佐证资料缺失、链条模糊，产品的质量要求无法保障的得1分；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根据投标人提供的供货方案（包含①供货计划；②供货能力；③应急保障；）进行评审： ①供货计划：供货计划方案流程清晰、有序各环节内容明确，符合本项目要求的得2分； 供货计划方案完整，内容简单，与本项目采购需求存在细微偏差的得1分；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②供货能力：具备稳定的供货能力，能确保在规定时间内足量供应本项目所需全部产品，具有完善的供应链体系和充足的库存保障的得2分； 供货能力较弱，供应渠道不稳定，难以保证按时足量供应本项目产品，可能对项目进度造成明显影响的得1分；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③应急保障：针对各种突发事件具有详细的保障措施，能够保障项目高效实施的得2分； 应急保障措施方案存在部分缺陷，可能影响项目实施的得1分；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组织保证措施1</w:t>
            </w:r>
          </w:p>
        </w:tc>
        <w:tc>
          <w:tcPr>
            <w:tcW w:type="dxa" w:w="2492"/>
          </w:tcPr>
          <w:p>
            <w:pPr>
              <w:pStyle w:val="null3"/>
            </w:pPr>
            <w:r>
              <w:rPr>
                <w:rFonts w:ascii="仿宋_GB2312" w:hAnsi="仿宋_GB2312" w:cs="仿宋_GB2312" w:eastAsia="仿宋_GB2312"/>
              </w:rPr>
              <w:t>根据投标人提供的组织保证措施（包含①组织机构方案；②专业服务团队情况；③有关管理制度）进行评审： ①组织机构：组织机构完备，框架结构完整，运行机制有效的得2分； 组织机构存在缺陷，框架结构残缺松散，运行机制低效的得1分；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组织保证措施2</w:t>
            </w:r>
          </w:p>
        </w:tc>
        <w:tc>
          <w:tcPr>
            <w:tcW w:type="dxa" w:w="2492"/>
          </w:tcPr>
          <w:p>
            <w:pPr>
              <w:pStyle w:val="null3"/>
            </w:pPr>
            <w:r>
              <w:rPr>
                <w:rFonts w:ascii="仿宋_GB2312" w:hAnsi="仿宋_GB2312" w:cs="仿宋_GB2312" w:eastAsia="仿宋_GB2312"/>
              </w:rPr>
              <w:t>②服务团队：服务团队人员充实、结构合理、经验丰富，能够保障项目高效实施的得2分； 服务团队人员简单、结构基本合理、经验存在一定欠缺，可能影响项目实施的得1分；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组织保证措施3</w:t>
            </w:r>
          </w:p>
        </w:tc>
        <w:tc>
          <w:tcPr>
            <w:tcW w:type="dxa" w:w="2492"/>
          </w:tcPr>
          <w:p>
            <w:pPr>
              <w:pStyle w:val="null3"/>
            </w:pPr>
            <w:r>
              <w:rPr>
                <w:rFonts w:ascii="仿宋_GB2312" w:hAnsi="仿宋_GB2312" w:cs="仿宋_GB2312" w:eastAsia="仿宋_GB2312"/>
              </w:rPr>
              <w:t>③管理制度：管理制度完善，与项目实施具有很强的契合程度，具有针对性、可行性得2分； 管理制度存在缺陷，与项目实施存在细微偏差，可能影响项目实施的得1分；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安装调试方案1</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提供安装调试方案，严格按照使用说明进行安装调试并提供相应标准的得2分； 提供安装调试方案，安装调试及提供相应标准内容稍有欠缺的得1分；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安装调试方案2</w:t>
            </w:r>
          </w:p>
        </w:tc>
        <w:tc>
          <w:tcPr>
            <w:tcW w:type="dxa" w:w="2492"/>
          </w:tcPr>
          <w:p>
            <w:pPr>
              <w:pStyle w:val="null3"/>
            </w:pPr>
            <w:r>
              <w:rPr>
                <w:rFonts w:ascii="仿宋_GB2312" w:hAnsi="仿宋_GB2312" w:cs="仿宋_GB2312" w:eastAsia="仿宋_GB2312"/>
              </w:rPr>
              <w:t>②装调试工具及安装调试人员配置情况： 配备的安装调试工具先进适配，安装调试人员具有专业性，且在安装调试方面具备充足的经验的，完全满足安装调试要求的得2分； 配备的安装调试工具及安装调试人员具有专业性，在安装调试方面经验稍有欠缺的得1分；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安装调试方案3</w:t>
            </w:r>
          </w:p>
        </w:tc>
        <w:tc>
          <w:tcPr>
            <w:tcW w:type="dxa" w:w="2492"/>
          </w:tcPr>
          <w:p>
            <w:pPr>
              <w:pStyle w:val="null3"/>
            </w:pPr>
            <w:r>
              <w:rPr>
                <w:rFonts w:ascii="仿宋_GB2312" w:hAnsi="仿宋_GB2312" w:cs="仿宋_GB2312" w:eastAsia="仿宋_GB2312"/>
              </w:rPr>
              <w:t>③安装调试过程中对产品的保护措施： 在安装调试过程中的保护措施详细合理可行，保证对产品不会造成损坏的得2分； 在安装调试过程中的保护措施简单粗略，无法保证对产品不会造成损坏的得1分；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根据投标人提供的售后服务（包含①质量管理体系；②质量控制流程；③履约验收方案）进行评审： ①质量管理体系：质量管理体系明确，内容全面详细准确，能够保障项目高效实施的得2分； 质量管理体系模糊不清，可能影响项目实施的得1分；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②质量控制流程：质量控制流程清晰明确，内容全面详细，能够保障项目高效实施的得2分； 质量控制流程混乱，可能影响项目实施的得1分；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③履约验收方案：具有完善的履约验收方案的得2分； 履约验收方案完整，内容较为简单，可能影响项目实施的得1分；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进度保证措施1</w:t>
            </w:r>
          </w:p>
        </w:tc>
        <w:tc>
          <w:tcPr>
            <w:tcW w:type="dxa" w:w="2492"/>
          </w:tcPr>
          <w:p>
            <w:pPr>
              <w:pStyle w:val="null3"/>
            </w:pPr>
            <w:r>
              <w:rPr>
                <w:rFonts w:ascii="仿宋_GB2312" w:hAnsi="仿宋_GB2312" w:cs="仿宋_GB2312" w:eastAsia="仿宋_GB2312"/>
              </w:rPr>
              <w:t>根据投标人提供的进度保证措施（包括①运输进度保证措施；②安装调试进度保证措施）进行评审： ①运输进度保证措施： 运输进度安排合理、详细，能够保障项目高效实施的得2分； 运输进度安排基本合理，方案内容较为简单，可能影响项目实施的得1分；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进度保证措施2</w:t>
            </w:r>
          </w:p>
        </w:tc>
        <w:tc>
          <w:tcPr>
            <w:tcW w:type="dxa" w:w="2492"/>
          </w:tcPr>
          <w:p>
            <w:pPr>
              <w:pStyle w:val="null3"/>
            </w:pPr>
            <w:r>
              <w:rPr>
                <w:rFonts w:ascii="仿宋_GB2312" w:hAnsi="仿宋_GB2312" w:cs="仿宋_GB2312" w:eastAsia="仿宋_GB2312"/>
              </w:rPr>
              <w:t>②安装调试进度保证措施： 安装、调试进度安排合理、详细，能够保障项目高效实施的得2分； 安装、调试进度安排基本合理，方案内容较为简单，可能影响项目实施的得1分；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根据投标人提供的售后服务（包含①售后服务体系；②售后响应时间；③应急处理方案④售后巡查及质量跟踪方案；⑤质保承诺）进行评审： ①售后服务体系：服务目标及理念明确，能够保障项目高效实施的得2分； 服务目标及理念不明确，可能影响项目实施的得1分；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②售后响应时间：投标人承诺能够及时有效地为采购人提供相应售后服务的能力，并配备有专业技术人员提供实时技术支持的得2分（提供承诺书，承诺书格式自拟）；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③应急处理方案：出现故障情况具备详细有效的应急方案，考虑充分，能够保障项目高效实施的得2分； 应急方案存在一定欠缺，与项目实际需求存在细微偏差，可能影响项目实施的得1分；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④售后巡查及质量跟踪方案：投标人能够定期对产品进行故障检测排除及质量跟踪，主动发现潜在问题，避免问题扩大，各项流程清晰明确，能够保障项目高效实施的得2分； 售后巡查及质量跟踪方案存在一定欠缺，与项目实际需求存在细微偏差，可能影响项目实施的得1分；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售后服务方案5</w:t>
            </w:r>
          </w:p>
        </w:tc>
        <w:tc>
          <w:tcPr>
            <w:tcW w:type="dxa" w:w="2492"/>
          </w:tcPr>
          <w:p>
            <w:pPr>
              <w:pStyle w:val="null3"/>
            </w:pPr>
            <w:r>
              <w:rPr>
                <w:rFonts w:ascii="仿宋_GB2312" w:hAnsi="仿宋_GB2312" w:cs="仿宋_GB2312" w:eastAsia="仿宋_GB2312"/>
              </w:rPr>
              <w:t>⑤质保承诺：质保期在满足招标文件要求的基础上每延长1年加1分，最多加2分。质保期承诺书格式自拟。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根据投标人提供的培训方案（包含①培训人员安排及培训课程计划；②培训的内容、方式、次数等）进行评审， ①培训人员安排及培训课程计划：培训人员安排充沛，培训计划安排合理，丰富，能够保障项目高效实施的得2分； 培训人员简单，职责不清，培训计划安排混乱，可能影响项目实施的得1分； 培训计划安排混乱，可能影响项目实施的得1分；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培训方案2</w:t>
            </w:r>
          </w:p>
        </w:tc>
        <w:tc>
          <w:tcPr>
            <w:tcW w:type="dxa" w:w="2492"/>
          </w:tcPr>
          <w:p>
            <w:pPr>
              <w:pStyle w:val="null3"/>
            </w:pPr>
            <w:r>
              <w:rPr>
                <w:rFonts w:ascii="仿宋_GB2312" w:hAnsi="仿宋_GB2312" w:cs="仿宋_GB2312" w:eastAsia="仿宋_GB2312"/>
              </w:rPr>
              <w:t>②培训的内容、方式、次数：培训内容丰富，方式新颖，次数满足项目需求的得2分； 培训内容简单，方式常规，次数与项目需求存在细微偏差的得1分；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提供投标人自2022年11月1日至投标文件递交截止时间前的类似项目业绩证明材料。每提供1个完整合同复印件的得1分，满分5分。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