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0E9079">
      <w:pPr>
        <w:spacing w:line="460" w:lineRule="exact"/>
        <w:jc w:val="center"/>
        <w:rPr>
          <w:rFonts w:hint="eastAsia" w:ascii="宋体" w:hAnsi="宋体" w:eastAsia="宋体"/>
          <w:lang w:eastAsia="zh-CN"/>
        </w:rPr>
      </w:pPr>
      <w:r>
        <w:rPr>
          <w:rFonts w:hint="eastAsia" w:ascii="宋体" w:hAnsi="宋体"/>
          <w:b/>
          <w:sz w:val="24"/>
          <w:lang w:eastAsia="zh-CN"/>
        </w:rPr>
        <w:t>采购合同</w:t>
      </w:r>
      <w:r>
        <w:rPr>
          <w:rFonts w:hint="eastAsia" w:ascii="宋体" w:hAnsi="宋体" w:eastAsia="宋体"/>
          <w:b/>
          <w:sz w:val="24"/>
          <w:lang w:eastAsia="zh-CN"/>
        </w:rPr>
        <w:t>（仅供参考）</w:t>
      </w:r>
    </w:p>
    <w:p w14:paraId="48C916BF">
      <w:pPr>
        <w:kinsoku/>
        <w:wordWrap w:val="0"/>
        <w:topLinePunct/>
        <w:spacing w:line="360" w:lineRule="auto"/>
        <w:rPr>
          <w:rFonts w:ascii="宋体" w:hAnsi="宋体"/>
          <w:lang w:eastAsia="zh-CN"/>
        </w:rPr>
      </w:pPr>
      <w:r>
        <w:rPr>
          <w:rFonts w:ascii="宋体" w:hAnsi="宋体"/>
          <w:lang w:eastAsia="zh-CN"/>
        </w:rPr>
        <w:t>甲方</w:t>
      </w:r>
      <w:r>
        <w:rPr>
          <w:rFonts w:hint="eastAsia" w:ascii="宋体" w:hAnsi="宋体"/>
          <w:lang w:eastAsia="zh-CN"/>
        </w:rPr>
        <w:t>（采购人）</w:t>
      </w:r>
      <w:r>
        <w:rPr>
          <w:rFonts w:ascii="宋体" w:hAnsi="宋体"/>
          <w:lang w:eastAsia="zh-CN"/>
        </w:rPr>
        <w:t>：</w:t>
      </w:r>
    </w:p>
    <w:p w14:paraId="657A7E58">
      <w:pPr>
        <w:kinsoku/>
        <w:wordWrap w:val="0"/>
        <w:topLinePunct/>
        <w:spacing w:line="360" w:lineRule="auto"/>
        <w:rPr>
          <w:rFonts w:ascii="宋体" w:hAnsi="宋体"/>
          <w:lang w:eastAsia="zh-CN"/>
        </w:rPr>
      </w:pPr>
      <w:r>
        <w:rPr>
          <w:rFonts w:ascii="宋体" w:hAnsi="宋体"/>
          <w:lang w:eastAsia="zh-CN"/>
        </w:rPr>
        <w:t>乙方</w:t>
      </w:r>
      <w:r>
        <w:rPr>
          <w:rFonts w:hint="eastAsia" w:ascii="宋体" w:hAnsi="宋体"/>
          <w:lang w:eastAsia="zh-CN"/>
        </w:rPr>
        <w:t>（</w:t>
      </w:r>
      <w:r>
        <w:rPr>
          <w:rFonts w:hint="eastAsia" w:ascii="宋体" w:hAnsi="宋体" w:eastAsia="宋体"/>
          <w:lang w:eastAsia="zh-CN"/>
        </w:rPr>
        <w:t>成交</w:t>
      </w:r>
      <w:r>
        <w:rPr>
          <w:rFonts w:hint="eastAsia" w:ascii="宋体" w:hAnsi="宋体"/>
          <w:lang w:eastAsia="zh-CN"/>
        </w:rPr>
        <w:t>供应商）</w:t>
      </w:r>
      <w:r>
        <w:rPr>
          <w:rFonts w:ascii="宋体" w:hAnsi="宋体"/>
          <w:lang w:eastAsia="zh-CN"/>
        </w:rPr>
        <w:t>：___________________</w:t>
      </w:r>
    </w:p>
    <w:p w14:paraId="274DD175">
      <w:pPr>
        <w:kinsoku/>
        <w:wordWrap w:val="0"/>
        <w:topLinePunct/>
        <w:spacing w:line="360" w:lineRule="auto"/>
        <w:ind w:firstLine="420" w:firstLineChars="200"/>
        <w:rPr>
          <w:rFonts w:ascii="宋体" w:hAnsi="宋体"/>
          <w:lang w:eastAsia="zh-CN"/>
        </w:rPr>
      </w:pPr>
      <w:r>
        <w:rPr>
          <w:rFonts w:ascii="宋体" w:hAnsi="宋体"/>
          <w:lang w:eastAsia="zh-CN"/>
        </w:rPr>
        <w:t>甲、乙双方根据项目成交结果，依据《中华人民共和国</w:t>
      </w:r>
      <w:r>
        <w:rPr>
          <w:rFonts w:hint="eastAsia" w:ascii="宋体" w:hAnsi="宋体"/>
          <w:lang w:eastAsia="zh-CN"/>
        </w:rPr>
        <w:t>民</w:t>
      </w:r>
      <w:r>
        <w:rPr>
          <w:rFonts w:ascii="宋体" w:hAnsi="宋体"/>
          <w:lang w:eastAsia="zh-CN"/>
        </w:rPr>
        <w:t>法</w:t>
      </w:r>
      <w:r>
        <w:rPr>
          <w:rFonts w:hint="eastAsia" w:ascii="宋体" w:hAnsi="宋体"/>
          <w:lang w:eastAsia="zh-CN"/>
        </w:rPr>
        <w:t>典</w:t>
      </w:r>
      <w:r>
        <w:rPr>
          <w:rFonts w:ascii="宋体" w:hAnsi="宋体"/>
          <w:lang w:eastAsia="zh-CN"/>
        </w:rPr>
        <w:t>》并经双方协调一致，订立本采购合同。</w:t>
      </w:r>
    </w:p>
    <w:p w14:paraId="6F694706">
      <w:pPr>
        <w:kinsoku/>
        <w:wordWrap w:val="0"/>
        <w:topLinePunct/>
        <w:spacing w:line="360" w:lineRule="auto"/>
        <w:ind w:firstLine="422" w:firstLineChars="200"/>
        <w:outlineLvl w:val="0"/>
        <w:rPr>
          <w:rFonts w:ascii="宋体" w:hAnsi="宋体"/>
          <w:b/>
          <w:lang w:eastAsia="zh-CN"/>
        </w:rPr>
      </w:pPr>
      <w:bookmarkStart w:id="0" w:name="_Toc86767211"/>
      <w:r>
        <w:rPr>
          <w:rFonts w:hint="eastAsia" w:ascii="宋体" w:hAnsi="宋体"/>
          <w:b/>
          <w:lang w:eastAsia="zh-CN"/>
        </w:rPr>
        <w:t>一、委托管理事项和服务期限</w:t>
      </w:r>
      <w:bookmarkEnd w:id="0"/>
    </w:p>
    <w:p w14:paraId="34D6A2FF">
      <w:pPr>
        <w:kinsoku/>
        <w:wordWrap w:val="0"/>
        <w:topLinePunct/>
        <w:spacing w:line="360" w:lineRule="auto"/>
        <w:ind w:firstLine="420" w:firstLineChars="200"/>
        <w:rPr>
          <w:rFonts w:ascii="宋体" w:hAnsi="宋体"/>
          <w:lang w:eastAsia="zh-CN"/>
        </w:rPr>
      </w:pPr>
      <w:r>
        <w:rPr>
          <w:rFonts w:hint="eastAsia" w:ascii="宋体" w:hAnsi="宋体"/>
          <w:lang w:eastAsia="zh-CN"/>
        </w:rPr>
        <w:t>本合同就甲方委托乙方管理的事项仅做如下简要说明，具体详见甲方发出的招标文件及乙方针对本项目的投标文件阐述之相关内容。</w:t>
      </w:r>
    </w:p>
    <w:p w14:paraId="2937E72E">
      <w:pPr>
        <w:kinsoku/>
        <w:wordWrap w:val="0"/>
        <w:topLinePunct/>
        <w:spacing w:line="360" w:lineRule="auto"/>
        <w:ind w:firstLine="420" w:firstLineChars="200"/>
        <w:rPr>
          <w:rFonts w:ascii="宋体" w:hAnsi="宋体"/>
          <w:lang w:eastAsia="zh-CN"/>
        </w:rPr>
      </w:pPr>
      <w:r>
        <w:rPr>
          <w:rFonts w:hint="eastAsia" w:ascii="宋体" w:hAnsi="宋体"/>
          <w:lang w:eastAsia="zh-CN"/>
        </w:rPr>
        <w:t>服务期限具体日期自</w:t>
      </w:r>
      <w:r>
        <w:rPr>
          <w:rFonts w:hint="eastAsia" w:ascii="宋体" w:hAnsi="宋体" w:eastAsia="宋体"/>
          <w:lang w:eastAsia="zh-CN"/>
        </w:rPr>
        <w:t xml:space="preserve">  </w:t>
      </w:r>
      <w:r>
        <w:rPr>
          <w:rFonts w:hint="eastAsia" w:ascii="宋体" w:hAnsi="宋体"/>
          <w:lang w:eastAsia="zh-CN"/>
        </w:rPr>
        <w:t>年</w:t>
      </w:r>
      <w:r>
        <w:rPr>
          <w:rFonts w:hint="eastAsia" w:ascii="宋体" w:hAnsi="宋体" w:eastAsia="宋体"/>
          <w:lang w:eastAsia="zh-CN"/>
        </w:rPr>
        <w:t xml:space="preserve">  </w:t>
      </w:r>
      <w:r>
        <w:rPr>
          <w:rFonts w:hint="eastAsia" w:ascii="宋体" w:hAnsi="宋体"/>
          <w:lang w:eastAsia="zh-CN"/>
        </w:rPr>
        <w:t>月</w:t>
      </w:r>
      <w:r>
        <w:rPr>
          <w:rFonts w:hint="eastAsia" w:ascii="宋体" w:hAnsi="宋体" w:eastAsia="宋体"/>
          <w:lang w:eastAsia="zh-CN"/>
        </w:rPr>
        <w:t xml:space="preserve">  </w:t>
      </w:r>
      <w:r>
        <w:rPr>
          <w:rFonts w:hint="eastAsia" w:ascii="宋体" w:hAnsi="宋体"/>
          <w:lang w:eastAsia="zh-CN"/>
        </w:rPr>
        <w:t>日至</w:t>
      </w:r>
      <w:r>
        <w:rPr>
          <w:rFonts w:hint="eastAsia" w:ascii="宋体" w:hAnsi="宋体" w:eastAsia="宋体"/>
          <w:lang w:eastAsia="zh-CN"/>
        </w:rPr>
        <w:t xml:space="preserve">  </w:t>
      </w:r>
      <w:r>
        <w:rPr>
          <w:rFonts w:hint="eastAsia" w:ascii="宋体" w:hAnsi="宋体"/>
          <w:lang w:eastAsia="zh-CN"/>
        </w:rPr>
        <w:t>年</w:t>
      </w:r>
      <w:r>
        <w:rPr>
          <w:rFonts w:hint="eastAsia" w:ascii="宋体" w:hAnsi="宋体" w:eastAsia="宋体"/>
          <w:lang w:eastAsia="zh-CN"/>
        </w:rPr>
        <w:t xml:space="preserve">  </w:t>
      </w:r>
      <w:r>
        <w:rPr>
          <w:rFonts w:hint="eastAsia" w:ascii="宋体" w:hAnsi="宋体"/>
          <w:lang w:eastAsia="zh-CN"/>
        </w:rPr>
        <w:t>月</w:t>
      </w:r>
      <w:r>
        <w:rPr>
          <w:rFonts w:hint="eastAsia" w:ascii="宋体" w:hAnsi="宋体" w:eastAsia="宋体"/>
          <w:lang w:eastAsia="zh-CN"/>
        </w:rPr>
        <w:t xml:space="preserve">  </w:t>
      </w:r>
      <w:r>
        <w:rPr>
          <w:rFonts w:hint="eastAsia" w:ascii="宋体" w:hAnsi="宋体"/>
          <w:lang w:eastAsia="zh-CN"/>
        </w:rPr>
        <w:t>日止。</w:t>
      </w:r>
    </w:p>
    <w:p w14:paraId="60ACA1AE">
      <w:pPr>
        <w:kinsoku/>
        <w:wordWrap w:val="0"/>
        <w:topLinePunct/>
        <w:spacing w:line="360" w:lineRule="auto"/>
        <w:ind w:firstLine="422" w:firstLineChars="200"/>
        <w:outlineLvl w:val="0"/>
        <w:rPr>
          <w:rFonts w:ascii="宋体" w:hAnsi="宋体"/>
          <w:b/>
          <w:lang w:eastAsia="zh-CN"/>
        </w:rPr>
      </w:pPr>
      <w:bookmarkStart w:id="1" w:name="_Toc86767212"/>
      <w:r>
        <w:rPr>
          <w:rFonts w:hint="eastAsia" w:ascii="宋体" w:hAnsi="宋体"/>
          <w:b/>
          <w:lang w:eastAsia="zh-CN"/>
        </w:rPr>
        <w:t>二</w:t>
      </w:r>
      <w:r>
        <w:rPr>
          <w:rFonts w:ascii="宋体" w:hAnsi="宋体"/>
          <w:b/>
          <w:lang w:eastAsia="zh-CN"/>
        </w:rPr>
        <w:t>、合同文件组成及解释顺序</w:t>
      </w:r>
      <w:bookmarkEnd w:id="1"/>
    </w:p>
    <w:p w14:paraId="59C38579">
      <w:pPr>
        <w:kinsoku/>
        <w:wordWrap w:val="0"/>
        <w:topLinePunct/>
        <w:spacing w:line="360" w:lineRule="auto"/>
        <w:ind w:firstLine="420" w:firstLineChars="200"/>
        <w:rPr>
          <w:rFonts w:ascii="宋体" w:hAnsi="宋体"/>
          <w:lang w:eastAsia="zh-CN"/>
        </w:rPr>
      </w:pPr>
      <w:r>
        <w:rPr>
          <w:rFonts w:hint="eastAsia" w:ascii="宋体" w:hAnsi="宋体"/>
          <w:lang w:eastAsia="zh-CN"/>
        </w:rPr>
        <w:t>1、下列文件一起组成本合同文件：</w:t>
      </w:r>
    </w:p>
    <w:p w14:paraId="3CE45710">
      <w:pPr>
        <w:kinsoku/>
        <w:wordWrap w:val="0"/>
        <w:topLinePunct/>
        <w:spacing w:line="360" w:lineRule="auto"/>
        <w:ind w:firstLine="420" w:firstLineChars="200"/>
        <w:rPr>
          <w:rFonts w:ascii="宋体" w:hAnsi="宋体"/>
          <w:lang w:eastAsia="zh-CN"/>
        </w:rPr>
      </w:pPr>
      <w:r>
        <w:rPr>
          <w:rFonts w:hint="eastAsia" w:ascii="宋体" w:hAnsi="宋体"/>
          <w:lang w:eastAsia="zh-CN"/>
        </w:rPr>
        <w:t>（1）本采购合同；</w:t>
      </w:r>
    </w:p>
    <w:p w14:paraId="1EECCE11">
      <w:pPr>
        <w:kinsoku/>
        <w:wordWrap w:val="0"/>
        <w:topLinePunct/>
        <w:spacing w:line="360" w:lineRule="auto"/>
        <w:ind w:firstLine="420" w:firstLineChars="200"/>
        <w:rPr>
          <w:rFonts w:ascii="宋体" w:hAnsi="宋体"/>
          <w:lang w:eastAsia="zh-CN"/>
        </w:rPr>
      </w:pPr>
      <w:r>
        <w:rPr>
          <w:rFonts w:hint="eastAsia" w:ascii="宋体" w:hAnsi="宋体"/>
          <w:lang w:eastAsia="zh-CN"/>
        </w:rPr>
        <w:t>（2）</w:t>
      </w:r>
      <w:r>
        <w:rPr>
          <w:rFonts w:hint="eastAsia" w:ascii="宋体" w:hAnsi="宋体" w:eastAsia="宋体"/>
          <w:lang w:eastAsia="zh-CN"/>
        </w:rPr>
        <w:t>成交</w:t>
      </w:r>
      <w:r>
        <w:rPr>
          <w:rFonts w:hint="eastAsia" w:ascii="宋体" w:hAnsi="宋体"/>
          <w:lang w:eastAsia="zh-CN"/>
        </w:rPr>
        <w:t>通知书；</w:t>
      </w:r>
    </w:p>
    <w:p w14:paraId="7DAA2010">
      <w:pPr>
        <w:kinsoku/>
        <w:wordWrap w:val="0"/>
        <w:topLinePunct/>
        <w:spacing w:line="360" w:lineRule="auto"/>
        <w:ind w:firstLine="420" w:firstLineChars="200"/>
        <w:rPr>
          <w:rFonts w:ascii="宋体" w:hAnsi="宋体"/>
          <w:lang w:eastAsia="zh-CN"/>
        </w:rPr>
      </w:pPr>
      <w:r>
        <w:rPr>
          <w:rFonts w:hint="eastAsia" w:ascii="宋体" w:hAnsi="宋体"/>
          <w:lang w:eastAsia="zh-CN"/>
        </w:rPr>
        <w:t>（3）</w:t>
      </w:r>
      <w:r>
        <w:rPr>
          <w:rFonts w:hint="eastAsia" w:ascii="宋体" w:hAnsi="宋体" w:eastAsia="宋体"/>
          <w:lang w:eastAsia="zh-CN"/>
        </w:rPr>
        <w:t>磋商</w:t>
      </w:r>
      <w:r>
        <w:rPr>
          <w:rFonts w:hint="eastAsia" w:ascii="宋体" w:hAnsi="宋体"/>
          <w:lang w:eastAsia="zh-CN"/>
        </w:rPr>
        <w:t>文件；</w:t>
      </w:r>
    </w:p>
    <w:p w14:paraId="029D075E">
      <w:pPr>
        <w:kinsoku/>
        <w:wordWrap w:val="0"/>
        <w:topLinePunct/>
        <w:spacing w:line="360" w:lineRule="auto"/>
        <w:ind w:firstLine="420" w:firstLineChars="200"/>
        <w:rPr>
          <w:rFonts w:ascii="宋体" w:hAnsi="宋体"/>
          <w:lang w:eastAsia="zh-CN"/>
        </w:rPr>
      </w:pPr>
      <w:r>
        <w:rPr>
          <w:rFonts w:hint="eastAsia" w:ascii="宋体" w:hAnsi="宋体"/>
          <w:lang w:eastAsia="zh-CN"/>
        </w:rPr>
        <w:t>（4）</w:t>
      </w:r>
      <w:r>
        <w:rPr>
          <w:rFonts w:hint="eastAsia" w:ascii="宋体" w:hAnsi="宋体" w:eastAsia="宋体"/>
          <w:lang w:eastAsia="zh-CN"/>
        </w:rPr>
        <w:t>响应</w:t>
      </w:r>
      <w:r>
        <w:rPr>
          <w:rFonts w:ascii="宋体" w:hAnsi="宋体"/>
          <w:lang w:eastAsia="zh-CN"/>
        </w:rPr>
        <w:t>文件</w:t>
      </w:r>
      <w:r>
        <w:rPr>
          <w:rFonts w:hint="eastAsia" w:ascii="宋体" w:hAnsi="宋体"/>
          <w:lang w:eastAsia="zh-CN"/>
        </w:rPr>
        <w:t>及其补充文件；</w:t>
      </w:r>
    </w:p>
    <w:p w14:paraId="5D3056DF">
      <w:pPr>
        <w:kinsoku/>
        <w:wordWrap w:val="0"/>
        <w:topLinePunct/>
        <w:spacing w:line="360" w:lineRule="auto"/>
        <w:ind w:firstLine="420" w:firstLineChars="200"/>
        <w:rPr>
          <w:rFonts w:ascii="宋体" w:hAnsi="宋体"/>
          <w:lang w:eastAsia="zh-CN"/>
        </w:rPr>
      </w:pPr>
      <w:r>
        <w:rPr>
          <w:rFonts w:hint="eastAsia" w:ascii="宋体" w:hAnsi="宋体"/>
          <w:lang w:eastAsia="zh-CN"/>
        </w:rPr>
        <w:t>2、</w:t>
      </w:r>
      <w:r>
        <w:rPr>
          <w:rFonts w:ascii="宋体" w:hAnsi="宋体"/>
          <w:lang w:eastAsia="zh-CN"/>
        </w:rPr>
        <w:t>合同文件组成的所有内容是构成合同不可分割的部分，与合同具有同等法律效力。</w:t>
      </w:r>
      <w:r>
        <w:rPr>
          <w:rFonts w:hint="eastAsia" w:ascii="宋体" w:hAnsi="宋体"/>
          <w:lang w:eastAsia="zh-CN"/>
        </w:rPr>
        <w:t>上述文件相互补充和解释，如有不明确或不一致之处，以上述次序在先者为准。</w:t>
      </w:r>
      <w:r>
        <w:rPr>
          <w:rFonts w:ascii="宋体" w:hAnsi="宋体"/>
          <w:lang w:eastAsia="zh-CN"/>
        </w:rPr>
        <w:t>除上述合同顺序外，合同文件之间有矛盾的，以较后时间制定的为准。</w:t>
      </w:r>
    </w:p>
    <w:p w14:paraId="22818BEC">
      <w:pPr>
        <w:kinsoku/>
        <w:wordWrap w:val="0"/>
        <w:topLinePunct/>
        <w:spacing w:line="360" w:lineRule="auto"/>
        <w:ind w:firstLine="422" w:firstLineChars="200"/>
        <w:outlineLvl w:val="0"/>
        <w:rPr>
          <w:rFonts w:ascii="宋体" w:hAnsi="宋体"/>
          <w:b/>
        </w:rPr>
      </w:pPr>
      <w:bookmarkStart w:id="2" w:name="_Toc86767213"/>
      <w:r>
        <w:rPr>
          <w:rFonts w:hint="eastAsia" w:ascii="宋体" w:hAnsi="宋体"/>
          <w:b/>
        </w:rPr>
        <w:t>三、合同金额</w:t>
      </w:r>
      <w:bookmarkEnd w:id="2"/>
    </w:p>
    <w:tbl>
      <w:tblPr>
        <w:tblStyle w:val="9"/>
        <w:tblW w:w="9298" w:type="dxa"/>
        <w:tblInd w:w="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553"/>
        <w:gridCol w:w="1565"/>
        <w:gridCol w:w="1418"/>
        <w:gridCol w:w="1935"/>
        <w:gridCol w:w="1873"/>
      </w:tblGrid>
      <w:tr w14:paraId="02422B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954" w:type="dxa"/>
            <w:tcBorders>
              <w:top w:val="double" w:color="auto" w:sz="4" w:space="0"/>
              <w:left w:val="double" w:color="auto" w:sz="4" w:space="0"/>
              <w:bottom w:val="single" w:color="auto" w:sz="4" w:space="0"/>
            </w:tcBorders>
            <w:vAlign w:val="center"/>
          </w:tcPr>
          <w:p w14:paraId="5EE19E38">
            <w:pPr>
              <w:kinsoku/>
              <w:wordWrap w:val="0"/>
              <w:topLinePunct/>
              <w:spacing w:line="360" w:lineRule="auto"/>
              <w:jc w:val="center"/>
              <w:rPr>
                <w:rFonts w:ascii="宋体" w:hAnsi="宋体"/>
                <w:b/>
                <w:bCs/>
              </w:rPr>
            </w:pPr>
            <w:r>
              <w:rPr>
                <w:rFonts w:hint="eastAsia" w:ascii="宋体" w:hAnsi="宋体"/>
                <w:b/>
                <w:bCs/>
              </w:rPr>
              <w:t>序号</w:t>
            </w:r>
          </w:p>
        </w:tc>
        <w:tc>
          <w:tcPr>
            <w:tcW w:w="1553" w:type="dxa"/>
            <w:tcBorders>
              <w:top w:val="double" w:color="auto" w:sz="4" w:space="0"/>
              <w:bottom w:val="single" w:color="auto" w:sz="4" w:space="0"/>
            </w:tcBorders>
            <w:vAlign w:val="center"/>
          </w:tcPr>
          <w:p w14:paraId="107FC11C">
            <w:pPr>
              <w:kinsoku/>
              <w:wordWrap w:val="0"/>
              <w:topLinePunct/>
              <w:spacing w:line="360" w:lineRule="auto"/>
              <w:jc w:val="center"/>
              <w:rPr>
                <w:rFonts w:ascii="宋体" w:hAnsi="宋体"/>
                <w:b/>
                <w:bCs/>
              </w:rPr>
            </w:pPr>
            <w:r>
              <w:rPr>
                <w:rFonts w:hint="eastAsia" w:ascii="宋体" w:hAnsi="宋体"/>
                <w:b/>
                <w:bCs/>
              </w:rPr>
              <w:t>岗位名称</w:t>
            </w:r>
          </w:p>
        </w:tc>
        <w:tc>
          <w:tcPr>
            <w:tcW w:w="1565" w:type="dxa"/>
            <w:tcBorders>
              <w:top w:val="double" w:color="auto" w:sz="4" w:space="0"/>
              <w:bottom w:val="single" w:color="auto" w:sz="4" w:space="0"/>
            </w:tcBorders>
            <w:vAlign w:val="center"/>
          </w:tcPr>
          <w:p w14:paraId="101FFED4">
            <w:pPr>
              <w:kinsoku/>
              <w:wordWrap w:val="0"/>
              <w:topLinePunct/>
              <w:spacing w:line="360" w:lineRule="auto"/>
              <w:jc w:val="center"/>
              <w:rPr>
                <w:rFonts w:ascii="宋体" w:hAnsi="宋体"/>
                <w:b/>
                <w:bCs/>
              </w:rPr>
            </w:pPr>
            <w:r>
              <w:rPr>
                <w:rFonts w:hint="eastAsia" w:ascii="宋体" w:hAnsi="宋体"/>
                <w:b/>
                <w:bCs/>
              </w:rPr>
              <w:t>配置人数</w:t>
            </w:r>
          </w:p>
          <w:p w14:paraId="367FD293">
            <w:pPr>
              <w:kinsoku/>
              <w:wordWrap w:val="0"/>
              <w:topLinePunct/>
              <w:spacing w:line="360" w:lineRule="auto"/>
              <w:jc w:val="center"/>
              <w:rPr>
                <w:rFonts w:ascii="宋体" w:hAnsi="宋体"/>
                <w:b/>
                <w:bCs/>
              </w:rPr>
            </w:pPr>
            <w:r>
              <w:rPr>
                <w:rFonts w:hint="eastAsia" w:ascii="宋体" w:hAnsi="宋体"/>
                <w:b/>
                <w:bCs/>
              </w:rPr>
              <w:t>（人）</w:t>
            </w:r>
          </w:p>
        </w:tc>
        <w:tc>
          <w:tcPr>
            <w:tcW w:w="1418" w:type="dxa"/>
            <w:tcBorders>
              <w:top w:val="double" w:color="auto" w:sz="4" w:space="0"/>
              <w:bottom w:val="single" w:color="auto" w:sz="4" w:space="0"/>
              <w:right w:val="single" w:color="auto" w:sz="4" w:space="0"/>
            </w:tcBorders>
            <w:vAlign w:val="center"/>
          </w:tcPr>
          <w:p w14:paraId="60BE16C9">
            <w:pPr>
              <w:kinsoku/>
              <w:wordWrap w:val="0"/>
              <w:topLinePunct/>
              <w:spacing w:line="360" w:lineRule="auto"/>
              <w:jc w:val="center"/>
              <w:rPr>
                <w:rFonts w:ascii="宋体" w:hAnsi="宋体"/>
                <w:b/>
                <w:bCs/>
              </w:rPr>
            </w:pPr>
            <w:r>
              <w:rPr>
                <w:rFonts w:hint="eastAsia" w:ascii="宋体" w:hAnsi="宋体"/>
                <w:b/>
                <w:bCs/>
              </w:rPr>
              <w:t>服务时间</w:t>
            </w:r>
          </w:p>
          <w:p w14:paraId="777CFE80">
            <w:pPr>
              <w:kinsoku/>
              <w:wordWrap w:val="0"/>
              <w:topLinePunct/>
              <w:spacing w:line="360" w:lineRule="auto"/>
              <w:jc w:val="center"/>
              <w:rPr>
                <w:rFonts w:ascii="宋体" w:hAnsi="宋体"/>
                <w:b/>
                <w:bCs/>
              </w:rPr>
            </w:pPr>
            <w:r>
              <w:rPr>
                <w:rFonts w:hint="eastAsia" w:ascii="宋体" w:hAnsi="宋体"/>
                <w:b/>
                <w:bCs/>
              </w:rPr>
              <w:t>（月）</w:t>
            </w:r>
          </w:p>
        </w:tc>
        <w:tc>
          <w:tcPr>
            <w:tcW w:w="1935" w:type="dxa"/>
            <w:tcBorders>
              <w:top w:val="double" w:color="auto" w:sz="4" w:space="0"/>
              <w:bottom w:val="single" w:color="auto" w:sz="4" w:space="0"/>
              <w:right w:val="single" w:color="auto" w:sz="4" w:space="0"/>
            </w:tcBorders>
            <w:vAlign w:val="center"/>
          </w:tcPr>
          <w:p w14:paraId="113C5A68">
            <w:pPr>
              <w:kinsoku/>
              <w:wordWrap w:val="0"/>
              <w:topLinePunct/>
              <w:spacing w:line="360" w:lineRule="auto"/>
              <w:jc w:val="center"/>
              <w:rPr>
                <w:rFonts w:ascii="宋体" w:hAnsi="宋体"/>
                <w:b/>
                <w:bCs/>
                <w:lang w:eastAsia="zh-CN"/>
              </w:rPr>
            </w:pPr>
            <w:r>
              <w:rPr>
                <w:rFonts w:hint="eastAsia" w:ascii="宋体" w:hAnsi="宋体"/>
                <w:b/>
                <w:bCs/>
                <w:lang w:eastAsia="zh-CN"/>
              </w:rPr>
              <w:t>综合单价</w:t>
            </w:r>
          </w:p>
          <w:p w14:paraId="5364FC74">
            <w:pPr>
              <w:kinsoku/>
              <w:wordWrap w:val="0"/>
              <w:topLinePunct/>
              <w:spacing w:line="360" w:lineRule="auto"/>
              <w:jc w:val="center"/>
              <w:rPr>
                <w:rFonts w:ascii="宋体" w:hAnsi="宋体"/>
                <w:b/>
                <w:bCs/>
                <w:lang w:eastAsia="zh-CN"/>
              </w:rPr>
            </w:pPr>
            <w:r>
              <w:rPr>
                <w:rFonts w:hint="eastAsia" w:ascii="宋体" w:hAnsi="宋体"/>
                <w:b/>
                <w:bCs/>
                <w:lang w:eastAsia="zh-CN"/>
              </w:rPr>
              <w:t>（元/人·月）</w:t>
            </w:r>
          </w:p>
        </w:tc>
        <w:tc>
          <w:tcPr>
            <w:tcW w:w="1873" w:type="dxa"/>
            <w:tcBorders>
              <w:top w:val="double" w:color="auto" w:sz="4" w:space="0"/>
              <w:bottom w:val="single" w:color="auto" w:sz="4" w:space="0"/>
              <w:right w:val="double" w:color="auto" w:sz="4" w:space="0"/>
            </w:tcBorders>
            <w:vAlign w:val="center"/>
          </w:tcPr>
          <w:p w14:paraId="6435E294">
            <w:pPr>
              <w:kinsoku/>
              <w:wordWrap w:val="0"/>
              <w:topLinePunct/>
              <w:spacing w:line="360" w:lineRule="auto"/>
              <w:jc w:val="center"/>
              <w:rPr>
                <w:rFonts w:ascii="宋体" w:hAnsi="宋体"/>
                <w:b/>
                <w:bCs/>
              </w:rPr>
            </w:pPr>
            <w:r>
              <w:rPr>
                <w:rFonts w:hint="eastAsia" w:ascii="宋体" w:hAnsi="宋体"/>
                <w:b/>
                <w:bCs/>
              </w:rPr>
              <w:t>合价（元/年）</w:t>
            </w:r>
          </w:p>
        </w:tc>
      </w:tr>
      <w:tr w14:paraId="7EDD92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4" w:type="dxa"/>
            <w:tcBorders>
              <w:top w:val="single" w:color="auto" w:sz="4" w:space="0"/>
              <w:left w:val="double" w:color="auto" w:sz="4" w:space="0"/>
              <w:bottom w:val="single" w:color="auto" w:sz="4" w:space="0"/>
            </w:tcBorders>
            <w:vAlign w:val="center"/>
          </w:tcPr>
          <w:p w14:paraId="3F9CB722">
            <w:pPr>
              <w:kinsoku/>
              <w:wordWrap w:val="0"/>
              <w:topLinePunct/>
              <w:spacing w:line="360" w:lineRule="auto"/>
              <w:jc w:val="center"/>
              <w:rPr>
                <w:rFonts w:ascii="宋体" w:hAnsi="宋体"/>
              </w:rPr>
            </w:pPr>
            <w:r>
              <w:rPr>
                <w:rFonts w:ascii="宋体" w:hAnsi="宋体"/>
              </w:rPr>
              <w:t>1</w:t>
            </w:r>
          </w:p>
        </w:tc>
        <w:tc>
          <w:tcPr>
            <w:tcW w:w="1553" w:type="dxa"/>
            <w:tcBorders>
              <w:top w:val="single" w:color="auto" w:sz="4" w:space="0"/>
              <w:bottom w:val="single" w:color="auto" w:sz="4" w:space="0"/>
            </w:tcBorders>
            <w:vAlign w:val="center"/>
          </w:tcPr>
          <w:p w14:paraId="7A2A737C">
            <w:pPr>
              <w:kinsoku/>
              <w:wordWrap w:val="0"/>
              <w:topLinePunct/>
              <w:spacing w:line="360" w:lineRule="auto"/>
              <w:jc w:val="center"/>
              <w:rPr>
                <w:rFonts w:ascii="宋体" w:hAnsi="宋体"/>
                <w:bCs/>
              </w:rPr>
            </w:pPr>
          </w:p>
        </w:tc>
        <w:tc>
          <w:tcPr>
            <w:tcW w:w="1565" w:type="dxa"/>
            <w:tcBorders>
              <w:top w:val="single" w:color="auto" w:sz="4" w:space="0"/>
              <w:bottom w:val="single" w:color="auto" w:sz="4" w:space="0"/>
            </w:tcBorders>
            <w:vAlign w:val="center"/>
          </w:tcPr>
          <w:p w14:paraId="499D4E9D">
            <w:pPr>
              <w:kinsoku/>
              <w:wordWrap w:val="0"/>
              <w:topLinePunct/>
              <w:spacing w:line="360" w:lineRule="auto"/>
              <w:jc w:val="center"/>
              <w:rPr>
                <w:rFonts w:ascii="宋体" w:hAnsi="宋体"/>
                <w:bCs/>
              </w:rPr>
            </w:pPr>
          </w:p>
        </w:tc>
        <w:tc>
          <w:tcPr>
            <w:tcW w:w="1418" w:type="dxa"/>
            <w:tcBorders>
              <w:top w:val="single" w:color="auto" w:sz="4" w:space="0"/>
              <w:bottom w:val="single" w:color="auto" w:sz="4" w:space="0"/>
              <w:right w:val="single" w:color="auto" w:sz="4" w:space="0"/>
            </w:tcBorders>
            <w:vAlign w:val="center"/>
          </w:tcPr>
          <w:p w14:paraId="32DDAC89">
            <w:pPr>
              <w:kinsoku/>
              <w:wordWrap w:val="0"/>
              <w:topLinePunct/>
              <w:spacing w:line="360" w:lineRule="auto"/>
              <w:jc w:val="center"/>
              <w:rPr>
                <w:rFonts w:ascii="宋体" w:hAnsi="宋体"/>
                <w:bCs/>
              </w:rPr>
            </w:pPr>
          </w:p>
        </w:tc>
        <w:tc>
          <w:tcPr>
            <w:tcW w:w="1935" w:type="dxa"/>
            <w:tcBorders>
              <w:top w:val="single" w:color="auto" w:sz="4" w:space="0"/>
              <w:bottom w:val="single" w:color="auto" w:sz="4" w:space="0"/>
              <w:right w:val="single" w:color="auto" w:sz="4" w:space="0"/>
            </w:tcBorders>
            <w:vAlign w:val="center"/>
          </w:tcPr>
          <w:p w14:paraId="7D30D2E4">
            <w:pPr>
              <w:kinsoku/>
              <w:wordWrap w:val="0"/>
              <w:topLinePunct/>
              <w:spacing w:line="360" w:lineRule="auto"/>
              <w:jc w:val="center"/>
              <w:rPr>
                <w:rFonts w:ascii="宋体" w:hAnsi="宋体"/>
                <w:bCs/>
              </w:rPr>
            </w:pPr>
          </w:p>
        </w:tc>
        <w:tc>
          <w:tcPr>
            <w:tcW w:w="1873" w:type="dxa"/>
            <w:tcBorders>
              <w:top w:val="single" w:color="auto" w:sz="4" w:space="0"/>
              <w:bottom w:val="single" w:color="auto" w:sz="4" w:space="0"/>
              <w:right w:val="double" w:color="auto" w:sz="4" w:space="0"/>
            </w:tcBorders>
            <w:vAlign w:val="center"/>
          </w:tcPr>
          <w:p w14:paraId="55176DD6">
            <w:pPr>
              <w:kinsoku/>
              <w:wordWrap w:val="0"/>
              <w:topLinePunct/>
              <w:spacing w:line="360" w:lineRule="auto"/>
              <w:jc w:val="center"/>
              <w:rPr>
                <w:rFonts w:ascii="宋体" w:hAnsi="宋体"/>
                <w:bCs/>
              </w:rPr>
            </w:pPr>
          </w:p>
        </w:tc>
      </w:tr>
      <w:tr w14:paraId="0B9E8E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4" w:type="dxa"/>
            <w:tcBorders>
              <w:top w:val="single" w:color="auto" w:sz="4" w:space="0"/>
              <w:left w:val="double" w:color="auto" w:sz="4" w:space="0"/>
              <w:bottom w:val="single" w:color="auto" w:sz="4" w:space="0"/>
            </w:tcBorders>
            <w:vAlign w:val="center"/>
          </w:tcPr>
          <w:p w14:paraId="15398286">
            <w:pPr>
              <w:kinsoku/>
              <w:wordWrap w:val="0"/>
              <w:topLinePunct/>
              <w:spacing w:line="360" w:lineRule="auto"/>
              <w:jc w:val="center"/>
              <w:rPr>
                <w:rFonts w:ascii="宋体" w:hAnsi="宋体"/>
              </w:rPr>
            </w:pPr>
            <w:r>
              <w:rPr>
                <w:rFonts w:ascii="宋体" w:hAnsi="宋体"/>
              </w:rPr>
              <w:t>2</w:t>
            </w:r>
          </w:p>
        </w:tc>
        <w:tc>
          <w:tcPr>
            <w:tcW w:w="1553" w:type="dxa"/>
            <w:tcBorders>
              <w:top w:val="single" w:color="auto" w:sz="4" w:space="0"/>
              <w:bottom w:val="single" w:color="auto" w:sz="4" w:space="0"/>
            </w:tcBorders>
            <w:vAlign w:val="center"/>
          </w:tcPr>
          <w:p w14:paraId="5A511B54">
            <w:pPr>
              <w:kinsoku/>
              <w:wordWrap w:val="0"/>
              <w:topLinePunct/>
              <w:spacing w:line="360" w:lineRule="auto"/>
              <w:jc w:val="center"/>
              <w:rPr>
                <w:rFonts w:ascii="宋体" w:hAnsi="宋体"/>
                <w:bCs/>
              </w:rPr>
            </w:pPr>
          </w:p>
        </w:tc>
        <w:tc>
          <w:tcPr>
            <w:tcW w:w="1565" w:type="dxa"/>
            <w:tcBorders>
              <w:top w:val="single" w:color="auto" w:sz="4" w:space="0"/>
              <w:bottom w:val="single" w:color="auto" w:sz="4" w:space="0"/>
            </w:tcBorders>
            <w:vAlign w:val="center"/>
          </w:tcPr>
          <w:p w14:paraId="74925EBF">
            <w:pPr>
              <w:kinsoku/>
              <w:wordWrap w:val="0"/>
              <w:topLinePunct/>
              <w:spacing w:line="360" w:lineRule="auto"/>
              <w:jc w:val="center"/>
              <w:rPr>
                <w:rFonts w:ascii="宋体" w:hAnsi="宋体"/>
                <w:bCs/>
              </w:rPr>
            </w:pPr>
          </w:p>
        </w:tc>
        <w:tc>
          <w:tcPr>
            <w:tcW w:w="1418" w:type="dxa"/>
            <w:tcBorders>
              <w:top w:val="single" w:color="auto" w:sz="4" w:space="0"/>
              <w:bottom w:val="single" w:color="auto" w:sz="4" w:space="0"/>
              <w:right w:val="single" w:color="auto" w:sz="4" w:space="0"/>
            </w:tcBorders>
            <w:vAlign w:val="center"/>
          </w:tcPr>
          <w:p w14:paraId="2E49C18B">
            <w:pPr>
              <w:kinsoku/>
              <w:wordWrap w:val="0"/>
              <w:topLinePunct/>
              <w:spacing w:line="360" w:lineRule="auto"/>
              <w:jc w:val="center"/>
              <w:rPr>
                <w:rFonts w:ascii="宋体" w:hAnsi="宋体"/>
                <w:bCs/>
              </w:rPr>
            </w:pPr>
          </w:p>
        </w:tc>
        <w:tc>
          <w:tcPr>
            <w:tcW w:w="1935" w:type="dxa"/>
            <w:tcBorders>
              <w:top w:val="single" w:color="auto" w:sz="4" w:space="0"/>
              <w:bottom w:val="single" w:color="auto" w:sz="4" w:space="0"/>
              <w:right w:val="single" w:color="auto" w:sz="4" w:space="0"/>
            </w:tcBorders>
            <w:vAlign w:val="center"/>
          </w:tcPr>
          <w:p w14:paraId="5E92CA96">
            <w:pPr>
              <w:kinsoku/>
              <w:wordWrap w:val="0"/>
              <w:topLinePunct/>
              <w:spacing w:line="360" w:lineRule="auto"/>
              <w:jc w:val="center"/>
              <w:rPr>
                <w:rFonts w:ascii="宋体" w:hAnsi="宋体"/>
                <w:bCs/>
              </w:rPr>
            </w:pPr>
          </w:p>
        </w:tc>
        <w:tc>
          <w:tcPr>
            <w:tcW w:w="1873" w:type="dxa"/>
            <w:tcBorders>
              <w:top w:val="single" w:color="auto" w:sz="4" w:space="0"/>
              <w:bottom w:val="single" w:color="auto" w:sz="4" w:space="0"/>
              <w:right w:val="double" w:color="auto" w:sz="4" w:space="0"/>
            </w:tcBorders>
            <w:vAlign w:val="center"/>
          </w:tcPr>
          <w:p w14:paraId="4072B535">
            <w:pPr>
              <w:kinsoku/>
              <w:wordWrap w:val="0"/>
              <w:topLinePunct/>
              <w:spacing w:line="360" w:lineRule="auto"/>
              <w:jc w:val="center"/>
              <w:rPr>
                <w:rFonts w:ascii="宋体" w:hAnsi="宋体"/>
                <w:bCs/>
              </w:rPr>
            </w:pPr>
          </w:p>
        </w:tc>
      </w:tr>
      <w:tr w14:paraId="6F691A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4" w:type="dxa"/>
            <w:tcBorders>
              <w:top w:val="single" w:color="auto" w:sz="4" w:space="0"/>
              <w:left w:val="double" w:color="auto" w:sz="4" w:space="0"/>
              <w:bottom w:val="single" w:color="auto" w:sz="4" w:space="0"/>
            </w:tcBorders>
            <w:vAlign w:val="center"/>
          </w:tcPr>
          <w:p w14:paraId="5CCD4240">
            <w:pPr>
              <w:kinsoku/>
              <w:wordWrap w:val="0"/>
              <w:topLinePunct/>
              <w:spacing w:line="360" w:lineRule="auto"/>
              <w:jc w:val="center"/>
              <w:rPr>
                <w:rFonts w:ascii="宋体" w:hAnsi="宋体"/>
              </w:rPr>
            </w:pPr>
            <w:r>
              <w:rPr>
                <w:rFonts w:hint="eastAsia" w:ascii="宋体" w:hAnsi="宋体"/>
              </w:rPr>
              <w:t>3</w:t>
            </w:r>
          </w:p>
        </w:tc>
        <w:tc>
          <w:tcPr>
            <w:tcW w:w="1553" w:type="dxa"/>
            <w:tcBorders>
              <w:top w:val="single" w:color="auto" w:sz="4" w:space="0"/>
              <w:bottom w:val="single" w:color="auto" w:sz="4" w:space="0"/>
            </w:tcBorders>
            <w:vAlign w:val="center"/>
          </w:tcPr>
          <w:p w14:paraId="49738038">
            <w:pPr>
              <w:kinsoku/>
              <w:wordWrap w:val="0"/>
              <w:topLinePunct/>
              <w:spacing w:line="360" w:lineRule="auto"/>
              <w:jc w:val="center"/>
              <w:rPr>
                <w:rFonts w:ascii="宋体" w:hAnsi="宋体"/>
                <w:bCs/>
              </w:rPr>
            </w:pPr>
          </w:p>
        </w:tc>
        <w:tc>
          <w:tcPr>
            <w:tcW w:w="1565" w:type="dxa"/>
            <w:tcBorders>
              <w:top w:val="single" w:color="auto" w:sz="4" w:space="0"/>
              <w:bottom w:val="single" w:color="auto" w:sz="4" w:space="0"/>
            </w:tcBorders>
            <w:vAlign w:val="center"/>
          </w:tcPr>
          <w:p w14:paraId="6F0ABE8E">
            <w:pPr>
              <w:kinsoku/>
              <w:wordWrap w:val="0"/>
              <w:topLinePunct/>
              <w:spacing w:line="360" w:lineRule="auto"/>
              <w:jc w:val="center"/>
              <w:rPr>
                <w:rFonts w:ascii="宋体" w:hAnsi="宋体"/>
                <w:bCs/>
              </w:rPr>
            </w:pPr>
          </w:p>
        </w:tc>
        <w:tc>
          <w:tcPr>
            <w:tcW w:w="1418" w:type="dxa"/>
            <w:tcBorders>
              <w:top w:val="single" w:color="auto" w:sz="4" w:space="0"/>
              <w:bottom w:val="single" w:color="auto" w:sz="4" w:space="0"/>
              <w:right w:val="single" w:color="auto" w:sz="4" w:space="0"/>
            </w:tcBorders>
            <w:vAlign w:val="center"/>
          </w:tcPr>
          <w:p w14:paraId="0A3D421A">
            <w:pPr>
              <w:kinsoku/>
              <w:wordWrap w:val="0"/>
              <w:topLinePunct/>
              <w:spacing w:line="360" w:lineRule="auto"/>
              <w:jc w:val="center"/>
              <w:rPr>
                <w:rFonts w:ascii="宋体" w:hAnsi="宋体"/>
                <w:bCs/>
              </w:rPr>
            </w:pPr>
          </w:p>
        </w:tc>
        <w:tc>
          <w:tcPr>
            <w:tcW w:w="1935" w:type="dxa"/>
            <w:tcBorders>
              <w:top w:val="single" w:color="auto" w:sz="4" w:space="0"/>
              <w:bottom w:val="single" w:color="auto" w:sz="4" w:space="0"/>
              <w:right w:val="single" w:color="auto" w:sz="4" w:space="0"/>
            </w:tcBorders>
            <w:vAlign w:val="center"/>
          </w:tcPr>
          <w:p w14:paraId="6B1DA44D">
            <w:pPr>
              <w:kinsoku/>
              <w:wordWrap w:val="0"/>
              <w:topLinePunct/>
              <w:spacing w:line="360" w:lineRule="auto"/>
              <w:jc w:val="center"/>
              <w:rPr>
                <w:rFonts w:ascii="宋体" w:hAnsi="宋体"/>
                <w:bCs/>
              </w:rPr>
            </w:pPr>
          </w:p>
        </w:tc>
        <w:tc>
          <w:tcPr>
            <w:tcW w:w="1873" w:type="dxa"/>
            <w:tcBorders>
              <w:top w:val="single" w:color="auto" w:sz="4" w:space="0"/>
              <w:bottom w:val="single" w:color="auto" w:sz="4" w:space="0"/>
              <w:right w:val="double" w:color="auto" w:sz="4" w:space="0"/>
            </w:tcBorders>
            <w:vAlign w:val="center"/>
          </w:tcPr>
          <w:p w14:paraId="6B351B66">
            <w:pPr>
              <w:kinsoku/>
              <w:wordWrap w:val="0"/>
              <w:topLinePunct/>
              <w:spacing w:line="360" w:lineRule="auto"/>
              <w:jc w:val="center"/>
              <w:rPr>
                <w:rFonts w:ascii="宋体" w:hAnsi="宋体"/>
                <w:bCs/>
              </w:rPr>
            </w:pPr>
          </w:p>
        </w:tc>
      </w:tr>
      <w:tr w14:paraId="70BADD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4" w:type="dxa"/>
            <w:tcBorders>
              <w:top w:val="single" w:color="auto" w:sz="4" w:space="0"/>
              <w:left w:val="double" w:color="auto" w:sz="4" w:space="0"/>
              <w:bottom w:val="single" w:color="auto" w:sz="4" w:space="0"/>
            </w:tcBorders>
            <w:vAlign w:val="center"/>
          </w:tcPr>
          <w:p w14:paraId="2E3BE912">
            <w:pPr>
              <w:kinsoku/>
              <w:wordWrap w:val="0"/>
              <w:topLinePunct/>
              <w:spacing w:line="360" w:lineRule="auto"/>
              <w:jc w:val="center"/>
              <w:rPr>
                <w:rFonts w:ascii="宋体" w:hAnsi="宋体"/>
              </w:rPr>
            </w:pPr>
            <w:r>
              <w:rPr>
                <w:rFonts w:hint="eastAsia" w:ascii="宋体" w:hAnsi="宋体"/>
              </w:rPr>
              <w:t>4</w:t>
            </w:r>
          </w:p>
        </w:tc>
        <w:tc>
          <w:tcPr>
            <w:tcW w:w="1553" w:type="dxa"/>
            <w:tcBorders>
              <w:top w:val="single" w:color="auto" w:sz="4" w:space="0"/>
              <w:bottom w:val="single" w:color="auto" w:sz="4" w:space="0"/>
            </w:tcBorders>
            <w:vAlign w:val="center"/>
          </w:tcPr>
          <w:p w14:paraId="4B6916B4">
            <w:pPr>
              <w:kinsoku/>
              <w:wordWrap w:val="0"/>
              <w:topLinePunct/>
              <w:spacing w:line="360" w:lineRule="auto"/>
              <w:jc w:val="center"/>
              <w:rPr>
                <w:rFonts w:ascii="宋体" w:hAnsi="宋体"/>
                <w:bCs/>
              </w:rPr>
            </w:pPr>
          </w:p>
        </w:tc>
        <w:tc>
          <w:tcPr>
            <w:tcW w:w="1565" w:type="dxa"/>
            <w:tcBorders>
              <w:top w:val="single" w:color="auto" w:sz="4" w:space="0"/>
              <w:bottom w:val="single" w:color="auto" w:sz="4" w:space="0"/>
            </w:tcBorders>
            <w:vAlign w:val="center"/>
          </w:tcPr>
          <w:p w14:paraId="1998D5F4">
            <w:pPr>
              <w:kinsoku/>
              <w:wordWrap w:val="0"/>
              <w:topLinePunct/>
              <w:spacing w:line="360" w:lineRule="auto"/>
              <w:jc w:val="center"/>
              <w:rPr>
                <w:rFonts w:ascii="宋体" w:hAnsi="宋体"/>
                <w:bCs/>
              </w:rPr>
            </w:pPr>
          </w:p>
        </w:tc>
        <w:tc>
          <w:tcPr>
            <w:tcW w:w="1418" w:type="dxa"/>
            <w:tcBorders>
              <w:top w:val="single" w:color="auto" w:sz="4" w:space="0"/>
              <w:bottom w:val="single" w:color="auto" w:sz="4" w:space="0"/>
              <w:right w:val="single" w:color="auto" w:sz="4" w:space="0"/>
            </w:tcBorders>
            <w:vAlign w:val="center"/>
          </w:tcPr>
          <w:p w14:paraId="1754ADF6">
            <w:pPr>
              <w:kinsoku/>
              <w:wordWrap w:val="0"/>
              <w:topLinePunct/>
              <w:spacing w:line="360" w:lineRule="auto"/>
              <w:jc w:val="center"/>
              <w:rPr>
                <w:rFonts w:ascii="宋体" w:hAnsi="宋体"/>
                <w:bCs/>
              </w:rPr>
            </w:pPr>
          </w:p>
        </w:tc>
        <w:tc>
          <w:tcPr>
            <w:tcW w:w="1935" w:type="dxa"/>
            <w:tcBorders>
              <w:top w:val="single" w:color="auto" w:sz="4" w:space="0"/>
              <w:bottom w:val="single" w:color="auto" w:sz="4" w:space="0"/>
              <w:right w:val="single" w:color="auto" w:sz="4" w:space="0"/>
            </w:tcBorders>
            <w:vAlign w:val="center"/>
          </w:tcPr>
          <w:p w14:paraId="26A27250">
            <w:pPr>
              <w:kinsoku/>
              <w:wordWrap w:val="0"/>
              <w:topLinePunct/>
              <w:spacing w:line="360" w:lineRule="auto"/>
              <w:jc w:val="center"/>
              <w:rPr>
                <w:rFonts w:ascii="宋体" w:hAnsi="宋体"/>
                <w:bCs/>
              </w:rPr>
            </w:pPr>
          </w:p>
        </w:tc>
        <w:tc>
          <w:tcPr>
            <w:tcW w:w="1873" w:type="dxa"/>
            <w:tcBorders>
              <w:top w:val="single" w:color="auto" w:sz="4" w:space="0"/>
              <w:bottom w:val="single" w:color="auto" w:sz="4" w:space="0"/>
              <w:right w:val="double" w:color="auto" w:sz="4" w:space="0"/>
            </w:tcBorders>
            <w:vAlign w:val="center"/>
          </w:tcPr>
          <w:p w14:paraId="41082687">
            <w:pPr>
              <w:kinsoku/>
              <w:wordWrap w:val="0"/>
              <w:topLinePunct/>
              <w:spacing w:line="360" w:lineRule="auto"/>
              <w:jc w:val="center"/>
              <w:rPr>
                <w:rFonts w:ascii="宋体" w:hAnsi="宋体"/>
                <w:bCs/>
              </w:rPr>
            </w:pPr>
          </w:p>
        </w:tc>
      </w:tr>
      <w:tr w14:paraId="1CF7C7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4" w:type="dxa"/>
            <w:tcBorders>
              <w:top w:val="single" w:color="auto" w:sz="4" w:space="0"/>
              <w:left w:val="double" w:color="auto" w:sz="4" w:space="0"/>
              <w:bottom w:val="single" w:color="auto" w:sz="4" w:space="0"/>
            </w:tcBorders>
            <w:vAlign w:val="center"/>
          </w:tcPr>
          <w:p w14:paraId="4BC173BB">
            <w:pPr>
              <w:kinsoku/>
              <w:wordWrap w:val="0"/>
              <w:topLinePunct/>
              <w:spacing w:line="360" w:lineRule="auto"/>
              <w:jc w:val="center"/>
              <w:rPr>
                <w:rFonts w:ascii="宋体" w:hAnsi="宋体"/>
              </w:rPr>
            </w:pPr>
            <w:r>
              <w:rPr>
                <w:rFonts w:hint="eastAsia" w:ascii="宋体" w:hAnsi="宋体"/>
              </w:rPr>
              <w:t>5</w:t>
            </w:r>
          </w:p>
        </w:tc>
        <w:tc>
          <w:tcPr>
            <w:tcW w:w="1553" w:type="dxa"/>
            <w:tcBorders>
              <w:top w:val="single" w:color="auto" w:sz="4" w:space="0"/>
              <w:bottom w:val="single" w:color="auto" w:sz="4" w:space="0"/>
            </w:tcBorders>
            <w:vAlign w:val="center"/>
          </w:tcPr>
          <w:p w14:paraId="5781B0D0">
            <w:pPr>
              <w:kinsoku/>
              <w:wordWrap w:val="0"/>
              <w:topLinePunct/>
              <w:spacing w:line="360" w:lineRule="auto"/>
              <w:jc w:val="center"/>
              <w:rPr>
                <w:rFonts w:ascii="宋体" w:hAnsi="宋体"/>
                <w:bCs/>
              </w:rPr>
            </w:pPr>
          </w:p>
        </w:tc>
        <w:tc>
          <w:tcPr>
            <w:tcW w:w="1565" w:type="dxa"/>
            <w:tcBorders>
              <w:top w:val="single" w:color="auto" w:sz="4" w:space="0"/>
              <w:bottom w:val="single" w:color="auto" w:sz="4" w:space="0"/>
            </w:tcBorders>
            <w:vAlign w:val="center"/>
          </w:tcPr>
          <w:p w14:paraId="2568FA46">
            <w:pPr>
              <w:kinsoku/>
              <w:wordWrap w:val="0"/>
              <w:topLinePunct/>
              <w:spacing w:line="360" w:lineRule="auto"/>
              <w:jc w:val="center"/>
              <w:rPr>
                <w:rFonts w:ascii="宋体" w:hAnsi="宋体"/>
                <w:bCs/>
              </w:rPr>
            </w:pPr>
          </w:p>
        </w:tc>
        <w:tc>
          <w:tcPr>
            <w:tcW w:w="1418" w:type="dxa"/>
            <w:tcBorders>
              <w:top w:val="single" w:color="auto" w:sz="4" w:space="0"/>
              <w:bottom w:val="single" w:color="auto" w:sz="4" w:space="0"/>
              <w:right w:val="single" w:color="auto" w:sz="4" w:space="0"/>
            </w:tcBorders>
            <w:vAlign w:val="center"/>
          </w:tcPr>
          <w:p w14:paraId="475619AF">
            <w:pPr>
              <w:kinsoku/>
              <w:wordWrap w:val="0"/>
              <w:topLinePunct/>
              <w:spacing w:line="360" w:lineRule="auto"/>
              <w:jc w:val="center"/>
              <w:rPr>
                <w:rFonts w:ascii="宋体" w:hAnsi="宋体"/>
                <w:bCs/>
              </w:rPr>
            </w:pPr>
          </w:p>
        </w:tc>
        <w:tc>
          <w:tcPr>
            <w:tcW w:w="1935" w:type="dxa"/>
            <w:tcBorders>
              <w:top w:val="single" w:color="auto" w:sz="4" w:space="0"/>
              <w:bottom w:val="single" w:color="auto" w:sz="4" w:space="0"/>
              <w:right w:val="single" w:color="auto" w:sz="4" w:space="0"/>
            </w:tcBorders>
            <w:vAlign w:val="center"/>
          </w:tcPr>
          <w:p w14:paraId="4D2428A3">
            <w:pPr>
              <w:kinsoku/>
              <w:wordWrap w:val="0"/>
              <w:topLinePunct/>
              <w:spacing w:line="360" w:lineRule="auto"/>
              <w:jc w:val="center"/>
              <w:rPr>
                <w:rFonts w:ascii="宋体" w:hAnsi="宋体"/>
                <w:bCs/>
              </w:rPr>
            </w:pPr>
          </w:p>
        </w:tc>
        <w:tc>
          <w:tcPr>
            <w:tcW w:w="1873" w:type="dxa"/>
            <w:tcBorders>
              <w:top w:val="single" w:color="auto" w:sz="4" w:space="0"/>
              <w:bottom w:val="single" w:color="auto" w:sz="4" w:space="0"/>
              <w:right w:val="double" w:color="auto" w:sz="4" w:space="0"/>
            </w:tcBorders>
            <w:vAlign w:val="center"/>
          </w:tcPr>
          <w:p w14:paraId="7F37DBCA">
            <w:pPr>
              <w:kinsoku/>
              <w:wordWrap w:val="0"/>
              <w:topLinePunct/>
              <w:spacing w:line="360" w:lineRule="auto"/>
              <w:jc w:val="center"/>
              <w:rPr>
                <w:rFonts w:ascii="宋体" w:hAnsi="宋体"/>
                <w:bCs/>
              </w:rPr>
            </w:pPr>
          </w:p>
        </w:tc>
      </w:tr>
      <w:tr w14:paraId="65B2B6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4" w:type="dxa"/>
            <w:tcBorders>
              <w:top w:val="single" w:color="auto" w:sz="4" w:space="0"/>
              <w:left w:val="double" w:color="auto" w:sz="4" w:space="0"/>
              <w:bottom w:val="single" w:color="auto" w:sz="4" w:space="0"/>
            </w:tcBorders>
            <w:vAlign w:val="center"/>
          </w:tcPr>
          <w:p w14:paraId="68B7C647">
            <w:pPr>
              <w:kinsoku/>
              <w:wordWrap w:val="0"/>
              <w:topLinePunct/>
              <w:spacing w:line="360" w:lineRule="auto"/>
              <w:jc w:val="center"/>
              <w:rPr>
                <w:rFonts w:ascii="宋体" w:hAnsi="宋体"/>
              </w:rPr>
            </w:pPr>
            <w:r>
              <w:rPr>
                <w:rFonts w:hint="eastAsia" w:ascii="宋体" w:hAnsi="宋体"/>
              </w:rPr>
              <w:t>6</w:t>
            </w:r>
          </w:p>
        </w:tc>
        <w:tc>
          <w:tcPr>
            <w:tcW w:w="1553" w:type="dxa"/>
            <w:tcBorders>
              <w:top w:val="single" w:color="auto" w:sz="4" w:space="0"/>
              <w:bottom w:val="single" w:color="auto" w:sz="4" w:space="0"/>
            </w:tcBorders>
            <w:vAlign w:val="center"/>
          </w:tcPr>
          <w:p w14:paraId="6D3E7957">
            <w:pPr>
              <w:kinsoku/>
              <w:wordWrap w:val="0"/>
              <w:topLinePunct/>
              <w:spacing w:line="360" w:lineRule="auto"/>
              <w:jc w:val="center"/>
              <w:rPr>
                <w:rFonts w:ascii="宋体" w:hAnsi="宋体"/>
                <w:bCs/>
              </w:rPr>
            </w:pPr>
          </w:p>
        </w:tc>
        <w:tc>
          <w:tcPr>
            <w:tcW w:w="1565" w:type="dxa"/>
            <w:tcBorders>
              <w:top w:val="single" w:color="auto" w:sz="4" w:space="0"/>
              <w:bottom w:val="single" w:color="auto" w:sz="4" w:space="0"/>
            </w:tcBorders>
            <w:vAlign w:val="center"/>
          </w:tcPr>
          <w:p w14:paraId="10C1FFDC">
            <w:pPr>
              <w:kinsoku/>
              <w:wordWrap w:val="0"/>
              <w:topLinePunct/>
              <w:spacing w:line="360" w:lineRule="auto"/>
              <w:jc w:val="center"/>
              <w:rPr>
                <w:rFonts w:ascii="宋体" w:hAnsi="宋体"/>
                <w:bCs/>
              </w:rPr>
            </w:pPr>
          </w:p>
        </w:tc>
        <w:tc>
          <w:tcPr>
            <w:tcW w:w="1418" w:type="dxa"/>
            <w:tcBorders>
              <w:top w:val="single" w:color="auto" w:sz="4" w:space="0"/>
              <w:bottom w:val="single" w:color="auto" w:sz="4" w:space="0"/>
              <w:right w:val="single" w:color="auto" w:sz="4" w:space="0"/>
            </w:tcBorders>
            <w:vAlign w:val="center"/>
          </w:tcPr>
          <w:p w14:paraId="7D815B22">
            <w:pPr>
              <w:kinsoku/>
              <w:wordWrap w:val="0"/>
              <w:topLinePunct/>
              <w:spacing w:line="360" w:lineRule="auto"/>
              <w:jc w:val="center"/>
              <w:rPr>
                <w:rFonts w:ascii="宋体" w:hAnsi="宋体"/>
                <w:bCs/>
              </w:rPr>
            </w:pPr>
          </w:p>
        </w:tc>
        <w:tc>
          <w:tcPr>
            <w:tcW w:w="1935" w:type="dxa"/>
            <w:tcBorders>
              <w:top w:val="single" w:color="auto" w:sz="4" w:space="0"/>
              <w:bottom w:val="single" w:color="auto" w:sz="4" w:space="0"/>
              <w:right w:val="single" w:color="auto" w:sz="4" w:space="0"/>
            </w:tcBorders>
            <w:vAlign w:val="center"/>
          </w:tcPr>
          <w:p w14:paraId="66921ABD">
            <w:pPr>
              <w:kinsoku/>
              <w:wordWrap w:val="0"/>
              <w:topLinePunct/>
              <w:spacing w:line="360" w:lineRule="auto"/>
              <w:jc w:val="center"/>
              <w:rPr>
                <w:rFonts w:ascii="宋体" w:hAnsi="宋体"/>
                <w:bCs/>
              </w:rPr>
            </w:pPr>
          </w:p>
        </w:tc>
        <w:tc>
          <w:tcPr>
            <w:tcW w:w="1873" w:type="dxa"/>
            <w:tcBorders>
              <w:top w:val="single" w:color="auto" w:sz="4" w:space="0"/>
              <w:bottom w:val="single" w:color="auto" w:sz="4" w:space="0"/>
              <w:right w:val="double" w:color="auto" w:sz="4" w:space="0"/>
            </w:tcBorders>
            <w:vAlign w:val="center"/>
          </w:tcPr>
          <w:p w14:paraId="0E18BA60">
            <w:pPr>
              <w:kinsoku/>
              <w:wordWrap w:val="0"/>
              <w:topLinePunct/>
              <w:spacing w:line="360" w:lineRule="auto"/>
              <w:jc w:val="center"/>
              <w:rPr>
                <w:rFonts w:ascii="宋体" w:hAnsi="宋体"/>
                <w:bCs/>
              </w:rPr>
            </w:pPr>
          </w:p>
        </w:tc>
      </w:tr>
      <w:tr w14:paraId="6DA5F5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07" w:type="dxa"/>
            <w:gridSpan w:val="2"/>
            <w:tcBorders>
              <w:top w:val="single" w:color="auto" w:sz="4" w:space="0"/>
              <w:left w:val="double" w:color="auto" w:sz="4" w:space="0"/>
              <w:bottom w:val="single" w:color="auto" w:sz="4" w:space="0"/>
            </w:tcBorders>
            <w:vAlign w:val="center"/>
          </w:tcPr>
          <w:p w14:paraId="13FF5EB4">
            <w:pPr>
              <w:kinsoku/>
              <w:wordWrap w:val="0"/>
              <w:topLinePunct/>
              <w:spacing w:line="360" w:lineRule="auto"/>
              <w:jc w:val="center"/>
              <w:rPr>
                <w:rFonts w:ascii="宋体" w:hAnsi="宋体"/>
              </w:rPr>
            </w:pPr>
            <w:r>
              <w:rPr>
                <w:rFonts w:hint="eastAsia" w:ascii="宋体" w:hAnsi="宋体"/>
              </w:rPr>
              <w:t>合计</w:t>
            </w:r>
          </w:p>
        </w:tc>
        <w:tc>
          <w:tcPr>
            <w:tcW w:w="1565" w:type="dxa"/>
            <w:tcBorders>
              <w:top w:val="single" w:color="auto" w:sz="4" w:space="0"/>
              <w:bottom w:val="single" w:color="auto" w:sz="4" w:space="0"/>
            </w:tcBorders>
            <w:vAlign w:val="center"/>
          </w:tcPr>
          <w:p w14:paraId="46E0DF87">
            <w:pPr>
              <w:kinsoku/>
              <w:wordWrap w:val="0"/>
              <w:topLinePunct/>
              <w:spacing w:line="360" w:lineRule="auto"/>
              <w:jc w:val="center"/>
              <w:rPr>
                <w:rFonts w:ascii="宋体" w:hAnsi="宋体"/>
              </w:rPr>
            </w:pPr>
          </w:p>
        </w:tc>
        <w:tc>
          <w:tcPr>
            <w:tcW w:w="1418" w:type="dxa"/>
            <w:tcBorders>
              <w:top w:val="single" w:color="auto" w:sz="4" w:space="0"/>
              <w:bottom w:val="single" w:color="auto" w:sz="4" w:space="0"/>
              <w:right w:val="single" w:color="auto" w:sz="4" w:space="0"/>
            </w:tcBorders>
            <w:vAlign w:val="center"/>
          </w:tcPr>
          <w:p w14:paraId="3BEC2A77">
            <w:pPr>
              <w:kinsoku/>
              <w:wordWrap w:val="0"/>
              <w:topLinePunct/>
              <w:spacing w:line="360" w:lineRule="auto"/>
              <w:jc w:val="center"/>
              <w:rPr>
                <w:rFonts w:ascii="宋体" w:hAnsi="宋体"/>
                <w:bCs/>
              </w:rPr>
            </w:pPr>
          </w:p>
        </w:tc>
        <w:tc>
          <w:tcPr>
            <w:tcW w:w="1935" w:type="dxa"/>
            <w:tcBorders>
              <w:top w:val="single" w:color="auto" w:sz="4" w:space="0"/>
              <w:bottom w:val="single" w:color="auto" w:sz="4" w:space="0"/>
              <w:right w:val="single" w:color="auto" w:sz="4" w:space="0"/>
            </w:tcBorders>
            <w:vAlign w:val="center"/>
          </w:tcPr>
          <w:p w14:paraId="6E25EAB3">
            <w:pPr>
              <w:kinsoku/>
              <w:wordWrap w:val="0"/>
              <w:topLinePunct/>
              <w:spacing w:line="360" w:lineRule="auto"/>
              <w:jc w:val="center"/>
              <w:rPr>
                <w:rFonts w:ascii="宋体" w:hAnsi="宋体"/>
                <w:bCs/>
              </w:rPr>
            </w:pPr>
          </w:p>
        </w:tc>
        <w:tc>
          <w:tcPr>
            <w:tcW w:w="1873" w:type="dxa"/>
            <w:tcBorders>
              <w:top w:val="single" w:color="auto" w:sz="4" w:space="0"/>
              <w:bottom w:val="single" w:color="auto" w:sz="4" w:space="0"/>
              <w:right w:val="double" w:color="auto" w:sz="4" w:space="0"/>
            </w:tcBorders>
            <w:vAlign w:val="center"/>
          </w:tcPr>
          <w:p w14:paraId="3FA9BC34">
            <w:pPr>
              <w:kinsoku/>
              <w:wordWrap w:val="0"/>
              <w:topLinePunct/>
              <w:spacing w:line="360" w:lineRule="auto"/>
              <w:jc w:val="center"/>
              <w:rPr>
                <w:rFonts w:ascii="宋体" w:hAnsi="宋体"/>
                <w:bCs/>
              </w:rPr>
            </w:pPr>
          </w:p>
        </w:tc>
      </w:tr>
      <w:tr w14:paraId="191973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490" w:type="dxa"/>
            <w:gridSpan w:val="4"/>
            <w:tcBorders>
              <w:top w:val="single" w:color="auto" w:sz="4" w:space="0"/>
              <w:left w:val="double" w:color="auto" w:sz="4" w:space="0"/>
              <w:bottom w:val="double" w:color="auto" w:sz="4" w:space="0"/>
              <w:right w:val="single" w:color="auto" w:sz="4" w:space="0"/>
            </w:tcBorders>
            <w:vAlign w:val="center"/>
          </w:tcPr>
          <w:p w14:paraId="12C33F97">
            <w:pPr>
              <w:kinsoku/>
              <w:wordWrap w:val="0"/>
              <w:topLinePunct/>
              <w:spacing w:line="360" w:lineRule="auto"/>
              <w:jc w:val="center"/>
              <w:rPr>
                <w:rFonts w:ascii="宋体" w:hAnsi="宋体"/>
              </w:rPr>
            </w:pPr>
            <w:r>
              <w:rPr>
                <w:rFonts w:hint="eastAsia" w:ascii="宋体" w:hAnsi="宋体"/>
                <w:b/>
              </w:rPr>
              <w:t>合同金额</w:t>
            </w:r>
          </w:p>
        </w:tc>
        <w:tc>
          <w:tcPr>
            <w:tcW w:w="3808" w:type="dxa"/>
            <w:gridSpan w:val="2"/>
            <w:tcBorders>
              <w:top w:val="single" w:color="auto" w:sz="4" w:space="0"/>
              <w:left w:val="single" w:color="auto" w:sz="4" w:space="0"/>
              <w:bottom w:val="double" w:color="auto" w:sz="4" w:space="0"/>
              <w:right w:val="double" w:color="auto" w:sz="4" w:space="0"/>
            </w:tcBorders>
            <w:vAlign w:val="center"/>
          </w:tcPr>
          <w:p w14:paraId="676B43EB">
            <w:pPr>
              <w:kinsoku/>
              <w:wordWrap w:val="0"/>
              <w:topLinePunct/>
              <w:spacing w:line="360" w:lineRule="auto"/>
              <w:jc w:val="center"/>
              <w:rPr>
                <w:rFonts w:ascii="宋体" w:hAnsi="宋体"/>
              </w:rPr>
            </w:pPr>
            <w:r>
              <w:rPr>
                <w:rFonts w:hint="eastAsia" w:ascii="宋体" w:hAnsi="宋体"/>
              </w:rPr>
              <w:t>￥元/年</w:t>
            </w:r>
          </w:p>
        </w:tc>
      </w:tr>
    </w:tbl>
    <w:p w14:paraId="007D3D3F">
      <w:pPr>
        <w:kinsoku/>
        <w:wordWrap w:val="0"/>
        <w:topLinePunct/>
        <w:spacing w:line="360" w:lineRule="auto"/>
        <w:ind w:firstLine="420" w:firstLineChars="200"/>
        <w:rPr>
          <w:rFonts w:ascii="宋体" w:hAnsi="宋体"/>
          <w:lang w:eastAsia="zh-CN"/>
        </w:rPr>
      </w:pPr>
      <w:r>
        <w:rPr>
          <w:rFonts w:hint="eastAsia" w:ascii="宋体" w:hAnsi="宋体"/>
          <w:lang w:eastAsia="zh-CN"/>
        </w:rPr>
        <w:t>合同金额包括但不仅限于完成本项目所需的人工费、加班费、防暑降温费用、过节费、各种税费、管理费、社会保险、通讯补贴、伙食、住宿、员工体检费、人员装备及办公设备费（设备及耗材）、技术支持与培训及相关劳务支出、维修工具等全部费用以及乙方企业利润、税金和政策性文件规定及合同包含的所有风险、责任等各项应有费用。除非因特殊原因并经双方协商同意，乙方不得再要求追加任何费用。同时，除非合同条款中另有规定，否则，合同金额在合同实施期间不因市场变化和政策因素而变动。</w:t>
      </w:r>
    </w:p>
    <w:p w14:paraId="5FA35A53">
      <w:pPr>
        <w:kinsoku/>
        <w:wordWrap w:val="0"/>
        <w:topLinePunct/>
        <w:spacing w:line="360" w:lineRule="auto"/>
        <w:ind w:firstLine="422" w:firstLineChars="200"/>
        <w:outlineLvl w:val="0"/>
        <w:rPr>
          <w:rFonts w:ascii="宋体" w:hAnsi="宋体"/>
          <w:b/>
          <w:lang w:eastAsia="zh-CN"/>
        </w:rPr>
      </w:pPr>
      <w:bookmarkStart w:id="3" w:name="_Toc86767214"/>
      <w:r>
        <w:rPr>
          <w:rFonts w:hint="eastAsia" w:ascii="宋体" w:hAnsi="宋体"/>
          <w:b/>
          <w:lang w:eastAsia="zh-CN"/>
        </w:rPr>
        <w:t>四、支付方式</w:t>
      </w:r>
      <w:bookmarkEnd w:id="3"/>
    </w:p>
    <w:p w14:paraId="18CD0416">
      <w:pPr>
        <w:kinsoku/>
        <w:wordWrap w:val="0"/>
        <w:topLinePunct/>
        <w:spacing w:line="360" w:lineRule="auto"/>
        <w:ind w:firstLine="420" w:firstLineChars="200"/>
        <w:rPr>
          <w:rFonts w:hint="eastAsia" w:ascii="宋体" w:hAnsi="宋体" w:eastAsia="宋体"/>
          <w:lang w:eastAsia="zh-CN"/>
        </w:rPr>
      </w:pPr>
      <w:r>
        <w:rPr>
          <w:rFonts w:hint="eastAsia" w:ascii="宋体" w:hAnsi="宋体" w:eastAsia="宋体"/>
          <w:lang w:eastAsia="zh-CN"/>
        </w:rPr>
        <w:t>（与响应文件一致）</w:t>
      </w:r>
    </w:p>
    <w:p w14:paraId="0C228E72">
      <w:pPr>
        <w:kinsoku/>
        <w:wordWrap w:val="0"/>
        <w:topLinePunct/>
        <w:spacing w:line="360" w:lineRule="auto"/>
        <w:ind w:firstLine="420" w:firstLineChars="200"/>
        <w:rPr>
          <w:rFonts w:ascii="宋体" w:hAnsi="宋体"/>
          <w:lang w:eastAsia="zh-CN"/>
        </w:rPr>
      </w:pPr>
      <w:r>
        <w:rPr>
          <w:rFonts w:hint="eastAsia" w:ascii="宋体" w:hAnsi="宋体" w:eastAsia="宋体"/>
          <w:lang w:eastAsia="zh-CN"/>
        </w:rPr>
        <w:t>注：</w:t>
      </w:r>
      <w:r>
        <w:rPr>
          <w:rFonts w:hint="eastAsia" w:ascii="宋体" w:hAnsi="宋体"/>
          <w:lang w:eastAsia="zh-CN"/>
        </w:rPr>
        <w:t>在合同执行期间，员工工资不得低于</w:t>
      </w:r>
      <w:r>
        <w:rPr>
          <w:rFonts w:hint="eastAsia" w:ascii="宋体" w:hAnsi="宋体" w:eastAsia="宋体"/>
          <w:lang w:eastAsia="zh-CN"/>
        </w:rPr>
        <w:t>西安市</w:t>
      </w:r>
      <w:r>
        <w:rPr>
          <w:rFonts w:hint="eastAsia" w:ascii="宋体" w:hAnsi="宋体"/>
          <w:lang w:eastAsia="zh-CN"/>
        </w:rPr>
        <w:t>规定的当年最低工资标准，所有人员必须按规定缴纳社会保险，不得低于</w:t>
      </w:r>
      <w:r>
        <w:rPr>
          <w:rFonts w:hint="eastAsia" w:ascii="宋体" w:hAnsi="宋体" w:eastAsia="宋体"/>
          <w:lang w:eastAsia="zh-CN"/>
        </w:rPr>
        <w:t>西安市</w:t>
      </w:r>
      <w:r>
        <w:rPr>
          <w:rFonts w:hint="eastAsia" w:ascii="宋体" w:hAnsi="宋体"/>
          <w:lang w:eastAsia="zh-CN"/>
        </w:rPr>
        <w:t>规定的当年社保缴费数。乙方在履行合同过程中，如遇国家最低保障工资和社保基数的政策调整，甲方不作补助，此费用由乙方自行承担。</w:t>
      </w:r>
    </w:p>
    <w:p w14:paraId="24BF65B6">
      <w:pPr>
        <w:kinsoku/>
        <w:wordWrap w:val="0"/>
        <w:topLinePunct/>
        <w:spacing w:line="360" w:lineRule="auto"/>
        <w:ind w:firstLine="422" w:firstLineChars="200"/>
        <w:outlineLvl w:val="0"/>
        <w:rPr>
          <w:rFonts w:ascii="宋体" w:hAnsi="宋体"/>
          <w:b/>
          <w:lang w:eastAsia="zh-CN"/>
        </w:rPr>
      </w:pPr>
      <w:bookmarkStart w:id="4" w:name="_Toc86767216"/>
      <w:r>
        <w:rPr>
          <w:rFonts w:hint="eastAsia" w:ascii="宋体" w:hAnsi="宋体"/>
          <w:b/>
          <w:lang w:eastAsia="zh-CN"/>
        </w:rPr>
        <w:t>六</w:t>
      </w:r>
      <w:r>
        <w:rPr>
          <w:rFonts w:ascii="宋体" w:hAnsi="宋体"/>
          <w:b/>
          <w:lang w:eastAsia="zh-CN"/>
        </w:rPr>
        <w:t>、</w:t>
      </w:r>
      <w:r>
        <w:rPr>
          <w:rFonts w:hint="eastAsia" w:ascii="宋体" w:hAnsi="宋体"/>
          <w:b/>
          <w:lang w:eastAsia="zh-CN"/>
        </w:rPr>
        <w:t>甲、乙双方权利和义务</w:t>
      </w:r>
      <w:bookmarkEnd w:id="4"/>
    </w:p>
    <w:p w14:paraId="5DADB6BB">
      <w:pPr>
        <w:kinsoku/>
        <w:wordWrap w:val="0"/>
        <w:topLinePunct/>
        <w:spacing w:line="360" w:lineRule="auto"/>
        <w:ind w:firstLine="420" w:firstLineChars="200"/>
        <w:outlineLvl w:val="0"/>
        <w:rPr>
          <w:rFonts w:ascii="宋体" w:hAnsi="宋体"/>
          <w:lang w:eastAsia="zh-CN"/>
        </w:rPr>
      </w:pPr>
      <w:bookmarkStart w:id="5" w:name="_Toc86767217"/>
      <w:r>
        <w:rPr>
          <w:rFonts w:hint="eastAsia" w:ascii="宋体" w:hAnsi="宋体"/>
          <w:lang w:eastAsia="zh-CN"/>
        </w:rPr>
        <w:t>1、甲方</w:t>
      </w:r>
      <w:bookmarkEnd w:id="5"/>
    </w:p>
    <w:p w14:paraId="6C4805F0">
      <w:pPr>
        <w:kinsoku/>
        <w:wordWrap w:val="0"/>
        <w:topLinePunct/>
        <w:spacing w:line="360" w:lineRule="auto"/>
        <w:ind w:firstLine="420" w:firstLineChars="200"/>
        <w:rPr>
          <w:rFonts w:ascii="宋体" w:hAnsi="宋体"/>
          <w:lang w:eastAsia="zh-CN"/>
        </w:rPr>
      </w:pPr>
      <w:r>
        <w:rPr>
          <w:rFonts w:hint="eastAsia" w:ascii="宋体" w:hAnsi="宋体"/>
          <w:lang w:eastAsia="zh-CN"/>
        </w:rPr>
        <w:t>（1）代表和维护产权人、使用人的合法权益；审定乙方制定的管理服务方案、制度；</w:t>
      </w:r>
    </w:p>
    <w:p w14:paraId="2218B882">
      <w:pPr>
        <w:kinsoku/>
        <w:wordWrap w:val="0"/>
        <w:topLinePunct/>
        <w:spacing w:line="360" w:lineRule="auto"/>
        <w:ind w:firstLine="420" w:firstLineChars="200"/>
        <w:rPr>
          <w:rFonts w:ascii="宋体" w:hAnsi="宋体"/>
          <w:lang w:eastAsia="zh-CN"/>
        </w:rPr>
      </w:pPr>
      <w:r>
        <w:rPr>
          <w:rFonts w:hint="eastAsia" w:ascii="宋体" w:hAnsi="宋体"/>
          <w:lang w:eastAsia="zh-CN"/>
        </w:rPr>
        <w:t>（2）检查监督乙方根据招标文件、投标文件及管理方案的实施和制度的实行情况；</w:t>
      </w:r>
    </w:p>
    <w:p w14:paraId="296B117E">
      <w:pPr>
        <w:kinsoku/>
        <w:wordWrap w:val="0"/>
        <w:topLinePunct/>
        <w:spacing w:line="360" w:lineRule="auto"/>
        <w:ind w:firstLine="420" w:firstLineChars="200"/>
        <w:rPr>
          <w:rFonts w:ascii="宋体" w:hAnsi="宋体"/>
          <w:lang w:eastAsia="zh-CN"/>
        </w:rPr>
      </w:pPr>
      <w:r>
        <w:rPr>
          <w:rFonts w:hint="eastAsia" w:ascii="宋体" w:hAnsi="宋体"/>
          <w:lang w:eastAsia="zh-CN"/>
        </w:rPr>
        <w:t>（3）审议乙方制订的年度管理计划；</w:t>
      </w:r>
    </w:p>
    <w:p w14:paraId="0B8AE671">
      <w:pPr>
        <w:kinsoku/>
        <w:wordWrap w:val="0"/>
        <w:topLinePunct/>
        <w:spacing w:line="360" w:lineRule="auto"/>
        <w:ind w:firstLine="420" w:firstLineChars="200"/>
        <w:rPr>
          <w:rFonts w:ascii="宋体" w:hAnsi="宋体"/>
          <w:lang w:eastAsia="zh-CN"/>
        </w:rPr>
      </w:pPr>
      <w:r>
        <w:rPr>
          <w:rFonts w:hint="eastAsia" w:ascii="宋体" w:hAnsi="宋体"/>
          <w:lang w:eastAsia="zh-CN"/>
        </w:rPr>
        <w:t>（4）按本合同的规定支付费用，并按有关规定提供给乙方必要的管理用房；</w:t>
      </w:r>
    </w:p>
    <w:p w14:paraId="6AB74475">
      <w:pPr>
        <w:kinsoku/>
        <w:wordWrap w:val="0"/>
        <w:topLinePunct/>
        <w:spacing w:line="360" w:lineRule="auto"/>
        <w:ind w:firstLine="420" w:firstLineChars="200"/>
        <w:rPr>
          <w:rFonts w:ascii="宋体" w:hAnsi="宋体"/>
          <w:lang w:eastAsia="zh-CN"/>
        </w:rPr>
      </w:pPr>
      <w:r>
        <w:rPr>
          <w:rFonts w:hint="eastAsia" w:ascii="宋体" w:hAnsi="宋体"/>
          <w:lang w:eastAsia="zh-CN"/>
        </w:rPr>
        <w:t>（5）负责对乙方执行日常工作的监督及乙方派驻现场的工作人员的监督；</w:t>
      </w:r>
    </w:p>
    <w:p w14:paraId="13CA1A51">
      <w:pPr>
        <w:kinsoku/>
        <w:wordWrap w:val="0"/>
        <w:topLinePunct/>
        <w:spacing w:line="360" w:lineRule="auto"/>
        <w:ind w:firstLine="420" w:firstLineChars="200"/>
        <w:rPr>
          <w:rFonts w:ascii="宋体" w:hAnsi="宋体"/>
          <w:lang w:eastAsia="zh-CN"/>
        </w:rPr>
      </w:pPr>
      <w:r>
        <w:rPr>
          <w:rFonts w:hint="eastAsia" w:ascii="宋体" w:hAnsi="宋体"/>
          <w:lang w:eastAsia="zh-CN"/>
        </w:rPr>
        <w:t>（6）协助乙方做好服务管理工作的宣传教育和文化活动；</w:t>
      </w:r>
    </w:p>
    <w:p w14:paraId="4B6058C9">
      <w:pPr>
        <w:kinsoku/>
        <w:wordWrap w:val="0"/>
        <w:topLinePunct/>
        <w:spacing w:line="360" w:lineRule="auto"/>
        <w:ind w:firstLine="420" w:firstLineChars="200"/>
        <w:rPr>
          <w:rFonts w:ascii="宋体" w:hAnsi="宋体"/>
          <w:lang w:eastAsia="zh-CN"/>
        </w:rPr>
      </w:pPr>
      <w:r>
        <w:rPr>
          <w:rFonts w:hint="eastAsia" w:ascii="宋体" w:hAnsi="宋体"/>
          <w:lang w:eastAsia="zh-CN"/>
        </w:rPr>
        <w:t>（7）处理合同期间在管理服务工作中需甲方出面协调的问题；</w:t>
      </w:r>
    </w:p>
    <w:p w14:paraId="4A3AFC2C">
      <w:pPr>
        <w:kinsoku/>
        <w:wordWrap w:val="0"/>
        <w:topLinePunct/>
        <w:spacing w:line="360" w:lineRule="auto"/>
        <w:ind w:firstLine="420" w:firstLineChars="200"/>
        <w:outlineLvl w:val="0"/>
        <w:rPr>
          <w:rFonts w:ascii="宋体" w:hAnsi="宋体"/>
          <w:lang w:eastAsia="zh-CN"/>
        </w:rPr>
      </w:pPr>
      <w:bookmarkStart w:id="6" w:name="_Toc86767218"/>
      <w:r>
        <w:rPr>
          <w:rFonts w:hint="eastAsia" w:ascii="宋体" w:hAnsi="宋体"/>
          <w:lang w:eastAsia="zh-CN"/>
        </w:rPr>
        <w:t>（8）负责对乙方管理服务工作质量的考核，考核标准详见招标文件。</w:t>
      </w:r>
      <w:bookmarkEnd w:id="6"/>
    </w:p>
    <w:p w14:paraId="53E90611">
      <w:pPr>
        <w:kinsoku/>
        <w:wordWrap w:val="0"/>
        <w:topLinePunct/>
        <w:spacing w:line="360" w:lineRule="auto"/>
        <w:ind w:firstLine="420" w:firstLineChars="200"/>
        <w:outlineLvl w:val="0"/>
        <w:rPr>
          <w:rFonts w:ascii="宋体" w:hAnsi="宋体"/>
          <w:lang w:eastAsia="zh-CN"/>
        </w:rPr>
      </w:pPr>
      <w:bookmarkStart w:id="7" w:name="_Toc86767219"/>
      <w:r>
        <w:rPr>
          <w:rFonts w:hint="eastAsia" w:ascii="宋体" w:hAnsi="宋体"/>
          <w:lang w:eastAsia="zh-CN"/>
        </w:rPr>
        <w:t>2、乙方</w:t>
      </w:r>
      <w:bookmarkEnd w:id="7"/>
    </w:p>
    <w:p w14:paraId="2D9A8B1A">
      <w:pPr>
        <w:kinsoku/>
        <w:wordWrap w:val="0"/>
        <w:topLinePunct/>
        <w:spacing w:line="360" w:lineRule="auto"/>
        <w:ind w:firstLine="420" w:firstLineChars="200"/>
        <w:rPr>
          <w:rFonts w:ascii="宋体" w:hAnsi="宋体"/>
          <w:lang w:eastAsia="zh-CN"/>
        </w:rPr>
      </w:pPr>
      <w:r>
        <w:rPr>
          <w:rFonts w:hint="eastAsia" w:ascii="宋体" w:hAnsi="宋体"/>
          <w:lang w:eastAsia="zh-CN"/>
        </w:rPr>
        <w:t>（1）根据有关法律、法规及招标文件的约定，制定管理服务方案及实施方案，按方案书的承诺履行合同，并配合甲方监管人员的业务检查，接受服务监管考核制度的约束，其考核结果作为费用正常支付和续签合同的重要依据；</w:t>
      </w:r>
    </w:p>
    <w:p w14:paraId="1CD71E84">
      <w:pPr>
        <w:kinsoku/>
        <w:wordWrap w:val="0"/>
        <w:topLinePunct/>
        <w:spacing w:line="360" w:lineRule="auto"/>
        <w:ind w:firstLine="420" w:firstLineChars="200"/>
        <w:rPr>
          <w:rFonts w:ascii="宋体" w:hAnsi="宋体"/>
          <w:lang w:eastAsia="zh-CN"/>
        </w:rPr>
      </w:pPr>
      <w:r>
        <w:rPr>
          <w:rFonts w:hint="eastAsia" w:ascii="宋体" w:hAnsi="宋体"/>
          <w:lang w:eastAsia="zh-CN"/>
        </w:rPr>
        <w:t>（2）需建立健全管理档案资料，并做好各项保密工作；</w:t>
      </w:r>
    </w:p>
    <w:p w14:paraId="03BA7F08">
      <w:pPr>
        <w:kinsoku/>
        <w:wordWrap w:val="0"/>
        <w:topLinePunct/>
        <w:spacing w:line="360" w:lineRule="auto"/>
        <w:ind w:firstLine="420" w:firstLineChars="200"/>
        <w:rPr>
          <w:rFonts w:ascii="宋体" w:hAnsi="宋体"/>
          <w:lang w:eastAsia="zh-CN"/>
        </w:rPr>
      </w:pPr>
      <w:r>
        <w:rPr>
          <w:rFonts w:hint="eastAsia" w:ascii="宋体" w:hAnsi="宋体"/>
          <w:lang w:eastAsia="zh-CN"/>
        </w:rPr>
        <w:t>（3）应认真听取甲方提出的建议和意见，并接受甲方的考核管理规定，对在服务管理中出现的问题和薄弱环节应立即整改；</w:t>
      </w:r>
    </w:p>
    <w:p w14:paraId="24A7F78D">
      <w:pPr>
        <w:kinsoku/>
        <w:wordWrap w:val="0"/>
        <w:topLinePunct/>
        <w:spacing w:line="360" w:lineRule="auto"/>
        <w:ind w:firstLine="420" w:firstLineChars="200"/>
        <w:rPr>
          <w:rFonts w:ascii="宋体" w:hAnsi="宋体"/>
          <w:lang w:eastAsia="zh-CN"/>
        </w:rPr>
      </w:pPr>
      <w:r>
        <w:rPr>
          <w:rFonts w:hint="eastAsia" w:ascii="宋体" w:hAnsi="宋体"/>
          <w:lang w:eastAsia="zh-CN"/>
        </w:rPr>
        <w:t>（4）对服务人员违反法规、规章的行为，根据情节轻重，采取批评、规劝、警告、制止等措施或提请有关部门处理；</w:t>
      </w:r>
    </w:p>
    <w:p w14:paraId="5AD0A50D">
      <w:pPr>
        <w:kinsoku/>
        <w:wordWrap w:val="0"/>
        <w:topLinePunct/>
        <w:spacing w:line="360" w:lineRule="auto"/>
        <w:ind w:firstLine="420" w:firstLineChars="200"/>
        <w:rPr>
          <w:rFonts w:ascii="宋体" w:hAnsi="宋体"/>
          <w:lang w:eastAsia="zh-CN"/>
        </w:rPr>
      </w:pPr>
      <w:r>
        <w:rPr>
          <w:rFonts w:hint="eastAsia" w:ascii="宋体" w:hAnsi="宋体"/>
          <w:lang w:eastAsia="zh-CN"/>
        </w:rPr>
        <w:t>（5）加强治安形势教育和加强内部管理，根据开展的工作进度适时调整管理办法；</w:t>
      </w:r>
    </w:p>
    <w:p w14:paraId="1158D2D8">
      <w:pPr>
        <w:kinsoku/>
        <w:wordWrap w:val="0"/>
        <w:topLinePunct/>
        <w:spacing w:line="360" w:lineRule="auto"/>
        <w:ind w:firstLine="420" w:firstLineChars="200"/>
        <w:rPr>
          <w:rFonts w:ascii="宋体" w:hAnsi="宋体"/>
          <w:lang w:eastAsia="zh-CN"/>
        </w:rPr>
      </w:pPr>
      <w:r>
        <w:rPr>
          <w:rFonts w:hint="eastAsia" w:ascii="宋体" w:hAnsi="宋体"/>
          <w:lang w:eastAsia="zh-CN"/>
        </w:rPr>
        <w:t>（6）负责编制服务年度计划、费用收支情况及时报甲方；</w:t>
      </w:r>
    </w:p>
    <w:p w14:paraId="179D6A42">
      <w:pPr>
        <w:kinsoku/>
        <w:wordWrap w:val="0"/>
        <w:topLinePunct/>
        <w:spacing w:line="360" w:lineRule="auto"/>
        <w:ind w:firstLine="420" w:firstLineChars="200"/>
        <w:rPr>
          <w:rFonts w:ascii="宋体" w:hAnsi="宋体"/>
          <w:lang w:eastAsia="zh-CN"/>
        </w:rPr>
      </w:pPr>
      <w:r>
        <w:rPr>
          <w:rFonts w:hint="eastAsia" w:ascii="宋体" w:hAnsi="宋体"/>
          <w:lang w:eastAsia="zh-CN"/>
        </w:rPr>
        <w:t>（7）进入甲方工作的相关人员必须经严格培训，经考核合格后上岗，要求身体健康，无犯罪等不良记录；</w:t>
      </w:r>
    </w:p>
    <w:p w14:paraId="0D022BE3">
      <w:pPr>
        <w:kinsoku/>
        <w:wordWrap w:val="0"/>
        <w:topLinePunct/>
        <w:spacing w:line="360" w:lineRule="auto"/>
        <w:ind w:firstLine="420" w:firstLineChars="200"/>
        <w:rPr>
          <w:rFonts w:ascii="宋体" w:hAnsi="宋体"/>
          <w:lang w:eastAsia="zh-CN"/>
        </w:rPr>
      </w:pPr>
      <w:r>
        <w:rPr>
          <w:rFonts w:hint="eastAsia" w:ascii="宋体" w:hAnsi="宋体"/>
          <w:lang w:eastAsia="zh-CN"/>
        </w:rPr>
        <w:t>（8）乙方应按照甲方要求做好日常节能工作；</w:t>
      </w:r>
    </w:p>
    <w:p w14:paraId="275A6900">
      <w:pPr>
        <w:kinsoku/>
        <w:wordWrap w:val="0"/>
        <w:topLinePunct/>
        <w:spacing w:line="360" w:lineRule="auto"/>
        <w:ind w:firstLine="420" w:firstLineChars="200"/>
        <w:rPr>
          <w:rFonts w:ascii="宋体" w:hAnsi="宋体"/>
          <w:lang w:eastAsia="zh-CN"/>
        </w:rPr>
      </w:pPr>
      <w:r>
        <w:rPr>
          <w:rFonts w:hint="eastAsia" w:ascii="宋体" w:hAnsi="宋体"/>
          <w:lang w:eastAsia="zh-CN"/>
        </w:rPr>
        <w:t>（9）对公共设施不得擅自占用和改变使用功能，如需扩建或完善配套项目，须事先征得甲方同意，并报有关部门批准后，方可实施；</w:t>
      </w:r>
    </w:p>
    <w:p w14:paraId="527AEE0E">
      <w:pPr>
        <w:kinsoku/>
        <w:wordWrap w:val="0"/>
        <w:topLinePunct/>
        <w:spacing w:line="360" w:lineRule="auto"/>
        <w:ind w:firstLine="420" w:firstLineChars="200"/>
        <w:rPr>
          <w:rFonts w:ascii="宋体" w:hAnsi="宋体"/>
          <w:lang w:eastAsia="zh-CN"/>
        </w:rPr>
      </w:pPr>
      <w:r>
        <w:rPr>
          <w:rFonts w:hint="eastAsia" w:ascii="宋体" w:hAnsi="宋体"/>
          <w:lang w:eastAsia="zh-CN"/>
        </w:rPr>
        <w:t>（10）本合同终止时，乙方必须向甲方移交全部管理用房、甲方资产及全部的管理档案资料；</w:t>
      </w:r>
    </w:p>
    <w:p w14:paraId="510B6CBF">
      <w:pPr>
        <w:kinsoku/>
        <w:wordWrap w:val="0"/>
        <w:topLinePunct/>
        <w:spacing w:line="360" w:lineRule="auto"/>
        <w:ind w:firstLine="420" w:firstLineChars="200"/>
        <w:outlineLvl w:val="0"/>
        <w:rPr>
          <w:rFonts w:ascii="宋体" w:hAnsi="宋体"/>
          <w:lang w:eastAsia="zh-CN"/>
        </w:rPr>
      </w:pPr>
      <w:bookmarkStart w:id="8" w:name="_Toc86767220"/>
      <w:r>
        <w:rPr>
          <w:rFonts w:hint="eastAsia" w:ascii="宋体" w:hAnsi="宋体"/>
          <w:lang w:eastAsia="zh-CN"/>
        </w:rPr>
        <w:t>（11）乙方按有关规定为全体员工缴纳社会保险、人身意外伤害险等。</w:t>
      </w:r>
      <w:bookmarkEnd w:id="8"/>
    </w:p>
    <w:p w14:paraId="3E57B72D">
      <w:pPr>
        <w:kinsoku/>
        <w:wordWrap w:val="0"/>
        <w:topLinePunct/>
        <w:spacing w:line="360" w:lineRule="auto"/>
        <w:ind w:firstLine="422" w:firstLineChars="200"/>
        <w:outlineLvl w:val="0"/>
        <w:rPr>
          <w:rFonts w:ascii="宋体" w:hAnsi="宋体"/>
          <w:b/>
          <w:lang w:eastAsia="zh-CN"/>
        </w:rPr>
      </w:pPr>
      <w:bookmarkStart w:id="9" w:name="_Toc86767221"/>
      <w:r>
        <w:rPr>
          <w:rFonts w:hint="eastAsia" w:ascii="宋体" w:hAnsi="宋体"/>
          <w:b/>
          <w:lang w:eastAsia="zh-CN"/>
        </w:rPr>
        <w:t>七、甲、乙双方责任限定</w:t>
      </w:r>
      <w:bookmarkEnd w:id="9"/>
    </w:p>
    <w:p w14:paraId="461B0061">
      <w:pPr>
        <w:kinsoku/>
        <w:wordWrap w:val="0"/>
        <w:topLinePunct/>
        <w:spacing w:line="360" w:lineRule="auto"/>
        <w:ind w:firstLine="420" w:firstLineChars="200"/>
        <w:rPr>
          <w:rFonts w:ascii="宋体" w:hAnsi="宋体"/>
          <w:lang w:eastAsia="zh-CN"/>
        </w:rPr>
      </w:pPr>
      <w:r>
        <w:rPr>
          <w:rFonts w:hint="eastAsia" w:ascii="宋体" w:hAnsi="宋体"/>
          <w:lang w:eastAsia="zh-CN"/>
        </w:rPr>
        <w:t>1、乙方工作人员在服务过程中，因其工作失职造成甲方损失的．乙方应承担相应的经济赔偿，最高不超过当季服务费的5%。</w:t>
      </w:r>
    </w:p>
    <w:p w14:paraId="14EA6A93">
      <w:pPr>
        <w:kinsoku/>
        <w:wordWrap w:val="0"/>
        <w:topLinePunct/>
        <w:spacing w:line="360" w:lineRule="auto"/>
        <w:ind w:firstLine="420" w:firstLineChars="200"/>
        <w:rPr>
          <w:rFonts w:ascii="宋体" w:hAnsi="宋体"/>
          <w:lang w:eastAsia="zh-CN"/>
        </w:rPr>
      </w:pPr>
      <w:r>
        <w:rPr>
          <w:rFonts w:hint="eastAsia" w:ascii="宋体" w:hAnsi="宋体"/>
          <w:lang w:eastAsia="zh-CN"/>
        </w:rPr>
        <w:t>2、甲方禁止安排乙方工作人员参与其他违反法律规定及工作职责以外的活动，违者由甲方承担法律和经济责任。</w:t>
      </w:r>
    </w:p>
    <w:p w14:paraId="00073B02">
      <w:pPr>
        <w:kinsoku/>
        <w:wordWrap w:val="0"/>
        <w:topLinePunct/>
        <w:spacing w:line="360" w:lineRule="auto"/>
        <w:ind w:firstLine="420" w:firstLineChars="200"/>
        <w:rPr>
          <w:rFonts w:ascii="宋体" w:hAnsi="宋体"/>
          <w:lang w:eastAsia="zh-CN"/>
        </w:rPr>
      </w:pPr>
      <w:r>
        <w:rPr>
          <w:rFonts w:hint="eastAsia" w:ascii="宋体" w:hAnsi="宋体"/>
          <w:lang w:eastAsia="zh-CN"/>
        </w:rPr>
        <w:t>3、乙方派遣至甲方的所有工作人员，其食宿、着装、社会保险、意外伤害保险、培训等各类费用及发生的各种工伤事故和意外事故均由乙方承担，与甲方无涉。</w:t>
      </w:r>
    </w:p>
    <w:p w14:paraId="306F78A5">
      <w:pPr>
        <w:kinsoku/>
        <w:wordWrap w:val="0"/>
        <w:topLinePunct/>
        <w:spacing w:line="360" w:lineRule="auto"/>
        <w:ind w:firstLine="420" w:firstLineChars="200"/>
        <w:rPr>
          <w:rFonts w:ascii="宋体" w:hAnsi="宋体"/>
          <w:lang w:eastAsia="zh-CN"/>
        </w:rPr>
      </w:pPr>
      <w:r>
        <w:rPr>
          <w:rFonts w:hint="eastAsia" w:ascii="宋体" w:hAnsi="宋体"/>
          <w:lang w:eastAsia="zh-CN"/>
        </w:rPr>
        <w:t>4、因不可抗力或甲方自身原因造成的经济损失，乙方不承担责任。</w:t>
      </w:r>
    </w:p>
    <w:p w14:paraId="3F741F45">
      <w:pPr>
        <w:kinsoku/>
        <w:wordWrap w:val="0"/>
        <w:topLinePunct/>
        <w:spacing w:line="360" w:lineRule="auto"/>
        <w:ind w:firstLine="420" w:firstLineChars="200"/>
        <w:rPr>
          <w:rFonts w:ascii="宋体" w:hAnsi="宋体"/>
          <w:lang w:eastAsia="zh-CN"/>
        </w:rPr>
      </w:pPr>
      <w:r>
        <w:rPr>
          <w:rFonts w:hint="eastAsia" w:ascii="宋体" w:hAnsi="宋体"/>
          <w:lang w:eastAsia="zh-CN"/>
        </w:rPr>
        <w:t>5、乙方工作人员中途辞职，乙方应在5天内补足。</w:t>
      </w:r>
    </w:p>
    <w:p w14:paraId="64E06C8F">
      <w:pPr>
        <w:kinsoku/>
        <w:wordWrap w:val="0"/>
        <w:topLinePunct/>
        <w:spacing w:line="360" w:lineRule="auto"/>
        <w:ind w:firstLine="422" w:firstLineChars="200"/>
        <w:outlineLvl w:val="0"/>
        <w:rPr>
          <w:rFonts w:ascii="宋体" w:hAnsi="宋体"/>
          <w:b/>
          <w:lang w:eastAsia="zh-CN"/>
        </w:rPr>
      </w:pPr>
      <w:bookmarkStart w:id="10" w:name="_Toc86767222"/>
      <w:r>
        <w:rPr>
          <w:rFonts w:hint="eastAsia" w:ascii="宋体" w:hAnsi="宋体"/>
          <w:b/>
          <w:lang w:eastAsia="zh-CN"/>
        </w:rPr>
        <w:t>八、合同的变更、终止及违约责任</w:t>
      </w:r>
      <w:bookmarkEnd w:id="10"/>
    </w:p>
    <w:p w14:paraId="10B1A9A1">
      <w:pPr>
        <w:kinsoku/>
        <w:wordWrap w:val="0"/>
        <w:topLinePunct/>
        <w:spacing w:line="360" w:lineRule="auto"/>
        <w:ind w:firstLine="420" w:firstLineChars="200"/>
        <w:rPr>
          <w:rFonts w:ascii="宋体" w:hAnsi="宋体"/>
          <w:lang w:eastAsia="zh-CN"/>
        </w:rPr>
      </w:pPr>
      <w:r>
        <w:rPr>
          <w:rFonts w:hint="eastAsia" w:ascii="宋体" w:hAnsi="宋体"/>
          <w:lang w:eastAsia="zh-CN"/>
        </w:rPr>
        <w:t>1、甲方在乙方存在如下违约情况时，有权单方面终止全部或部分合同，乙方所交的履约保证金不予退还，并保留进一步追究乙方责任的权利（包括经济赔偿）。</w:t>
      </w:r>
    </w:p>
    <w:p w14:paraId="0AC54CC0">
      <w:pPr>
        <w:kinsoku/>
        <w:wordWrap w:val="0"/>
        <w:topLinePunct/>
        <w:spacing w:line="360" w:lineRule="auto"/>
        <w:ind w:firstLine="420" w:firstLineChars="200"/>
        <w:rPr>
          <w:rFonts w:ascii="宋体" w:hAnsi="宋体"/>
          <w:lang w:eastAsia="zh-CN"/>
        </w:rPr>
      </w:pPr>
      <w:r>
        <w:rPr>
          <w:rFonts w:hint="eastAsia" w:ascii="宋体" w:hAnsi="宋体"/>
          <w:lang w:eastAsia="zh-CN"/>
        </w:rPr>
        <w:t>（1）乙方未能履行合同规定的义务；</w:t>
      </w:r>
    </w:p>
    <w:p w14:paraId="4E1E0B42">
      <w:pPr>
        <w:kinsoku/>
        <w:wordWrap w:val="0"/>
        <w:topLinePunct/>
        <w:spacing w:line="360" w:lineRule="auto"/>
        <w:ind w:firstLine="420" w:firstLineChars="200"/>
        <w:rPr>
          <w:rFonts w:ascii="宋体" w:hAnsi="宋体"/>
          <w:lang w:eastAsia="zh-CN"/>
        </w:rPr>
      </w:pPr>
      <w:r>
        <w:rPr>
          <w:rFonts w:hint="eastAsia" w:ascii="宋体" w:hAnsi="宋体"/>
          <w:lang w:eastAsia="zh-CN"/>
        </w:rPr>
        <w:t>（2）在考核周期内，第3次出现考核不合格；</w:t>
      </w:r>
    </w:p>
    <w:p w14:paraId="71A2D4F1">
      <w:pPr>
        <w:kinsoku/>
        <w:wordWrap w:val="0"/>
        <w:topLinePunct/>
        <w:spacing w:line="360" w:lineRule="auto"/>
        <w:ind w:firstLine="420" w:firstLineChars="200"/>
        <w:rPr>
          <w:rFonts w:ascii="宋体" w:hAnsi="宋体"/>
          <w:lang w:eastAsia="zh-CN"/>
        </w:rPr>
      </w:pPr>
      <w:r>
        <w:rPr>
          <w:rFonts w:hint="eastAsia" w:ascii="宋体" w:hAnsi="宋体"/>
          <w:lang w:eastAsia="zh-CN"/>
        </w:rPr>
        <w:t>（3）乙方存在与招标文件不符合的做法，或不履行其投标文件的承诺；</w:t>
      </w:r>
    </w:p>
    <w:p w14:paraId="0ED005F5">
      <w:pPr>
        <w:kinsoku/>
        <w:wordWrap w:val="0"/>
        <w:topLinePunct/>
        <w:spacing w:line="360" w:lineRule="auto"/>
        <w:ind w:firstLine="420" w:firstLineChars="200"/>
        <w:rPr>
          <w:rFonts w:ascii="宋体" w:hAnsi="宋体"/>
          <w:lang w:eastAsia="zh-CN"/>
        </w:rPr>
      </w:pPr>
      <w:r>
        <w:rPr>
          <w:rFonts w:hint="eastAsia" w:ascii="宋体" w:hAnsi="宋体"/>
          <w:lang w:eastAsia="zh-CN"/>
        </w:rPr>
        <w:t>（4）乙方存在其他违约行为经甲方书面催告后仍不改正的；</w:t>
      </w:r>
    </w:p>
    <w:p w14:paraId="5D814AC3">
      <w:pPr>
        <w:kinsoku/>
        <w:wordWrap w:val="0"/>
        <w:topLinePunct/>
        <w:spacing w:line="360" w:lineRule="auto"/>
        <w:ind w:firstLine="420" w:firstLineChars="200"/>
        <w:rPr>
          <w:rFonts w:ascii="宋体" w:hAnsi="宋体"/>
          <w:lang w:eastAsia="zh-CN"/>
        </w:rPr>
      </w:pPr>
      <w:r>
        <w:rPr>
          <w:rFonts w:hint="eastAsia" w:ascii="宋体" w:hAnsi="宋体"/>
          <w:lang w:eastAsia="zh-CN"/>
        </w:rPr>
        <w:t>（5）</w:t>
      </w:r>
      <w:r>
        <w:rPr>
          <w:rFonts w:ascii="宋体" w:hAnsi="宋体"/>
          <w:lang w:eastAsia="zh-CN"/>
        </w:rPr>
        <w:t>在合同有效期内，对本合同范围内的工作内容乙方擅自委托或转包给其它单位或个人</w:t>
      </w:r>
      <w:r>
        <w:rPr>
          <w:rFonts w:hint="eastAsia" w:ascii="宋体" w:hAnsi="宋体"/>
          <w:lang w:eastAsia="zh-CN"/>
        </w:rPr>
        <w:t>。</w:t>
      </w:r>
    </w:p>
    <w:p w14:paraId="441E14F9">
      <w:pPr>
        <w:kinsoku/>
        <w:wordWrap w:val="0"/>
        <w:topLinePunct/>
        <w:spacing w:line="360" w:lineRule="auto"/>
        <w:ind w:firstLine="420" w:firstLineChars="200"/>
        <w:rPr>
          <w:rFonts w:ascii="宋体" w:hAnsi="宋体"/>
          <w:lang w:eastAsia="zh-CN"/>
        </w:rPr>
      </w:pPr>
      <w:r>
        <w:rPr>
          <w:rFonts w:hint="eastAsia" w:ascii="宋体" w:hAnsi="宋体"/>
          <w:lang w:eastAsia="zh-CN"/>
        </w:rPr>
        <w:t>2、乙方如要提前中止合同，需提前3个月，并征得甲方同意，否则按合同执行。</w:t>
      </w:r>
    </w:p>
    <w:p w14:paraId="51177125">
      <w:pPr>
        <w:kinsoku/>
        <w:wordWrap w:val="0"/>
        <w:topLinePunct/>
        <w:spacing w:line="360" w:lineRule="auto"/>
        <w:ind w:firstLine="420" w:firstLineChars="200"/>
        <w:rPr>
          <w:rFonts w:ascii="宋体" w:hAnsi="宋体"/>
          <w:lang w:eastAsia="zh-CN"/>
        </w:rPr>
      </w:pPr>
      <w:r>
        <w:rPr>
          <w:rFonts w:hint="eastAsia" w:ascii="宋体" w:hAnsi="宋体"/>
          <w:lang w:eastAsia="zh-CN"/>
        </w:rPr>
        <w:t>3、除不可抗力以外，如发生乙方不能履行合同义务，或甲方发生中途终止合同等情况，应及时以书面形式通知对方。甲乙双方应本着友好的态度进行协商，妥善解决</w:t>
      </w:r>
    </w:p>
    <w:p w14:paraId="0B5C665F">
      <w:pPr>
        <w:kinsoku/>
        <w:wordWrap w:val="0"/>
        <w:topLinePunct/>
        <w:spacing w:line="360" w:lineRule="auto"/>
        <w:ind w:firstLine="420" w:firstLineChars="200"/>
        <w:rPr>
          <w:rFonts w:ascii="宋体" w:hAnsi="宋体"/>
          <w:lang w:eastAsia="zh-CN"/>
        </w:rPr>
      </w:pPr>
      <w:r>
        <w:rPr>
          <w:rFonts w:hint="eastAsia" w:ascii="宋体" w:hAnsi="宋体"/>
          <w:lang w:eastAsia="zh-CN"/>
        </w:rPr>
        <w:t>4、</w:t>
      </w:r>
      <w:r>
        <w:rPr>
          <w:rFonts w:ascii="宋体" w:hAnsi="宋体"/>
          <w:lang w:eastAsia="zh-CN"/>
        </w:rPr>
        <w:t>乙方因工作疏忽而造成甲方财产损失的，乙方应按损失的价值照价赔偿。</w:t>
      </w:r>
    </w:p>
    <w:p w14:paraId="72CFFA63">
      <w:pPr>
        <w:kinsoku/>
        <w:wordWrap w:val="0"/>
        <w:topLinePunct/>
        <w:spacing w:line="360" w:lineRule="auto"/>
        <w:ind w:firstLine="420" w:firstLineChars="200"/>
        <w:rPr>
          <w:rFonts w:ascii="宋体" w:hAnsi="宋体"/>
          <w:lang w:eastAsia="zh-CN"/>
        </w:rPr>
      </w:pPr>
      <w:r>
        <w:rPr>
          <w:rFonts w:hint="eastAsia" w:ascii="宋体" w:hAnsi="宋体"/>
          <w:lang w:eastAsia="zh-CN"/>
        </w:rPr>
        <w:t>5、</w:t>
      </w:r>
      <w:r>
        <w:rPr>
          <w:rFonts w:ascii="宋体" w:hAnsi="宋体"/>
          <w:lang w:eastAsia="zh-CN"/>
        </w:rPr>
        <w:t>乙方工作人员在工作时间违反</w:t>
      </w:r>
      <w:r>
        <w:rPr>
          <w:rFonts w:hint="eastAsia" w:ascii="宋体" w:hAnsi="宋体"/>
          <w:lang w:eastAsia="zh-CN"/>
        </w:rPr>
        <w:t>甲</w:t>
      </w:r>
      <w:r>
        <w:rPr>
          <w:rFonts w:ascii="宋体" w:hAnsi="宋体"/>
          <w:lang w:eastAsia="zh-CN"/>
        </w:rPr>
        <w:t>方的管理制度造成安全事故、综治事件、造成甲方的名誉和形象受损的，乙方应立即采取有效措施，恢复甲方的名誉并向甲方支付违约金，若乙方造成甲方损失的，应予赔偿。违约金和赔偿金由甲方依据安全事故的性质、程度以及甲方的名誉、形象受损的范围和程度确定，并在支付合同款时在合同款中扣除。</w:t>
      </w:r>
    </w:p>
    <w:p w14:paraId="2FC5AACA">
      <w:pPr>
        <w:kinsoku/>
        <w:wordWrap w:val="0"/>
        <w:topLinePunct/>
        <w:spacing w:line="360" w:lineRule="auto"/>
        <w:ind w:firstLine="420" w:firstLineChars="200"/>
        <w:rPr>
          <w:rFonts w:ascii="宋体" w:hAnsi="宋体"/>
          <w:lang w:eastAsia="zh-CN"/>
        </w:rPr>
      </w:pPr>
      <w:r>
        <w:rPr>
          <w:rFonts w:hint="eastAsia" w:ascii="宋体" w:hAnsi="宋体"/>
          <w:lang w:eastAsia="zh-CN"/>
        </w:rPr>
        <w:t>6、乙方在投标文件中承诺的项目负责人、部门负责人，在合同履行期间除因实施管理原因发生重大质量安全事故不适合再任或因重大疾病住院治疗、部分或全部丧失劳动能力或民事行为能力的（需提供相关部门证明材料）等无法继续履行合同责任和义务，被责令停止执业、吊销资格、羁押或判刑外不允许更换；由于其他原因需要更换项目负责人时，未经甲方书面批准，乙方应承担相应的违约金，违约金由甲方在款项支付中直接扣除。同时，甲方保留解除合同的权利，由此引起的相关损失由乙方赔偿。</w:t>
      </w:r>
    </w:p>
    <w:p w14:paraId="4D35E6EA">
      <w:pPr>
        <w:kinsoku/>
        <w:wordWrap w:val="0"/>
        <w:topLinePunct/>
        <w:spacing w:line="360" w:lineRule="auto"/>
        <w:ind w:firstLine="422" w:firstLineChars="200"/>
        <w:outlineLvl w:val="0"/>
        <w:rPr>
          <w:rFonts w:ascii="宋体" w:hAnsi="宋体"/>
          <w:b/>
          <w:lang w:eastAsia="zh-CN"/>
        </w:rPr>
      </w:pPr>
      <w:bookmarkStart w:id="11" w:name="_Toc86767223"/>
      <w:r>
        <w:rPr>
          <w:rFonts w:hint="eastAsia" w:ascii="宋体" w:hAnsi="宋体"/>
          <w:b/>
          <w:lang w:eastAsia="zh-CN"/>
        </w:rPr>
        <w:t>九、其它约定事项</w:t>
      </w:r>
      <w:bookmarkEnd w:id="11"/>
    </w:p>
    <w:p w14:paraId="27E88F8D">
      <w:pPr>
        <w:kinsoku/>
        <w:wordWrap w:val="0"/>
        <w:topLinePunct/>
        <w:spacing w:line="360" w:lineRule="auto"/>
        <w:ind w:firstLine="420" w:firstLineChars="200"/>
        <w:rPr>
          <w:rFonts w:ascii="宋体" w:hAnsi="宋体"/>
          <w:lang w:eastAsia="zh-CN"/>
        </w:rPr>
      </w:pPr>
      <w:r>
        <w:rPr>
          <w:rFonts w:hint="eastAsia" w:ascii="宋体" w:hAnsi="宋体"/>
          <w:lang w:eastAsia="zh-CN"/>
        </w:rPr>
        <w:t>1、工作人员的工资、福利、津贴由乙方支付，乙方负责解决或处理所有员工的社会保险及劳资纠纷。</w:t>
      </w:r>
    </w:p>
    <w:p w14:paraId="1FD7E752">
      <w:pPr>
        <w:kinsoku/>
        <w:wordWrap w:val="0"/>
        <w:topLinePunct/>
        <w:spacing w:line="360" w:lineRule="auto"/>
        <w:ind w:firstLine="420" w:firstLineChars="200"/>
        <w:rPr>
          <w:rFonts w:ascii="宋体" w:hAnsi="宋体"/>
          <w:lang w:eastAsia="zh-CN"/>
        </w:rPr>
      </w:pPr>
      <w:r>
        <w:rPr>
          <w:rFonts w:hint="eastAsia" w:ascii="宋体" w:hAnsi="宋体"/>
          <w:lang w:eastAsia="zh-CN"/>
        </w:rPr>
        <w:t>2、乙方必须保证确保服务质量，保证服务人员队伍的稳定，甲方将不定时对在院工作人员进行抽查。</w:t>
      </w:r>
    </w:p>
    <w:p w14:paraId="38D1F920">
      <w:pPr>
        <w:kinsoku/>
        <w:wordWrap w:val="0"/>
        <w:topLinePunct/>
        <w:spacing w:line="360" w:lineRule="auto"/>
        <w:ind w:firstLine="420" w:firstLineChars="200"/>
        <w:rPr>
          <w:rFonts w:ascii="宋体" w:hAnsi="宋体"/>
          <w:lang w:eastAsia="zh-CN"/>
        </w:rPr>
      </w:pPr>
      <w:r>
        <w:rPr>
          <w:rFonts w:hint="eastAsia" w:ascii="宋体" w:hAnsi="宋体"/>
          <w:lang w:eastAsia="zh-CN"/>
        </w:rPr>
        <w:t>3、服务人员的管理调配由乙方负责，相关部门配合管理。</w:t>
      </w:r>
    </w:p>
    <w:p w14:paraId="6A4F0D46">
      <w:pPr>
        <w:kinsoku/>
        <w:wordWrap w:val="0"/>
        <w:topLinePunct/>
        <w:spacing w:line="360" w:lineRule="auto"/>
        <w:ind w:firstLine="420" w:firstLineChars="200"/>
        <w:rPr>
          <w:rFonts w:ascii="宋体" w:hAnsi="宋体"/>
          <w:lang w:eastAsia="zh-CN"/>
        </w:rPr>
      </w:pPr>
      <w:r>
        <w:rPr>
          <w:rFonts w:hint="eastAsia" w:ascii="宋体" w:hAnsi="宋体"/>
          <w:lang w:eastAsia="zh-CN"/>
        </w:rPr>
        <w:t>4、甲方和乙方在检查、管理过程中，发现服务人员在工作中有违纪行为，乙方应对其进行批评教育，并给予一定的经济处罚，若员工有严重违规行为的，甲方有权要求乙方将队员退回。</w:t>
      </w:r>
    </w:p>
    <w:p w14:paraId="75BD2FA9">
      <w:pPr>
        <w:kinsoku/>
        <w:wordWrap w:val="0"/>
        <w:topLinePunct/>
        <w:spacing w:line="360" w:lineRule="auto"/>
        <w:ind w:firstLine="420" w:firstLineChars="200"/>
        <w:rPr>
          <w:rFonts w:ascii="宋体" w:hAnsi="宋体"/>
          <w:lang w:eastAsia="zh-CN"/>
        </w:rPr>
      </w:pPr>
      <w:r>
        <w:rPr>
          <w:rFonts w:hint="eastAsia" w:ascii="宋体" w:hAnsi="宋体"/>
          <w:lang w:eastAsia="zh-CN"/>
        </w:rPr>
        <w:t>5、如果乙方破产或无清偿能力时，甲方可在任何时候以书面通知乙方终止合同。该终止合同将不损害或影响甲方已经采取或将要采取的补救措施的权利。</w:t>
      </w:r>
    </w:p>
    <w:p w14:paraId="75DA628C">
      <w:pPr>
        <w:kinsoku/>
        <w:wordWrap w:val="0"/>
        <w:topLinePunct/>
        <w:spacing w:line="360" w:lineRule="auto"/>
        <w:ind w:firstLine="422" w:firstLineChars="200"/>
        <w:outlineLvl w:val="0"/>
        <w:rPr>
          <w:rFonts w:ascii="宋体" w:hAnsi="宋体"/>
          <w:b/>
          <w:lang w:eastAsia="zh-CN"/>
        </w:rPr>
      </w:pPr>
      <w:bookmarkStart w:id="12" w:name="_Toc86767224"/>
      <w:r>
        <w:rPr>
          <w:rFonts w:hint="eastAsia" w:ascii="宋体" w:hAnsi="宋体"/>
          <w:b/>
          <w:lang w:eastAsia="zh-CN"/>
        </w:rPr>
        <w:t>十</w:t>
      </w:r>
      <w:r>
        <w:rPr>
          <w:rFonts w:ascii="宋体" w:hAnsi="宋体"/>
          <w:b/>
          <w:lang w:eastAsia="zh-CN"/>
        </w:rPr>
        <w:t>、不可抗力事件处理</w:t>
      </w:r>
      <w:bookmarkEnd w:id="12"/>
    </w:p>
    <w:p w14:paraId="56039450">
      <w:pPr>
        <w:kinsoku/>
        <w:wordWrap w:val="0"/>
        <w:topLinePunct/>
        <w:spacing w:line="360" w:lineRule="auto"/>
        <w:ind w:firstLine="420" w:firstLineChars="200"/>
        <w:rPr>
          <w:rFonts w:ascii="宋体" w:hAnsi="宋体"/>
          <w:lang w:eastAsia="zh-CN"/>
        </w:rPr>
      </w:pPr>
      <w:r>
        <w:rPr>
          <w:rFonts w:ascii="宋体" w:hAnsi="宋体"/>
          <w:lang w:eastAsia="zh-CN"/>
        </w:rPr>
        <w:t>1、在合同有效期内，任何一方因不可抗力事件导致不能履行合同，则合同履行期可延长，其延长期与不可抗力影响期相同。</w:t>
      </w:r>
    </w:p>
    <w:p w14:paraId="625D99DA">
      <w:pPr>
        <w:kinsoku/>
        <w:wordWrap w:val="0"/>
        <w:topLinePunct/>
        <w:spacing w:line="360" w:lineRule="auto"/>
        <w:ind w:firstLine="420" w:firstLineChars="200"/>
        <w:rPr>
          <w:rFonts w:ascii="宋体" w:hAnsi="宋体"/>
          <w:lang w:eastAsia="zh-CN"/>
        </w:rPr>
      </w:pPr>
      <w:r>
        <w:rPr>
          <w:rFonts w:ascii="宋体" w:hAnsi="宋体"/>
          <w:lang w:eastAsia="zh-CN"/>
        </w:rPr>
        <w:t>2、不可抗力事件发生后，应立即通知对方，并寄送有关权威机构出具的证明。</w:t>
      </w:r>
    </w:p>
    <w:p w14:paraId="3BE42367">
      <w:pPr>
        <w:kinsoku/>
        <w:wordWrap w:val="0"/>
        <w:topLinePunct/>
        <w:spacing w:line="360" w:lineRule="auto"/>
        <w:ind w:firstLine="420" w:firstLineChars="200"/>
        <w:rPr>
          <w:rFonts w:ascii="宋体" w:hAnsi="宋体"/>
          <w:lang w:eastAsia="zh-CN"/>
        </w:rPr>
      </w:pPr>
      <w:r>
        <w:rPr>
          <w:rFonts w:ascii="宋体" w:hAnsi="宋体"/>
          <w:lang w:eastAsia="zh-CN"/>
        </w:rPr>
        <w:t>3、不可抗力事件延续</w:t>
      </w:r>
      <w:r>
        <w:rPr>
          <w:rFonts w:hint="eastAsia" w:ascii="宋体" w:hAnsi="宋体"/>
          <w:lang w:eastAsia="zh-CN"/>
        </w:rPr>
        <w:t>10</w:t>
      </w:r>
      <w:r>
        <w:rPr>
          <w:rFonts w:ascii="宋体" w:hAnsi="宋体"/>
          <w:lang w:eastAsia="zh-CN"/>
        </w:rPr>
        <w:t>天</w:t>
      </w:r>
      <w:r>
        <w:rPr>
          <w:rFonts w:hint="eastAsia" w:ascii="宋体" w:hAnsi="宋体"/>
          <w:lang w:eastAsia="zh-CN"/>
        </w:rPr>
        <w:t>及</w:t>
      </w:r>
      <w:r>
        <w:rPr>
          <w:rFonts w:ascii="宋体" w:hAnsi="宋体"/>
          <w:lang w:eastAsia="zh-CN"/>
        </w:rPr>
        <w:t>以上，双方应通过友好协商，确定是否继续履行合同。</w:t>
      </w:r>
    </w:p>
    <w:p w14:paraId="3A2EECC7">
      <w:pPr>
        <w:kinsoku/>
        <w:wordWrap w:val="0"/>
        <w:topLinePunct/>
        <w:spacing w:line="360" w:lineRule="auto"/>
        <w:ind w:firstLine="422" w:firstLineChars="200"/>
        <w:outlineLvl w:val="0"/>
        <w:rPr>
          <w:rFonts w:ascii="宋体" w:hAnsi="宋体"/>
          <w:b/>
          <w:lang w:eastAsia="zh-CN"/>
        </w:rPr>
      </w:pPr>
      <w:bookmarkStart w:id="13" w:name="_Toc86767225"/>
      <w:r>
        <w:rPr>
          <w:rFonts w:hint="eastAsia" w:ascii="宋体" w:hAnsi="宋体"/>
          <w:b/>
          <w:lang w:eastAsia="zh-CN"/>
        </w:rPr>
        <w:t>十一</w:t>
      </w:r>
      <w:r>
        <w:rPr>
          <w:rFonts w:ascii="宋体" w:hAnsi="宋体"/>
          <w:b/>
          <w:lang w:eastAsia="zh-CN"/>
        </w:rPr>
        <w:t>、</w:t>
      </w:r>
      <w:r>
        <w:rPr>
          <w:rFonts w:hint="eastAsia" w:ascii="宋体" w:hAnsi="宋体"/>
          <w:b/>
          <w:lang w:eastAsia="zh-CN"/>
        </w:rPr>
        <w:t>争议的解决</w:t>
      </w:r>
      <w:bookmarkEnd w:id="13"/>
    </w:p>
    <w:p w14:paraId="353E5746">
      <w:pPr>
        <w:kinsoku/>
        <w:wordWrap w:val="0"/>
        <w:topLinePunct/>
        <w:spacing w:line="360" w:lineRule="auto"/>
        <w:ind w:firstLine="420" w:firstLineChars="200"/>
        <w:rPr>
          <w:rFonts w:ascii="宋体" w:hAnsi="宋体"/>
          <w:lang w:eastAsia="zh-CN"/>
        </w:rPr>
      </w:pPr>
      <w:r>
        <w:rPr>
          <w:rFonts w:hint="eastAsia" w:ascii="宋体" w:hAnsi="宋体"/>
          <w:lang w:eastAsia="zh-CN"/>
        </w:rPr>
        <w:t>本合同在履行过程中发生争议时，当事人双方应及时协调解决。协商不成时，由甲方所在地仲裁委员会仲裁。</w:t>
      </w:r>
    </w:p>
    <w:p w14:paraId="33A6EF1F">
      <w:pPr>
        <w:kinsoku/>
        <w:wordWrap w:val="0"/>
        <w:topLinePunct/>
        <w:spacing w:line="360" w:lineRule="auto"/>
        <w:ind w:firstLine="422" w:firstLineChars="200"/>
        <w:outlineLvl w:val="0"/>
        <w:rPr>
          <w:rFonts w:ascii="宋体" w:hAnsi="宋体"/>
          <w:b/>
          <w:lang w:eastAsia="zh-CN"/>
        </w:rPr>
      </w:pPr>
      <w:bookmarkStart w:id="14" w:name="_Toc86767226"/>
      <w:r>
        <w:rPr>
          <w:rFonts w:hint="eastAsia" w:ascii="宋体" w:hAnsi="宋体"/>
          <w:b/>
          <w:lang w:eastAsia="zh-CN"/>
        </w:rPr>
        <w:t>十二</w:t>
      </w:r>
      <w:r>
        <w:rPr>
          <w:rFonts w:ascii="宋体" w:hAnsi="宋体"/>
          <w:b/>
          <w:lang w:eastAsia="zh-CN"/>
        </w:rPr>
        <w:t>、合同生效及其它</w:t>
      </w:r>
      <w:bookmarkEnd w:id="14"/>
    </w:p>
    <w:p w14:paraId="2630582C">
      <w:pPr>
        <w:kinsoku/>
        <w:wordWrap w:val="0"/>
        <w:topLinePunct/>
        <w:spacing w:line="360" w:lineRule="auto"/>
        <w:ind w:firstLine="420" w:firstLineChars="200"/>
        <w:rPr>
          <w:rFonts w:ascii="宋体" w:hAnsi="宋体"/>
          <w:lang w:eastAsia="zh-CN"/>
        </w:rPr>
      </w:pPr>
      <w:r>
        <w:rPr>
          <w:rFonts w:ascii="宋体" w:hAnsi="宋体"/>
          <w:lang w:eastAsia="zh-CN"/>
        </w:rPr>
        <w:t>1、合同经双方法定代表人或授权代表签字加盖单位公章后生效。</w:t>
      </w:r>
    </w:p>
    <w:p w14:paraId="27B356A5">
      <w:pPr>
        <w:kinsoku/>
        <w:wordWrap w:val="0"/>
        <w:topLinePunct/>
        <w:spacing w:line="360" w:lineRule="auto"/>
        <w:ind w:firstLine="420" w:firstLineChars="200"/>
        <w:rPr>
          <w:rFonts w:ascii="宋体" w:hAnsi="宋体"/>
          <w:lang w:eastAsia="zh-CN"/>
        </w:rPr>
      </w:pPr>
      <w:r>
        <w:rPr>
          <w:rFonts w:hint="eastAsia" w:ascii="宋体" w:hAnsi="宋体"/>
          <w:lang w:eastAsia="zh-CN"/>
        </w:rPr>
        <w:t>2</w:t>
      </w:r>
      <w:r>
        <w:rPr>
          <w:rFonts w:ascii="宋体" w:hAnsi="宋体"/>
          <w:lang w:eastAsia="zh-CN"/>
        </w:rPr>
        <w:t>、本合同未尽事宜，经</w:t>
      </w:r>
      <w:r>
        <w:rPr>
          <w:rFonts w:hint="eastAsia" w:ascii="宋体" w:hAnsi="宋体"/>
          <w:lang w:eastAsia="zh-CN"/>
        </w:rPr>
        <w:t>双方</w:t>
      </w:r>
      <w:r>
        <w:rPr>
          <w:rFonts w:ascii="宋体" w:hAnsi="宋体"/>
          <w:lang w:eastAsia="zh-CN"/>
        </w:rPr>
        <w:t>协商一致，签订补充协议，补充协议与本协议书具有同等效力。</w:t>
      </w:r>
    </w:p>
    <w:p w14:paraId="260FB66F">
      <w:pPr>
        <w:kinsoku/>
        <w:wordWrap w:val="0"/>
        <w:topLinePunct/>
        <w:spacing w:line="360" w:lineRule="auto"/>
        <w:ind w:firstLine="420" w:firstLineChars="200"/>
        <w:rPr>
          <w:rFonts w:ascii="宋体" w:hAnsi="宋体"/>
          <w:b/>
          <w:bCs/>
          <w:lang w:eastAsia="zh-CN"/>
        </w:rPr>
      </w:pPr>
      <w:r>
        <w:rPr>
          <w:rFonts w:hint="eastAsia" w:ascii="宋体" w:hAnsi="宋体"/>
          <w:lang w:eastAsia="zh-CN"/>
        </w:rPr>
        <w:t>3</w:t>
      </w:r>
      <w:r>
        <w:rPr>
          <w:rFonts w:ascii="宋体" w:hAnsi="宋体"/>
          <w:lang w:eastAsia="zh-CN"/>
        </w:rPr>
        <w:t>、</w:t>
      </w:r>
      <w:r>
        <w:rPr>
          <w:rFonts w:hint="eastAsia" w:ascii="宋体" w:hAnsi="宋体"/>
          <w:lang w:eastAsia="zh-CN"/>
        </w:rPr>
        <w:t>本合同一式陆份，甲方存肆份、乙方存贰份，具有同等法律效力。</w:t>
      </w:r>
    </w:p>
    <w:p w14:paraId="43D68688">
      <w:pPr>
        <w:spacing w:line="360" w:lineRule="auto"/>
        <w:rPr>
          <w:rFonts w:ascii="宋体" w:hAnsi="宋体"/>
          <w:lang w:eastAsia="zh-CN"/>
        </w:rPr>
      </w:pPr>
    </w:p>
    <w:p w14:paraId="17F3F0D1">
      <w:pPr>
        <w:spacing w:line="360" w:lineRule="auto"/>
        <w:ind w:firstLine="420" w:firstLineChars="200"/>
        <w:rPr>
          <w:rFonts w:ascii="宋体" w:hAnsi="宋体"/>
        </w:rPr>
      </w:pPr>
      <w:r>
        <w:rPr>
          <w:rFonts w:hint="eastAsia" w:ascii="宋体" w:hAnsi="宋体"/>
        </w:rPr>
        <w:t>甲方：______________________乙方：________________________</w:t>
      </w:r>
    </w:p>
    <w:p w14:paraId="046A3A80">
      <w:pPr>
        <w:spacing w:line="360" w:lineRule="auto"/>
        <w:ind w:firstLine="420" w:firstLineChars="200"/>
        <w:rPr>
          <w:rFonts w:ascii="宋体" w:hAnsi="宋体"/>
        </w:rPr>
      </w:pPr>
      <w:r>
        <w:rPr>
          <w:rFonts w:hint="eastAsia" w:ascii="宋体" w:hAnsi="宋体"/>
        </w:rPr>
        <w:t>地址：______________________地址：________________________</w:t>
      </w:r>
    </w:p>
    <w:p w14:paraId="7A52F94B">
      <w:pPr>
        <w:spacing w:line="360" w:lineRule="auto"/>
        <w:ind w:firstLine="420" w:firstLineChars="200"/>
        <w:rPr>
          <w:rFonts w:ascii="宋体" w:hAnsi="宋体"/>
        </w:rPr>
      </w:pPr>
      <w:r>
        <w:rPr>
          <w:rFonts w:hint="eastAsia" w:ascii="宋体" w:hAnsi="宋体"/>
        </w:rPr>
        <w:t>法定代表人：____________________法定代表人：______________________</w:t>
      </w:r>
    </w:p>
    <w:p w14:paraId="5C32A64F">
      <w:pPr>
        <w:spacing w:line="360" w:lineRule="auto"/>
        <w:ind w:firstLine="420" w:firstLineChars="200"/>
        <w:rPr>
          <w:rFonts w:ascii="宋体" w:hAnsi="宋体"/>
          <w:lang w:eastAsia="zh-CN"/>
        </w:rPr>
      </w:pPr>
      <w:r>
        <w:rPr>
          <w:rFonts w:hint="eastAsia" w:ascii="宋体" w:hAnsi="宋体"/>
          <w:lang w:eastAsia="zh-CN"/>
        </w:rPr>
        <w:t>授权代表：______________________授权代表：________________________</w:t>
      </w:r>
    </w:p>
    <w:p w14:paraId="1E230C7A">
      <w:pPr>
        <w:spacing w:line="360" w:lineRule="auto"/>
        <w:ind w:firstLine="420" w:firstLineChars="200"/>
        <w:rPr>
          <w:rFonts w:ascii="宋体" w:hAnsi="宋体"/>
          <w:lang w:eastAsia="zh-CN"/>
        </w:rPr>
      </w:pPr>
      <w:r>
        <w:rPr>
          <w:rFonts w:hint="eastAsia" w:ascii="宋体" w:hAnsi="宋体"/>
          <w:lang w:eastAsia="zh-CN"/>
        </w:rPr>
        <w:t>电话：______________________电话：________________________</w:t>
      </w:r>
    </w:p>
    <w:p w14:paraId="41A26DC0">
      <w:pPr>
        <w:spacing w:line="360" w:lineRule="auto"/>
        <w:ind w:firstLine="420" w:firstLineChars="200"/>
        <w:rPr>
          <w:rFonts w:ascii="宋体" w:hAnsi="宋体"/>
          <w:lang w:eastAsia="zh-CN"/>
        </w:rPr>
      </w:pPr>
      <w:r>
        <w:rPr>
          <w:rFonts w:hint="eastAsia" w:ascii="宋体" w:hAnsi="宋体"/>
          <w:lang w:eastAsia="zh-CN"/>
        </w:rPr>
        <w:t>账户名称：______________________账户名称：________________________</w:t>
      </w:r>
    </w:p>
    <w:p w14:paraId="0F5938E4">
      <w:pPr>
        <w:spacing w:line="360" w:lineRule="auto"/>
        <w:ind w:firstLine="420" w:firstLineChars="200"/>
        <w:rPr>
          <w:rFonts w:ascii="宋体" w:hAnsi="宋体"/>
          <w:lang w:eastAsia="zh-CN"/>
        </w:rPr>
      </w:pPr>
      <w:r>
        <w:rPr>
          <w:rFonts w:hint="eastAsia" w:ascii="宋体" w:hAnsi="宋体"/>
          <w:lang w:eastAsia="zh-CN"/>
        </w:rPr>
        <w:t>开户银行：______________________开户银行：________________________</w:t>
      </w:r>
    </w:p>
    <w:p w14:paraId="6CE84A02">
      <w:pPr>
        <w:spacing w:line="360" w:lineRule="auto"/>
        <w:ind w:firstLine="420" w:firstLineChars="200"/>
        <w:rPr>
          <w:rFonts w:ascii="宋体" w:hAnsi="宋体"/>
          <w:lang w:eastAsia="zh-CN"/>
        </w:rPr>
      </w:pPr>
      <w:r>
        <w:rPr>
          <w:rFonts w:hint="eastAsia" w:ascii="宋体" w:hAnsi="宋体"/>
          <w:lang w:eastAsia="zh-CN"/>
        </w:rPr>
        <w:t>帐号：______________________帐号：________________________</w:t>
      </w:r>
    </w:p>
    <w:p w14:paraId="266C1DFF">
      <w:pPr>
        <w:spacing w:line="360" w:lineRule="auto"/>
        <w:ind w:firstLine="420" w:firstLineChars="200"/>
        <w:rPr>
          <w:lang w:eastAsia="zh-Hans"/>
        </w:rPr>
      </w:pPr>
      <w:r>
        <w:rPr>
          <w:rFonts w:hint="eastAsia" w:ascii="宋体" w:hAnsi="宋体"/>
          <w:lang w:eastAsia="zh-CN"/>
        </w:rPr>
        <w:t>签约时间：______________________签约地点：________________________</w:t>
      </w:r>
    </w:p>
    <w:p w14:paraId="1EF3742F">
      <w:bookmarkStart w:id="15" w:name="_GoBack"/>
      <w:bookmarkEnd w:id="15"/>
    </w:p>
    <w:sectPr>
      <w:footerReference r:id="rId5" w:type="default"/>
      <w:pgSz w:w="11906" w:h="16838"/>
      <w:pgMar w:top="1440" w:right="1486" w:bottom="1440" w:left="1800" w:header="851" w:footer="992" w:gutter="0"/>
      <w:pgNumType w:fmt="numberInDash"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4E8B3">
    <w:pPr>
      <w:spacing w:before="1" w:line="174" w:lineRule="auto"/>
      <w:rPr>
        <w:rFonts w:hint="eastAsia"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265D91">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E265D91">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2B2672"/>
    <w:multiLevelType w:val="singleLevel"/>
    <w:tmpl w:val="482B2672"/>
    <w:lvl w:ilvl="0" w:tentative="0">
      <w:start w:val="1"/>
      <w:numFmt w:val="decimal"/>
      <w:pStyle w:val="5"/>
      <w:lvlText w:val="%1."/>
      <w:lvlJc w:val="left"/>
      <w:pPr>
        <w:tabs>
          <w:tab w:val="left" w:pos="780"/>
        </w:tabs>
        <w:ind w:left="7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7730"/>
    <w:rsid w:val="009D3BAB"/>
    <w:rsid w:val="00A8560B"/>
    <w:rsid w:val="00C80D71"/>
    <w:rsid w:val="00DB0A2E"/>
    <w:rsid w:val="064E2489"/>
    <w:rsid w:val="1F967B29"/>
    <w:rsid w:val="480179E7"/>
    <w:rsid w:val="485D2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paragraph" w:styleId="4">
    <w:name w:val="heading 5"/>
    <w:basedOn w:val="5"/>
    <w:next w:val="1"/>
    <w:qFormat/>
    <w:uiPriority w:val="9"/>
    <w:pPr>
      <w:keepNext/>
      <w:keepLines/>
      <w:tabs>
        <w:tab w:val="left" w:pos="780"/>
      </w:tabs>
      <w:spacing w:before="280" w:after="290" w:line="377" w:lineRule="auto"/>
      <w:ind w:firstLine="200" w:firstLineChars="200"/>
      <w:outlineLvl w:val="4"/>
    </w:pPr>
    <w:rPr>
      <w:rFonts w:ascii="Times New Roman" w:hAnsi="Times New Roman" w:eastAsia="仿宋_GB2312"/>
      <w:bCs/>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List Number 2"/>
    <w:basedOn w:val="1"/>
    <w:uiPriority w:val="0"/>
    <w:pPr>
      <w:numPr>
        <w:ilvl w:val="0"/>
        <w:numId w:val="1"/>
      </w:numPr>
    </w:pPr>
  </w:style>
  <w:style w:type="paragraph" w:styleId="6">
    <w:name w:val="Body Text"/>
    <w:basedOn w:val="1"/>
    <w:qFormat/>
    <w:uiPriority w:val="0"/>
    <w:rPr>
      <w:color w:val="993300"/>
      <w:sz w:val="24"/>
    </w:rPr>
  </w:style>
  <w:style w:type="paragraph" w:styleId="7">
    <w:name w:val="footer"/>
    <w:basedOn w:val="1"/>
    <w:link w:val="12"/>
    <w:qFormat/>
    <w:uiPriority w:val="0"/>
    <w:pPr>
      <w:tabs>
        <w:tab w:val="center" w:pos="4153"/>
        <w:tab w:val="right" w:pos="8306"/>
      </w:tabs>
      <w:snapToGrid w:val="0"/>
      <w:spacing w:line="240" w:lineRule="auto"/>
      <w:jc w:val="left"/>
    </w:pPr>
    <w:rPr>
      <w:sz w:val="18"/>
      <w:szCs w:val="18"/>
    </w:rPr>
  </w:style>
  <w:style w:type="paragraph" w:styleId="8">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1">
    <w:name w:val="页眉 Char"/>
    <w:basedOn w:val="10"/>
    <w:link w:val="8"/>
    <w:qFormat/>
    <w:uiPriority w:val="0"/>
    <w:rPr>
      <w:rFonts w:ascii="Times New Roman" w:hAnsi="Times New Roman" w:eastAsia="宋体" w:cs="Times New Roman"/>
      <w:kern w:val="2"/>
      <w:sz w:val="18"/>
      <w:szCs w:val="18"/>
    </w:rPr>
  </w:style>
  <w:style w:type="character" w:customStyle="1" w:styleId="12">
    <w:name w:val="页脚 Char"/>
    <w:basedOn w:val="10"/>
    <w:link w:val="7"/>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2520</Words>
  <Characters>2572</Characters>
  <Lines>11</Lines>
  <Paragraphs>3</Paragraphs>
  <TotalTime>0</TotalTime>
  <ScaleCrop>false</ScaleCrop>
  <LinksUpToDate>false</LinksUpToDate>
  <CharactersWithSpaces>2712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2026-01-04T08:11:00Z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2B13D543E81B4760AF6D0E764E685C92_11</vt:lpwstr>
  </property>
  <property fmtid="{D5CDD505-2E9C-101B-9397-08002B2CF9AE}" pid="4" name="KSOTemplateDocerSaveRecord">
    <vt:lpwstr>eyJoZGlkIjoiOGFlZDBjMTkxMjAyY2VhMDJmNjJkYjY5NWY5ZGZmNGMiLCJ1c2VySWQiOiI0NTE5NDQwNTQifQ==</vt:lpwstr>
  </property>
</Properties>
</file>