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版本号：KY2025-1-123920260106001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“五金”建设——课程建设项目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KY2025-1-1239</w:t>
      </w:r>
      <w:r>
        <w:br/>
      </w:r>
      <w:r>
        <w:br/>
      </w:r>
      <w:r>
        <w:br/>
      </w:r>
    </w:p>
    <w:p>
      <w:pPr>
        <w:pStyle w:val="null3"/>
        <w:jc w:val="center"/>
        <w:outlineLvl w:val="2"/>
      </w:pPr>
      <w:r>
        <w:rPr>
          <w:rFonts w:ascii="仿宋_GB2312" w:hAnsi="仿宋_GB2312" w:cs="仿宋_GB2312" w:eastAsia="仿宋_GB2312"/>
          <w:sz w:val="28"/>
          <w:b/>
        </w:rPr>
        <w:t>陕西职业技术学院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陕西职业技术学院</w:t>
      </w:r>
      <w:r>
        <w:rPr>
          <w:rFonts w:ascii="仿宋_GB2312" w:hAnsi="仿宋_GB2312" w:cs="仿宋_GB2312" w:eastAsia="仿宋_GB2312"/>
        </w:rPr>
        <w:t>委托，拟对</w:t>
      </w:r>
      <w:r>
        <w:rPr>
          <w:rFonts w:ascii="仿宋_GB2312" w:hAnsi="仿宋_GB2312" w:cs="仿宋_GB2312" w:eastAsia="仿宋_GB2312"/>
        </w:rPr>
        <w:t>“五金”建设——课程建设项目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KY2025-1-1239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“五金”建设——课程建设项目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陕西职业技术学院“五金”建设——课程建设项目，1项，具体详见磋商文件第3章。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西安市灞桥区狄寨路2028号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029-83325395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杨子雨、韩婷、刘金柯、卢韶华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采购包1：770,000.00元</w:t>
            </w:r>
          </w:p>
          <w:p>
            <w:pPr>
              <w:pStyle w:val="null3"/>
            </w:pPr>
            <w:r>
              <w:rPr>
                <w:rFonts w:ascii="仿宋_GB2312" w:hAnsi="仿宋_GB2312" w:cs="仿宋_GB2312" w:eastAsia="仿宋_GB2312"/>
              </w:rPr>
              <w:t>采购包2：770,000.00元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采购包2保证金金额：15,001.00元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银行账号：86113010750181502000821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说明：1、履约保证金缴纳时间：成交后15日内需要缴纳履约保证金。未在规定时间内缴纳履约保证金视为拒签合同，自动放弃成交资格。 2、履约保证金缴纳形式：成交供应商应当以支票、汇票、本票、保函等非现金形式缴纳。 3、履约保证金的退还：在供应商完成合同全部内容并经采购人最终验收合格之日起满一年后，经采购人确认供应商在此期间已全面、恰当地履行了合同约定的义务，且无任何违约情形的，采购人将一次性无息退还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说明：1、履约保证金缴纳时间：成交后15日内需要缴纳履约保证金。未在规定时间内缴纳履约保证金视为拒签合同，自动放弃成交资格。 2、履约保证金缴纳形式：成交供应商应当以支票、汇票、本票、保函等非现金形式缴纳。 3、履约保证金的退还：在供应商完成合同全部内容并经采购人最终验收合格之日起满一年后，经采购人确认供应商在此期间已全面、恰当地履行了合同约定的义务，且无任何违约情形的，采购人将一次性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代理服务费收费标准：1、参见国家计委颁布的《招标代理服务收费管理暂行办法》（计价格[2002]1980号）规定的招标代理服务收费标准，按照中标金额差额定率累进法计算，按照标准的77%收取。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陕西职业技术学院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依照磋商文件及响应文件、合同条款进行验收，达到国家和行业相关要求。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依照磋商文件及响应文件、合同条款进行验收，达到国家和行业相关要求。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联系人：杨子雨、韩婷</w:t>
      </w:r>
    </w:p>
    <w:p>
      <w:pPr>
        <w:pStyle w:val="null3"/>
      </w:pPr>
      <w:r>
        <w:rPr>
          <w:rFonts w:ascii="仿宋_GB2312" w:hAnsi="仿宋_GB2312" w:cs="仿宋_GB2312" w:eastAsia="仿宋_GB2312"/>
        </w:rPr>
        <w:t>联系电话：029-81206622-822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陕西职业技术学院“五金”建设——课程建设项目，1项，具体详见采购需求。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770,000.00</w:t>
      </w:r>
    </w:p>
    <w:p>
      <w:pPr>
        <w:pStyle w:val="null3"/>
      </w:pPr>
      <w:r>
        <w:rPr>
          <w:rFonts w:ascii="仿宋_GB2312" w:hAnsi="仿宋_GB2312" w:cs="仿宋_GB2312" w:eastAsia="仿宋_GB2312"/>
        </w:rPr>
        <w:t>采购包最高限价（元）: 770,000.00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五金”建设——课程建设（工科）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770,000.00</w:t>
      </w:r>
    </w:p>
    <w:p>
      <w:pPr>
        <w:pStyle w:val="null3"/>
      </w:pPr>
      <w:r>
        <w:rPr>
          <w:rFonts w:ascii="仿宋_GB2312" w:hAnsi="仿宋_GB2312" w:cs="仿宋_GB2312" w:eastAsia="仿宋_GB2312"/>
        </w:rPr>
        <w:t>采购包最高限价（元）: 770,000.00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五金”建设——课程建设（文科）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标的名称：五金”建设——课程建设（工科）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0"/>
                <w:b/>
              </w:rPr>
              <w:t>一、总体要求</w:t>
            </w:r>
          </w:p>
          <w:p>
            <w:pPr>
              <w:pStyle w:val="null3"/>
              <w:ind w:firstLine="400"/>
              <w:jc w:val="both"/>
            </w:pPr>
            <w:r>
              <w:rPr>
                <w:rFonts w:ascii="仿宋_GB2312" w:hAnsi="仿宋_GB2312" w:cs="仿宋_GB2312" w:eastAsia="仿宋_GB2312"/>
                <w:sz w:val="20"/>
              </w:rPr>
              <w:t>本项目对标新一期</w:t>
            </w:r>
            <w:r>
              <w:rPr>
                <w:rFonts w:ascii="仿宋_GB2312" w:hAnsi="仿宋_GB2312" w:cs="仿宋_GB2312" w:eastAsia="仿宋_GB2312"/>
                <w:sz w:val="20"/>
              </w:rPr>
              <w:t>“双高计划”建设任务及职教“五金”要求，内容包括建设一批具备智能技术的数智课程，及升级改造一批在线精品课程资源。</w:t>
            </w:r>
            <w:r>
              <w:rPr>
                <w:rFonts w:ascii="仿宋_GB2312" w:hAnsi="仿宋_GB2312" w:cs="仿宋_GB2312" w:eastAsia="仿宋_GB2312"/>
                <w:sz w:val="20"/>
              </w:rPr>
              <w:t>交付的课程须符合国家在线精品课程标准，提供符合国家在线课程运行要求的课程运行平台，并提供不少于</w:t>
            </w:r>
            <w:r>
              <w:rPr>
                <w:rFonts w:ascii="仿宋_GB2312" w:hAnsi="仿宋_GB2312" w:cs="仿宋_GB2312" w:eastAsia="仿宋_GB2312"/>
                <w:sz w:val="20"/>
              </w:rPr>
              <w:t>5年的</w:t>
            </w:r>
            <w:r>
              <w:rPr>
                <w:rFonts w:ascii="仿宋_GB2312" w:hAnsi="仿宋_GB2312" w:cs="仿宋_GB2312" w:eastAsia="仿宋_GB2312"/>
                <w:sz w:val="20"/>
              </w:rPr>
              <w:t>后期推广服务。项目分为工科、文科</w:t>
            </w:r>
            <w:r>
              <w:rPr>
                <w:rFonts w:ascii="仿宋_GB2312" w:hAnsi="仿宋_GB2312" w:cs="仿宋_GB2312" w:eastAsia="仿宋_GB2312"/>
                <w:sz w:val="20"/>
              </w:rPr>
              <w:t>2个包，</w:t>
            </w:r>
            <w:r>
              <w:rPr>
                <w:rFonts w:ascii="仿宋_GB2312" w:hAnsi="仿宋_GB2312" w:cs="仿宋_GB2312" w:eastAsia="仿宋_GB2312"/>
                <w:sz w:val="20"/>
              </w:rPr>
              <w:t>具体分包如下：</w:t>
            </w:r>
          </w:p>
          <w:tbl>
            <w:tblPr>
              <w:tblBorders>
                <w:top w:val="none" w:color="000000" w:sz="4"/>
                <w:left w:val="none" w:color="000000" w:sz="4"/>
                <w:bottom w:val="none" w:color="000000" w:sz="4"/>
                <w:right w:val="none" w:color="000000" w:sz="4"/>
                <w:insideH w:val="none"/>
                <w:insideV w:val="none"/>
              </w:tblBorders>
            </w:tblPr>
            <w:tblGrid>
              <w:gridCol w:w="277"/>
              <w:gridCol w:w="2538"/>
            </w:tblGrid>
            <w:tr>
              <w:tc>
                <w:tcPr>
                  <w:tcW w:type="dxa" w:w="281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b/>
                    </w:rPr>
                    <w:t>采购包</w:t>
                  </w:r>
                  <w:r>
                    <w:rPr>
                      <w:rFonts w:ascii="仿宋_GB2312" w:hAnsi="仿宋_GB2312" w:cs="仿宋_GB2312" w:eastAsia="仿宋_GB2312"/>
                      <w:sz w:val="20"/>
                      <w:b/>
                    </w:rPr>
                    <w:t>1：工科</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b/>
                    </w:rPr>
                    <w:t>编号</w:t>
                  </w:r>
                </w:p>
              </w:tc>
              <w:tc>
                <w:tcPr>
                  <w:tcW w:type="dxa" w:w="25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b/>
                    </w:rPr>
                    <w:t>课程名称</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1</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rPr>
                    <w:t>移动应用开发</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2</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rPr>
                    <w:t>Linux操作系统管理</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3</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rPr>
                    <w:t>无人机巡检技术</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4</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智能网联新能源汽车技术</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5</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汽车线控技术</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6</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新能源汽车动力蓄电池及管理技术</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7</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新能源汽车故障诊断技术</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8</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rPr>
                    <w:t>LED显示屏系统工程</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9</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地理信息系统技术与应用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10</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装配式建筑施工技术</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11</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平法识图与钢筋翻样</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12</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原有课程视频资源升级（不少于</w:t>
                  </w:r>
                  <w:r>
                    <w:rPr>
                      <w:rFonts w:ascii="仿宋_GB2312" w:hAnsi="仿宋_GB2312" w:cs="仿宋_GB2312" w:eastAsia="仿宋_GB2312"/>
                      <w:sz w:val="20"/>
                      <w:color w:val="000000"/>
                    </w:rPr>
                    <w:t>1600分钟）</w:t>
                  </w:r>
                </w:p>
              </w:tc>
            </w:tr>
            <w:tr>
              <w:tc>
                <w:tcPr>
                  <w:tcW w:type="dxa" w:w="28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b/>
                      <w:color w:val="000000"/>
                    </w:rPr>
                    <w:t>采购包</w:t>
                  </w:r>
                  <w:r>
                    <w:rPr>
                      <w:rFonts w:ascii="仿宋_GB2312" w:hAnsi="仿宋_GB2312" w:cs="仿宋_GB2312" w:eastAsia="仿宋_GB2312"/>
                      <w:sz w:val="20"/>
                      <w:b/>
                      <w:color w:val="000000"/>
                    </w:rPr>
                    <w:t>2：文科</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b/>
                      <w:color w:val="000000"/>
                    </w:rPr>
                    <w:t>编号</w:t>
                  </w:r>
                </w:p>
              </w:tc>
              <w:tc>
                <w:tcPr>
                  <w:tcW w:type="dxa" w:w="25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b/>
                      <w:color w:val="000000"/>
                    </w:rPr>
                    <w:t>课程名称</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1</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传统纹样线描</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2</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智慧文旅数字化应用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3</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融媒体内容制作</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4</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定制旅行设计与运营</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5</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商务数据分析与应用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6</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AIGC+短视频策划制作</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7</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财务管理实务</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8</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短视频创作</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9</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幼儿园课程与活动设计</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10</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高职美育</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11</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新时代中国特色社会主义思想概论</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12</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原有课程视频资源升级（不少于</w:t>
                  </w:r>
                  <w:r>
                    <w:rPr>
                      <w:rFonts w:ascii="仿宋_GB2312" w:hAnsi="仿宋_GB2312" w:cs="仿宋_GB2312" w:eastAsia="仿宋_GB2312"/>
                      <w:sz w:val="20"/>
                      <w:color w:val="000000"/>
                    </w:rPr>
                    <w:t>1200分钟）</w:t>
                  </w:r>
                </w:p>
              </w:tc>
            </w:tr>
          </w:tbl>
          <w:p>
            <w:pPr>
              <w:pStyle w:val="null3"/>
              <w:ind w:firstLine="400"/>
              <w:jc w:val="both"/>
            </w:pPr>
            <w:r>
              <w:rPr>
                <w:rFonts w:ascii="仿宋_GB2312" w:hAnsi="仿宋_GB2312" w:cs="仿宋_GB2312" w:eastAsia="仿宋_GB2312"/>
                <w:sz w:val="20"/>
              </w:rPr>
              <w:t>课程具备</w:t>
            </w:r>
            <w:r>
              <w:rPr>
                <w:rFonts w:ascii="仿宋_GB2312" w:hAnsi="仿宋_GB2312" w:cs="仿宋_GB2312" w:eastAsia="仿宋_GB2312"/>
                <w:sz w:val="20"/>
              </w:rPr>
              <w:t>MOOC 特征，有完备的教学资源，讨论、答疑、作业、测试、考试等环节，涵盖</w:t>
            </w:r>
            <w:r>
              <w:rPr>
                <w:rFonts w:ascii="仿宋_GB2312" w:hAnsi="仿宋_GB2312" w:cs="仿宋_GB2312" w:eastAsia="仿宋_GB2312"/>
                <w:sz w:val="20"/>
              </w:rPr>
              <w:t>课程体系、课程概述（包含：建设成果、教师团队、课程背景、课程简介、课程目标、课程特色、课程知识逻辑、知识结构图、教学计划）、课程框架、知识地图、教学资源（</w:t>
            </w:r>
            <w:r>
              <w:rPr>
                <w:rFonts w:ascii="仿宋_GB2312" w:hAnsi="仿宋_GB2312" w:cs="仿宋_GB2312" w:eastAsia="仿宋_GB2312"/>
                <w:sz w:val="20"/>
              </w:rPr>
              <w:t>授课视频、</w:t>
            </w:r>
            <w:r>
              <w:rPr>
                <w:rFonts w:ascii="仿宋_GB2312" w:hAnsi="仿宋_GB2312" w:cs="仿宋_GB2312" w:eastAsia="仿宋_GB2312"/>
                <w:sz w:val="20"/>
              </w:rPr>
              <w:t>PPT、案例、习题库</w:t>
            </w:r>
            <w:r>
              <w:rPr>
                <w:rFonts w:ascii="仿宋_GB2312" w:hAnsi="仿宋_GB2312" w:cs="仿宋_GB2312" w:eastAsia="仿宋_GB2312"/>
                <w:sz w:val="20"/>
              </w:rPr>
              <w:t>）、知识关系、知识图谱、问题图谱、能力图谱、教学运行等</w:t>
            </w:r>
            <w:r>
              <w:rPr>
                <w:rFonts w:ascii="仿宋_GB2312" w:hAnsi="仿宋_GB2312" w:cs="仿宋_GB2312" w:eastAsia="仿宋_GB2312"/>
                <w:sz w:val="20"/>
              </w:rPr>
              <w:t>，全面</w:t>
            </w:r>
            <w:r>
              <w:rPr>
                <w:rFonts w:ascii="仿宋_GB2312" w:hAnsi="仿宋_GB2312" w:cs="仿宋_GB2312" w:eastAsia="仿宋_GB2312"/>
                <w:sz w:val="20"/>
              </w:rPr>
              <w:t>构建各维度图谱，推动知识图谱向能力图谱的全面转化，</w:t>
            </w:r>
            <w:r>
              <w:rPr>
                <w:rFonts w:ascii="仿宋_GB2312" w:hAnsi="仿宋_GB2312" w:cs="仿宋_GB2312" w:eastAsia="仿宋_GB2312"/>
                <w:sz w:val="20"/>
              </w:rPr>
              <w:t>配备丰富的</w:t>
            </w:r>
            <w:r>
              <w:rPr>
                <w:rFonts w:ascii="仿宋_GB2312" w:hAnsi="仿宋_GB2312" w:cs="仿宋_GB2312" w:eastAsia="仿宋_GB2312"/>
                <w:sz w:val="20"/>
              </w:rPr>
              <w:t>AI教学工具，覆盖多种应用场景。</w:t>
            </w:r>
          </w:p>
          <w:p>
            <w:pPr>
              <w:pStyle w:val="null3"/>
              <w:ind w:firstLine="400"/>
              <w:jc w:val="both"/>
            </w:pPr>
            <w:r>
              <w:rPr>
                <w:rFonts w:ascii="仿宋_GB2312" w:hAnsi="仿宋_GB2312" w:cs="仿宋_GB2312" w:eastAsia="仿宋_GB2312"/>
                <w:sz w:val="20"/>
              </w:rPr>
              <w:t>课程课时不少于</w:t>
            </w:r>
            <w:r>
              <w:rPr>
                <w:rFonts w:ascii="仿宋_GB2312" w:hAnsi="仿宋_GB2312" w:cs="仿宋_GB2312" w:eastAsia="仿宋_GB2312"/>
                <w:sz w:val="20"/>
              </w:rPr>
              <w:t>32课时，</w:t>
            </w:r>
            <w:r>
              <w:rPr>
                <w:rFonts w:ascii="仿宋_GB2312" w:hAnsi="仿宋_GB2312" w:cs="仿宋_GB2312" w:eastAsia="仿宋_GB2312"/>
                <w:sz w:val="20"/>
              </w:rPr>
              <w:t>授课视频数需不小于</w:t>
            </w:r>
            <w:r>
              <w:rPr>
                <w:rFonts w:ascii="仿宋_GB2312" w:hAnsi="仿宋_GB2312" w:cs="仿宋_GB2312" w:eastAsia="仿宋_GB2312"/>
                <w:sz w:val="20"/>
              </w:rPr>
              <w:t>55个、时长不低于550分钟，案例不少于20个，习题不少于500个，同时</w:t>
            </w:r>
            <w:r>
              <w:rPr>
                <w:rFonts w:ascii="仿宋_GB2312" w:hAnsi="仿宋_GB2312" w:cs="仿宋_GB2312" w:eastAsia="仿宋_GB2312"/>
                <w:sz w:val="20"/>
              </w:rPr>
              <w:t>建设知识图谱，问题图谱和能力图谱，知识点数量不少于</w:t>
            </w:r>
            <w:r>
              <w:rPr>
                <w:rFonts w:ascii="仿宋_GB2312" w:hAnsi="仿宋_GB2312" w:cs="仿宋_GB2312" w:eastAsia="仿宋_GB2312"/>
                <w:sz w:val="20"/>
              </w:rPr>
              <w:t>50</w:t>
            </w:r>
            <w:r>
              <w:rPr>
                <w:rFonts w:ascii="仿宋_GB2312" w:hAnsi="仿宋_GB2312" w:cs="仿宋_GB2312" w:eastAsia="仿宋_GB2312"/>
                <w:sz w:val="20"/>
              </w:rPr>
              <w:t>个</w:t>
            </w:r>
            <w:r>
              <w:rPr>
                <w:rFonts w:ascii="仿宋_GB2312" w:hAnsi="仿宋_GB2312" w:cs="仿宋_GB2312" w:eastAsia="仿宋_GB2312"/>
                <w:sz w:val="20"/>
              </w:rPr>
              <w:t>，知识关系不少于</w:t>
            </w:r>
            <w:r>
              <w:rPr>
                <w:rFonts w:ascii="仿宋_GB2312" w:hAnsi="仿宋_GB2312" w:cs="仿宋_GB2312" w:eastAsia="仿宋_GB2312"/>
                <w:sz w:val="20"/>
              </w:rPr>
              <w:t>3种，问题数量不少于20个，能力数量不少于3个，挂载资源数量不少于50个</w:t>
            </w:r>
            <w:r>
              <w:rPr>
                <w:rFonts w:ascii="仿宋_GB2312" w:hAnsi="仿宋_GB2312" w:cs="仿宋_GB2312" w:eastAsia="仿宋_GB2312"/>
                <w:sz w:val="20"/>
              </w:rPr>
              <w:t>。</w:t>
            </w:r>
          </w:p>
          <w:p>
            <w:pPr>
              <w:pStyle w:val="null3"/>
              <w:ind w:firstLine="402"/>
              <w:jc w:val="left"/>
            </w:pPr>
            <w:r>
              <w:rPr>
                <w:rFonts w:ascii="仿宋_GB2312" w:hAnsi="仿宋_GB2312" w:cs="仿宋_GB2312" w:eastAsia="仿宋_GB2312"/>
                <w:sz w:val="20"/>
                <w:b/>
              </w:rPr>
              <w:t>二、建设标准</w:t>
            </w:r>
          </w:p>
          <w:p>
            <w:pPr>
              <w:pStyle w:val="null3"/>
              <w:ind w:firstLine="400"/>
              <w:jc w:val="both"/>
            </w:pPr>
            <w:r>
              <w:rPr>
                <w:rFonts w:ascii="仿宋_GB2312" w:hAnsi="仿宋_GB2312" w:cs="仿宋_GB2312" w:eastAsia="仿宋_GB2312"/>
                <w:sz w:val="20"/>
              </w:rPr>
              <w:t>数智课程依托新一代信息技术与</w:t>
            </w:r>
            <w:r>
              <w:rPr>
                <w:rFonts w:ascii="仿宋_GB2312" w:hAnsi="仿宋_GB2312" w:cs="仿宋_GB2312" w:eastAsia="仿宋_GB2312"/>
                <w:sz w:val="20"/>
              </w:rPr>
              <w:t>AI 大模型，构建以学生为中心、以能力为导向、以数据为驱动的智能化课程体系，整合应用传统教学资源，推动教育教学模式创新，提升人才培养质量。基于课程的进程安排、教育内容、结构等要素，明确课程本身的教学特色，重构课程教学体系、应用大量AI引擎工具优化课程的教、学、考、评、测多维度的教学场景，并向学生提供完整的课程知识结构，打牢专业基础。</w:t>
            </w:r>
          </w:p>
          <w:p>
            <w:pPr>
              <w:pStyle w:val="null3"/>
              <w:ind w:firstLine="402"/>
              <w:jc w:val="both"/>
            </w:pPr>
            <w:r>
              <w:rPr>
                <w:rFonts w:ascii="仿宋_GB2312" w:hAnsi="仿宋_GB2312" w:cs="仿宋_GB2312" w:eastAsia="仿宋_GB2312"/>
                <w:sz w:val="20"/>
                <w:b/>
              </w:rPr>
              <w:t>（一）课程拍摄</w:t>
            </w:r>
          </w:p>
          <w:p>
            <w:pPr>
              <w:pStyle w:val="null3"/>
              <w:ind w:firstLine="400"/>
              <w:jc w:val="both"/>
            </w:pPr>
            <w:r>
              <w:rPr>
                <w:rFonts w:ascii="仿宋_GB2312" w:hAnsi="仿宋_GB2312" w:cs="仿宋_GB2312" w:eastAsia="仿宋_GB2312"/>
                <w:sz w:val="20"/>
              </w:rPr>
              <w:t>以精品课拍摄制作为基础，具体服务包括：精品微课资源拍摄及制作，样片风格设计、</w:t>
            </w:r>
            <w:r>
              <w:rPr>
                <w:rFonts w:ascii="仿宋_GB2312" w:hAnsi="仿宋_GB2312" w:cs="仿宋_GB2312" w:eastAsia="仿宋_GB2312"/>
                <w:sz w:val="20"/>
              </w:rPr>
              <w:t>根据</w:t>
            </w:r>
            <w:r>
              <w:rPr>
                <w:rFonts w:ascii="仿宋_GB2312" w:hAnsi="仿宋_GB2312" w:cs="仿宋_GB2312" w:eastAsia="仿宋_GB2312"/>
                <w:sz w:val="20"/>
              </w:rPr>
              <w:t>需求进行课程视频剪辑、课程动画制作、课程字幕编排以及课程输出等服务。每门课程资源制作完成后交付成品视频和工程文件，并先行上线到</w:t>
            </w:r>
            <w:r>
              <w:rPr>
                <w:rFonts w:ascii="仿宋_GB2312" w:hAnsi="仿宋_GB2312" w:cs="仿宋_GB2312" w:eastAsia="仿宋_GB2312"/>
                <w:sz w:val="20"/>
              </w:rPr>
              <w:t>SPOC平台试运行。</w:t>
            </w:r>
          </w:p>
          <w:p>
            <w:pPr>
              <w:pStyle w:val="null3"/>
              <w:ind w:firstLine="400"/>
              <w:jc w:val="both"/>
            </w:pPr>
            <w:r>
              <w:rPr>
                <w:rFonts w:ascii="仿宋_GB2312" w:hAnsi="仿宋_GB2312" w:cs="仿宋_GB2312" w:eastAsia="仿宋_GB2312"/>
                <w:sz w:val="20"/>
              </w:rPr>
              <w:t>每个短视频应针对各模块知识点或专题设置内嵌测试的作业题或讨论题，以帮助学习者掌握学习内容或测试学习者学习效果，时长以</w:t>
            </w:r>
            <w:r>
              <w:rPr>
                <w:rFonts w:ascii="仿宋_GB2312" w:hAnsi="仿宋_GB2312" w:cs="仿宋_GB2312" w:eastAsia="仿宋_GB2312"/>
                <w:sz w:val="20"/>
              </w:rPr>
              <w:t>5-</w:t>
            </w:r>
            <w:r>
              <w:rPr>
                <w:rFonts w:ascii="仿宋_GB2312" w:hAnsi="仿宋_GB2312" w:cs="仿宋_GB2312" w:eastAsia="仿宋_GB2312"/>
                <w:sz w:val="20"/>
              </w:rPr>
              <w:t>1</w:t>
            </w:r>
            <w:r>
              <w:rPr>
                <w:rFonts w:ascii="仿宋_GB2312" w:hAnsi="仿宋_GB2312" w:cs="仿宋_GB2312" w:eastAsia="仿宋_GB2312"/>
                <w:sz w:val="20"/>
              </w:rPr>
              <w:t>0分钟为宜</w:t>
            </w:r>
            <w:r>
              <w:rPr>
                <w:rFonts w:ascii="仿宋_GB2312" w:hAnsi="仿宋_GB2312" w:cs="仿宋_GB2312" w:eastAsia="仿宋_GB2312"/>
                <w:sz w:val="20"/>
              </w:rPr>
              <w:t>，</w:t>
            </w:r>
            <w:r>
              <w:rPr>
                <w:rFonts w:ascii="仿宋_GB2312" w:hAnsi="仿宋_GB2312" w:cs="仿宋_GB2312" w:eastAsia="仿宋_GB2312"/>
                <w:sz w:val="20"/>
              </w:rPr>
              <w:t>课程设置应与本校课堂教学的要求相当。</w:t>
            </w:r>
          </w:p>
          <w:p>
            <w:pPr>
              <w:pStyle w:val="null3"/>
              <w:ind w:firstLine="400"/>
              <w:jc w:val="both"/>
            </w:pPr>
            <w:r>
              <w:rPr>
                <w:rFonts w:ascii="仿宋_GB2312" w:hAnsi="仿宋_GB2312" w:cs="仿宋_GB2312" w:eastAsia="仿宋_GB2312"/>
                <w:sz w:val="20"/>
              </w:rPr>
              <w:t>课程资源应力求丰富多样，</w:t>
            </w:r>
            <w:r>
              <w:rPr>
                <w:rFonts w:ascii="仿宋_GB2312" w:hAnsi="仿宋_GB2312" w:cs="仿宋_GB2312" w:eastAsia="仿宋_GB2312"/>
                <w:sz w:val="20"/>
              </w:rPr>
              <w:t>配有字幕，</w:t>
            </w:r>
            <w:r>
              <w:rPr>
                <w:rFonts w:ascii="仿宋_GB2312" w:hAnsi="仿宋_GB2312" w:cs="仿宋_GB2312" w:eastAsia="仿宋_GB2312"/>
                <w:sz w:val="20"/>
              </w:rPr>
              <w:t>要合理使用文本、图形（图像）、音频、视频、动画和虚拟仿真等各类素材，充分发挥信息技术优化传统教学的优势，提高微课程、动画、虚拟仿真等资源比例。资源的形式规格应遵循行业通行的网络教育技术标准。</w:t>
            </w:r>
          </w:p>
          <w:p>
            <w:pPr>
              <w:pStyle w:val="null3"/>
              <w:ind w:firstLine="400"/>
              <w:jc w:val="both"/>
            </w:pPr>
            <w:r>
              <w:rPr>
                <w:rFonts w:ascii="仿宋_GB2312" w:hAnsi="仿宋_GB2312" w:cs="仿宋_GB2312" w:eastAsia="仿宋_GB2312"/>
                <w:sz w:val="20"/>
              </w:rPr>
              <w:t>课程建设负责人应具有丰富的教学经验和较高的学术造诣的教师，课程组成员均在教学一线长期承担本课程教学任务。除主讲教师外，还需配备必要助理教师和现代教育技术人员，能长期在线服务课程建设，承担课程内容更新、在线辅导、答疑等。课程正式运行后，能保证每学年都正常运行和使用</w:t>
            </w:r>
            <w:r>
              <w:rPr>
                <w:rFonts w:ascii="仿宋_GB2312" w:hAnsi="仿宋_GB2312" w:cs="仿宋_GB2312" w:eastAsia="仿宋_GB2312"/>
                <w:sz w:val="20"/>
              </w:rPr>
              <w:t>，</w:t>
            </w:r>
            <w:r>
              <w:rPr>
                <w:rFonts w:ascii="仿宋_GB2312" w:hAnsi="仿宋_GB2312" w:cs="仿宋_GB2312" w:eastAsia="仿宋_GB2312"/>
                <w:sz w:val="20"/>
              </w:rPr>
              <w:t>课程团队应负责课程相关教师的培训及教学研讨工作。</w:t>
            </w:r>
          </w:p>
          <w:p>
            <w:pPr>
              <w:pStyle w:val="null3"/>
              <w:ind w:firstLine="400"/>
              <w:jc w:val="both"/>
            </w:pPr>
            <w:r>
              <w:rPr>
                <w:rFonts w:ascii="仿宋_GB2312" w:hAnsi="仿宋_GB2312" w:cs="仿宋_GB2312" w:eastAsia="仿宋_GB2312"/>
                <w:sz w:val="20"/>
              </w:rPr>
              <w:t>严格遵守国家网络与信息安全管理规范，依法依规开展教学活动，实施对课程内容、讨论内容、学习过程内容的有效监管，防范和及时制止网络有害信息的传播。重视版权和知识产权问题，构建课程内容所使用的图片、音视频等素材应注明出处。</w:t>
            </w:r>
            <w:r>
              <w:rPr>
                <w:rFonts w:ascii="仿宋_GB2312" w:hAnsi="仿宋_GB2312" w:cs="仿宋_GB2312" w:eastAsia="仿宋_GB2312"/>
                <w:sz w:val="20"/>
              </w:rPr>
              <w:t>学</w:t>
            </w:r>
            <w:r>
              <w:rPr>
                <w:rFonts w:ascii="仿宋_GB2312" w:hAnsi="仿宋_GB2312" w:cs="仿宋_GB2312" w:eastAsia="仿宋_GB2312"/>
                <w:sz w:val="20"/>
              </w:rPr>
              <w:t>校、课程建设团队均须签订平等互利的知识产权保障协议，明确各方权利和义务，切实保障各方权益。</w:t>
            </w:r>
          </w:p>
          <w:p>
            <w:pPr>
              <w:pStyle w:val="null3"/>
              <w:ind w:firstLine="402"/>
              <w:jc w:val="both"/>
            </w:pPr>
            <w:r>
              <w:rPr>
                <w:rFonts w:ascii="仿宋_GB2312" w:hAnsi="仿宋_GB2312" w:cs="仿宋_GB2312" w:eastAsia="仿宋_GB2312"/>
                <w:sz w:val="20"/>
                <w:b/>
              </w:rPr>
              <w:t>（二）知识图谱构建</w:t>
            </w:r>
          </w:p>
          <w:p>
            <w:pPr>
              <w:pStyle w:val="null3"/>
              <w:ind w:firstLine="400"/>
              <w:jc w:val="both"/>
            </w:pPr>
            <w:r>
              <w:rPr>
                <w:rFonts w:ascii="仿宋_GB2312" w:hAnsi="仿宋_GB2312" w:cs="仿宋_GB2312" w:eastAsia="仿宋_GB2312"/>
                <w:sz w:val="20"/>
              </w:rPr>
              <w:t>课程知识图谱将课程知识点以可视化的方式呈现，帮助学生梳理知识体系，理解知识点之间的关联和逻辑结构。学习地图帮助学生按顺序进行学习，同时侧重于知识点学习路径的展示。知识列表展示知识图谱中全部的知识点，学生可以在知识列表中查看知识点名称、知识点标签、该知识点的掌握率、该知识点的完成率、创建人、以及创建日期。问题图谱将知识点和问题相结合，以问题为导向让学生进行探索学习。目标图谱将课程大纲可视化，把课程目标和知识点结合，进行成果导向式学习。思政图谱将课程思政元素的知识点呈现出来，帮学生构建扎实的思政知识体系，让学生深化对核心价值观的认知。通过对学生学习数据的分析，如学习时长、答题准确率、知识点掌握情况等，智能推荐适合学生的学习知识点。实时记录学生的学习进度，包括已完成的课程章节、学习时间、作业提交情况等，并以可视化的形式展示给学生，让学生清晰了解自己的学习进程。</w:t>
            </w:r>
          </w:p>
          <w:p>
            <w:pPr>
              <w:pStyle w:val="null3"/>
              <w:ind w:firstLine="402"/>
              <w:jc w:val="both"/>
            </w:pPr>
            <w:r>
              <w:rPr>
                <w:rFonts w:ascii="仿宋_GB2312" w:hAnsi="仿宋_GB2312" w:cs="仿宋_GB2312" w:eastAsia="仿宋_GB2312"/>
                <w:sz w:val="20"/>
                <w:b/>
              </w:rPr>
              <w:t>（三）</w:t>
            </w:r>
            <w:r>
              <w:rPr>
                <w:rFonts w:ascii="仿宋_GB2312" w:hAnsi="仿宋_GB2312" w:cs="仿宋_GB2312" w:eastAsia="仿宋_GB2312"/>
                <w:sz w:val="20"/>
                <w:b/>
              </w:rPr>
              <w:t>AI 教学工具</w:t>
            </w:r>
          </w:p>
          <w:p>
            <w:pPr>
              <w:pStyle w:val="null3"/>
              <w:ind w:firstLine="400"/>
              <w:jc w:val="both"/>
            </w:pPr>
            <w:r>
              <w:rPr>
                <w:rFonts w:ascii="仿宋_GB2312" w:hAnsi="仿宋_GB2312" w:cs="仿宋_GB2312" w:eastAsia="仿宋_GB2312"/>
                <w:sz w:val="20"/>
              </w:rPr>
              <w:t>基于教学设计模型，协助老师完成智慧课程教学系统化设计，配备丰富的</w:t>
            </w:r>
            <w:r>
              <w:rPr>
                <w:rFonts w:ascii="仿宋_GB2312" w:hAnsi="仿宋_GB2312" w:cs="仿宋_GB2312" w:eastAsia="仿宋_GB2312"/>
                <w:sz w:val="20"/>
              </w:rPr>
              <w:t>AI 教学工具，覆盖多种应用场景，为教学提供高效、智能的支持</w:t>
            </w:r>
            <w:r>
              <w:rPr>
                <w:rFonts w:ascii="仿宋_GB2312" w:hAnsi="仿宋_GB2312" w:cs="仿宋_GB2312" w:eastAsia="仿宋_GB2312"/>
                <w:sz w:val="20"/>
              </w:rPr>
              <w:t>，</w:t>
            </w:r>
            <w:r>
              <w:rPr>
                <w:rFonts w:ascii="仿宋_GB2312" w:hAnsi="仿宋_GB2312" w:cs="仿宋_GB2312" w:eastAsia="仿宋_GB2312"/>
                <w:sz w:val="20"/>
              </w:rPr>
              <w:t>促进人工智能应用场景的落地。通过任务引擎创建课程项目或任务，支持老师开展以</w:t>
            </w:r>
            <w:r>
              <w:rPr>
                <w:rFonts w:ascii="仿宋_GB2312" w:hAnsi="仿宋_GB2312" w:cs="仿宋_GB2312" w:eastAsia="仿宋_GB2312"/>
                <w:sz w:val="20"/>
              </w:rPr>
              <w:t>PBL、项目式教学、任务驱动教学、案例式教学、CDIO 等多种行动导向教学模式，通过系列任务为抓手</w:t>
            </w:r>
            <w:r>
              <w:rPr>
                <w:rFonts w:ascii="仿宋_GB2312" w:hAnsi="仿宋_GB2312" w:cs="仿宋_GB2312" w:eastAsia="仿宋_GB2312"/>
                <w:sz w:val="20"/>
              </w:rPr>
              <w:t>，</w:t>
            </w:r>
            <w:r>
              <w:rPr>
                <w:rFonts w:ascii="仿宋_GB2312" w:hAnsi="仿宋_GB2312" w:cs="仿宋_GB2312" w:eastAsia="仿宋_GB2312"/>
                <w:sz w:val="20"/>
              </w:rPr>
              <w:t>实现以学生为中心</w:t>
            </w:r>
            <w:r>
              <w:rPr>
                <w:rFonts w:ascii="仿宋_GB2312" w:hAnsi="仿宋_GB2312" w:cs="仿宋_GB2312" w:eastAsia="仿宋_GB2312"/>
                <w:sz w:val="20"/>
              </w:rPr>
              <w:t>、</w:t>
            </w:r>
            <w:r>
              <w:rPr>
                <w:rFonts w:ascii="仿宋_GB2312" w:hAnsi="仿宋_GB2312" w:cs="仿宋_GB2312" w:eastAsia="仿宋_GB2312"/>
                <w:sz w:val="20"/>
              </w:rPr>
              <w:t>以高阶能力培养为导向的教学模式转型落地。</w:t>
            </w:r>
          </w:p>
          <w:p>
            <w:pPr>
              <w:pStyle w:val="null3"/>
              <w:ind w:firstLine="402"/>
              <w:jc w:val="left"/>
            </w:pPr>
            <w:r>
              <w:rPr>
                <w:rFonts w:ascii="仿宋_GB2312" w:hAnsi="仿宋_GB2312" w:cs="仿宋_GB2312" w:eastAsia="仿宋_GB2312"/>
                <w:sz w:val="20"/>
                <w:b/>
              </w:rPr>
              <w:t>三</w:t>
            </w:r>
            <w:r>
              <w:rPr>
                <w:rFonts w:ascii="仿宋_GB2312" w:hAnsi="仿宋_GB2312" w:cs="仿宋_GB2312" w:eastAsia="仿宋_GB2312"/>
                <w:sz w:val="20"/>
                <w:b/>
              </w:rPr>
              <w:t>、课程技术制作规范</w:t>
            </w:r>
          </w:p>
          <w:p>
            <w:pPr>
              <w:pStyle w:val="null3"/>
              <w:ind w:firstLine="400"/>
              <w:jc w:val="both"/>
            </w:pPr>
            <w:r>
              <w:rPr>
                <w:rFonts w:ascii="仿宋_GB2312" w:hAnsi="仿宋_GB2312" w:cs="仿宋_GB2312" w:eastAsia="仿宋_GB2312"/>
                <w:sz w:val="20"/>
              </w:rPr>
              <w:t>在线课程资源支持多平台在线学习要求。</w:t>
            </w:r>
          </w:p>
          <w:p>
            <w:pPr>
              <w:pStyle w:val="null3"/>
              <w:ind w:firstLine="402"/>
              <w:jc w:val="left"/>
            </w:pPr>
            <w:r>
              <w:rPr>
                <w:rFonts w:ascii="仿宋_GB2312" w:hAnsi="仿宋_GB2312" w:cs="仿宋_GB2312" w:eastAsia="仿宋_GB2312"/>
                <w:sz w:val="20"/>
                <w:b/>
              </w:rPr>
              <w:t>（一）视频内容</w:t>
            </w:r>
          </w:p>
          <w:p>
            <w:pPr>
              <w:pStyle w:val="null3"/>
              <w:ind w:firstLine="400"/>
              <w:jc w:val="both"/>
            </w:pPr>
            <w:r>
              <w:rPr>
                <w:rFonts w:ascii="仿宋_GB2312" w:hAnsi="仿宋_GB2312" w:cs="仿宋_GB2312" w:eastAsia="仿宋_GB2312"/>
                <w:sz w:val="20"/>
              </w:rPr>
              <w:t>在线开放课程建设需要提供翻转课堂和混合式的课程设计，包括在线课程设计、见面课设计、在线论坛设计和翻转课堂教学设计。屏幕图像的构图合理，画面主体突出。人像及肢体动作以及配合讲授选用的板书、画板、教具实物、模型和实验设备等均不能超出镜头所及范围。授课视频的背景可采用彩色喷绘、电脑虚拟或现场实景等背景。背景的颜色、图案不易过多，画面应简洁、明快，有利于营造学习气氛。摄像镜头应保持与主讲教师目光平视的角度。主讲教师不应较长时间仰视或俯视。使用资料、图片、外景实拍、实验和表演等形象化教学手段，应符合教学内容要求，与讲授内容联系紧密，手段选用恰当。选用影视作品或自拍素材，应注明素材来源。影视作品或自拍素材中涉及人物访谈内容时，应加注人物介绍。选用的资料、图片等素材画面应清楚，对于历史资料、图片应进行再加工。选用的资料、图片等素材应注明素材来源及原始信息（如字画的作品、生卒年月，影视片断的作品名称、创作年代等信息）。</w:t>
            </w:r>
          </w:p>
          <w:p>
            <w:pPr>
              <w:pStyle w:val="null3"/>
              <w:ind w:firstLine="400"/>
              <w:jc w:val="both"/>
            </w:pPr>
            <w:r>
              <w:rPr>
                <w:rFonts w:ascii="仿宋_GB2312" w:hAnsi="仿宋_GB2312" w:cs="仿宋_GB2312" w:eastAsia="仿宋_GB2312"/>
                <w:sz w:val="20"/>
              </w:rPr>
              <w:t>课程设计咨询：辅助教学团队完成课程概要设计，主要包括课程背景、课程目标、课程设计原则、学分学时及学时分配、教学大纲、内容框架、考核方式、教学团队、章、节、知识点、见面课教程等的开发与设计。</w:t>
            </w:r>
          </w:p>
          <w:p>
            <w:pPr>
              <w:pStyle w:val="null3"/>
              <w:ind w:firstLine="400"/>
              <w:jc w:val="both"/>
            </w:pPr>
            <w:r>
              <w:rPr>
                <w:rFonts w:ascii="仿宋_GB2312" w:hAnsi="仿宋_GB2312" w:cs="仿宋_GB2312" w:eastAsia="仿宋_GB2312"/>
                <w:sz w:val="20"/>
              </w:rPr>
              <w:t>教程制作服务：碎片化视频拍摄、视频编辑脚本制作、见面课教程设计咨询、共享课程质量评审、课程</w:t>
            </w:r>
            <w:r>
              <w:rPr>
                <w:rFonts w:ascii="仿宋_GB2312" w:hAnsi="仿宋_GB2312" w:cs="仿宋_GB2312" w:eastAsia="仿宋_GB2312"/>
                <w:sz w:val="20"/>
              </w:rPr>
              <w:t>VI套件设计服务、课程片花制作服务和组织资源进行课程上线等服务。</w:t>
            </w:r>
          </w:p>
          <w:p>
            <w:pPr>
              <w:pStyle w:val="null3"/>
              <w:ind w:firstLine="402"/>
              <w:jc w:val="left"/>
            </w:pPr>
            <w:r>
              <w:rPr>
                <w:rFonts w:ascii="仿宋_GB2312" w:hAnsi="仿宋_GB2312" w:cs="仿宋_GB2312" w:eastAsia="仿宋_GB2312"/>
                <w:sz w:val="20"/>
                <w:b/>
              </w:rPr>
              <w:t>（二）视频技术规格</w:t>
            </w:r>
          </w:p>
          <w:p>
            <w:pPr>
              <w:pStyle w:val="null3"/>
              <w:ind w:firstLine="400"/>
              <w:jc w:val="both"/>
            </w:pPr>
            <w:r>
              <w:rPr>
                <w:rFonts w:ascii="仿宋_GB2312" w:hAnsi="仿宋_GB2312" w:cs="仿宋_GB2312" w:eastAsia="仿宋_GB2312"/>
                <w:sz w:val="20"/>
              </w:rPr>
              <w:t>1.视频信号源</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1）稳定性：全片图像同步性能稳定，无失步现象，图像无抖动跳跃，色彩无突变，编辑点处图像稳定。</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2）色调：白平衡正确，无明显偏色，多机拍摄的镜头衔接处无明显色差。</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3）画幅：采用16:9，1080p。</w:t>
            </w:r>
          </w:p>
          <w:p>
            <w:pPr>
              <w:pStyle w:val="null3"/>
              <w:ind w:firstLine="400"/>
              <w:jc w:val="both"/>
            </w:pPr>
            <w:r>
              <w:rPr>
                <w:rFonts w:ascii="仿宋_GB2312" w:hAnsi="仿宋_GB2312" w:cs="仿宋_GB2312" w:eastAsia="仿宋_GB2312"/>
                <w:sz w:val="20"/>
              </w:rPr>
              <w:t>2.音频信号源</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1）声道：教师讲授内容音频信号记录于第1声道，音乐、音效、同期声记录于第2声道，若有其他文字解说记录于第3声道(如录音设备无第3声道,则录于第2声道)。</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）声音和画面要求同步，无交流声或其他杂音等缺陷。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）伴音清晰、饱满、圆润，无失真、噪声杂音干扰、音量忽大忽小现象。解说声与现场声无明显比例失调，解说声与背景音乐无明显比例失调。</w:t>
            </w:r>
          </w:p>
          <w:p>
            <w:pPr>
              <w:pStyle w:val="null3"/>
              <w:ind w:firstLine="400"/>
              <w:jc w:val="both"/>
            </w:pPr>
            <w:r>
              <w:rPr>
                <w:rFonts w:ascii="仿宋_GB2312" w:hAnsi="仿宋_GB2312" w:cs="仿宋_GB2312" w:eastAsia="仿宋_GB2312"/>
                <w:sz w:val="20"/>
              </w:rPr>
              <w:t>3.视频压缩格式及技术参数</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1）视频压缩采用H.264/AVC (MPEG-4 Part10)编码、使用二次编码、不包含字幕的MP4格式。</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2）视频码流率：动态码流的最低码率不得低于1024Kb。</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3）视频分辨率</w:t>
            </w:r>
            <w:r>
              <w:rPr>
                <w:rFonts w:ascii="仿宋_GB2312" w:hAnsi="仿宋_GB2312" w:cs="仿宋_GB2312" w:eastAsia="仿宋_GB2312"/>
                <w:sz w:val="20"/>
              </w:rPr>
              <w:t>：</w:t>
            </w:r>
            <w:r>
              <w:rPr>
                <w:rFonts w:ascii="仿宋_GB2312" w:hAnsi="仿宋_GB2312" w:cs="仿宋_GB2312" w:eastAsia="仿宋_GB2312"/>
                <w:sz w:val="20"/>
              </w:rPr>
              <w:t>前期采用高清</w:t>
            </w:r>
            <w:r>
              <w:rPr>
                <w:rFonts w:ascii="仿宋_GB2312" w:hAnsi="仿宋_GB2312" w:cs="仿宋_GB2312" w:eastAsia="仿宋_GB2312"/>
                <w:sz w:val="20"/>
              </w:rPr>
              <w:t>16:9拍摄，请设定为1920×1080。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4）视频画幅宽高比</w:t>
            </w:r>
            <w:r>
              <w:rPr>
                <w:rFonts w:ascii="仿宋_GB2312" w:hAnsi="仿宋_GB2312" w:cs="仿宋_GB2312" w:eastAsia="仿宋_GB2312"/>
                <w:sz w:val="20"/>
              </w:rPr>
              <w:t>：</w:t>
            </w:r>
            <w:r>
              <w:rPr>
                <w:rFonts w:ascii="仿宋_GB2312" w:hAnsi="仿宋_GB2312" w:cs="仿宋_GB2312" w:eastAsia="仿宋_GB2312"/>
                <w:sz w:val="20"/>
              </w:rPr>
              <w:t>视频画幅宽高比为</w:t>
            </w:r>
            <w:r>
              <w:rPr>
                <w:rFonts w:ascii="仿宋_GB2312" w:hAnsi="仿宋_GB2312" w:cs="仿宋_GB2312" w:eastAsia="仿宋_GB2312"/>
                <w:sz w:val="20"/>
              </w:rPr>
              <w:t>16:9，分辨率设定为1920×1080。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5）视频帧率为25帧/秒。</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6）扫描方式采用逐行扫描。</w:t>
            </w:r>
          </w:p>
          <w:p>
            <w:pPr>
              <w:pStyle w:val="null3"/>
              <w:ind w:firstLine="400"/>
              <w:jc w:val="both"/>
            </w:pPr>
            <w:r>
              <w:rPr>
                <w:rFonts w:ascii="仿宋_GB2312" w:hAnsi="仿宋_GB2312" w:cs="仿宋_GB2312" w:eastAsia="仿宋_GB2312"/>
                <w:sz w:val="20"/>
              </w:rPr>
              <w:t>4.音频压缩格式及技术参数</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1）音频压缩采用AAC(MPEG4 Part3)格式。</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2）采样率48KHz。</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3）音频码流率128Kbps (恒定)。</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4）必须是双声道，必须做混音处理。</w:t>
            </w:r>
          </w:p>
          <w:p>
            <w:pPr>
              <w:pStyle w:val="null3"/>
              <w:ind w:firstLine="400"/>
              <w:jc w:val="both"/>
            </w:pPr>
            <w:r>
              <w:rPr>
                <w:rFonts w:ascii="仿宋_GB2312" w:hAnsi="仿宋_GB2312" w:cs="仿宋_GB2312" w:eastAsia="仿宋_GB2312"/>
                <w:sz w:val="20"/>
              </w:rPr>
              <w:t>5.封装</w:t>
            </w:r>
          </w:p>
          <w:p>
            <w:pPr>
              <w:pStyle w:val="null3"/>
              <w:ind w:firstLine="400"/>
              <w:jc w:val="both"/>
            </w:pPr>
            <w:r>
              <w:rPr>
                <w:rFonts w:ascii="仿宋_GB2312" w:hAnsi="仿宋_GB2312" w:cs="仿宋_GB2312" w:eastAsia="仿宋_GB2312"/>
                <w:sz w:val="20"/>
              </w:rPr>
              <w:t>视频采用</w:t>
            </w:r>
            <w:r>
              <w:rPr>
                <w:rFonts w:ascii="仿宋_GB2312" w:hAnsi="仿宋_GB2312" w:cs="仿宋_GB2312" w:eastAsia="仿宋_GB2312"/>
                <w:sz w:val="20"/>
              </w:rPr>
              <w:t>MP4封装，单个视频文件小于200MB。</w:t>
            </w:r>
          </w:p>
          <w:p>
            <w:pPr>
              <w:pStyle w:val="null3"/>
              <w:ind w:firstLine="400"/>
              <w:jc w:val="both"/>
            </w:pPr>
            <w:r>
              <w:rPr>
                <w:rFonts w:ascii="仿宋_GB2312" w:hAnsi="仿宋_GB2312" w:cs="仿宋_GB2312" w:eastAsia="仿宋_GB2312"/>
                <w:sz w:val="20"/>
              </w:rPr>
              <w:t>字幕文件采用</w:t>
            </w:r>
            <w:r>
              <w:rPr>
                <w:rFonts w:ascii="仿宋_GB2312" w:hAnsi="仿宋_GB2312" w:cs="仿宋_GB2312" w:eastAsia="仿宋_GB2312"/>
                <w:sz w:val="20"/>
              </w:rPr>
              <w:t>SRT格式，中英文字幕需分成两个SRT文件。</w:t>
            </w:r>
          </w:p>
          <w:p>
            <w:pPr>
              <w:pStyle w:val="null3"/>
              <w:ind w:firstLine="400"/>
              <w:jc w:val="both"/>
            </w:pPr>
            <w:r>
              <w:rPr>
                <w:rFonts w:ascii="仿宋_GB2312" w:hAnsi="仿宋_GB2312" w:cs="仿宋_GB2312" w:eastAsia="仿宋_GB2312"/>
                <w:sz w:val="20"/>
              </w:rPr>
              <w:t>6.版权来源</w:t>
            </w:r>
          </w:p>
          <w:p>
            <w:pPr>
              <w:pStyle w:val="null3"/>
              <w:ind w:firstLine="400"/>
              <w:jc w:val="both"/>
            </w:pPr>
            <w:r>
              <w:rPr>
                <w:rFonts w:ascii="仿宋_GB2312" w:hAnsi="仿宋_GB2312" w:cs="仿宋_GB2312" w:eastAsia="仿宋_GB2312"/>
                <w:sz w:val="20"/>
              </w:rPr>
              <w:t>素材选用注意版权，涉及版权问题须加入</w:t>
            </w:r>
            <w:r>
              <w:rPr>
                <w:rFonts w:ascii="仿宋_GB2312" w:hAnsi="仿宋_GB2312" w:cs="仿宋_GB2312" w:eastAsia="仿宋_GB2312"/>
                <w:sz w:val="20"/>
              </w:rPr>
              <w:t>“版权来源”信息。</w:t>
            </w:r>
          </w:p>
          <w:p>
            <w:pPr>
              <w:pStyle w:val="null3"/>
              <w:ind w:firstLine="400"/>
              <w:jc w:val="both"/>
            </w:pPr>
            <w:r>
              <w:rPr>
                <w:rFonts w:ascii="仿宋_GB2312" w:hAnsi="仿宋_GB2312" w:cs="仿宋_GB2312" w:eastAsia="仿宋_GB2312"/>
                <w:sz w:val="20"/>
              </w:rPr>
              <w:t>注：知识点视频是指针对知识点或技能点录制的符合教学规范的教学视频；视频是指针对实际操作录制的视频，或者是相关知识</w:t>
            </w:r>
            <w:r>
              <w:rPr>
                <w:rFonts w:ascii="仿宋_GB2312" w:hAnsi="仿宋_GB2312" w:cs="仿宋_GB2312" w:eastAsia="仿宋_GB2312"/>
                <w:sz w:val="20"/>
              </w:rPr>
              <w:t>/技能的视频资料；授课视频不能作为资源建设（请务必注意），视频必须是有让学生实现自主学习的功能，类似微课，不是教学录像。</w:t>
            </w:r>
          </w:p>
          <w:p>
            <w:pPr>
              <w:pStyle w:val="null3"/>
              <w:ind w:firstLine="402"/>
              <w:jc w:val="left"/>
            </w:pPr>
            <w:r>
              <w:rPr>
                <w:rFonts w:ascii="仿宋_GB2312" w:hAnsi="仿宋_GB2312" w:cs="仿宋_GB2312" w:eastAsia="仿宋_GB2312"/>
                <w:sz w:val="20"/>
                <w:b/>
              </w:rPr>
              <w:t>（三）</w:t>
            </w:r>
            <w:r>
              <w:rPr>
                <w:rFonts w:ascii="仿宋_GB2312" w:hAnsi="仿宋_GB2312" w:cs="仿宋_GB2312" w:eastAsia="仿宋_GB2312"/>
                <w:sz w:val="20"/>
                <w:b/>
              </w:rPr>
              <w:t>动画技术规格</w:t>
            </w:r>
          </w:p>
          <w:p>
            <w:pPr>
              <w:pStyle w:val="null3"/>
              <w:ind w:firstLine="400"/>
              <w:jc w:val="both"/>
            </w:pPr>
            <w:r>
              <w:rPr>
                <w:rFonts w:ascii="仿宋_GB2312" w:hAnsi="仿宋_GB2312" w:cs="仿宋_GB2312" w:eastAsia="仿宋_GB2312"/>
                <w:sz w:val="20"/>
              </w:rPr>
              <w:t>二维动画包含演示动画、情景动画等，将枯燥、抽象、生涩难懂的知识重点，以及文字、图片、视频无法呈现的知识难点，以动画形式展现，解决老师难教和学生难懂的教学问题。每个动画需要包含教学设计、素材收集、制作脚本、开发、字幕、专业配音、后期剪辑、解说字幕等环节。每个动画要求不少于</w:t>
            </w:r>
            <w:r>
              <w:rPr>
                <w:rFonts w:ascii="仿宋_GB2312" w:hAnsi="仿宋_GB2312" w:cs="仿宋_GB2312" w:eastAsia="仿宋_GB2312"/>
                <w:sz w:val="20"/>
              </w:rPr>
              <w:t>120秒，输出统一，分辨率1920*1080、高清MP4格式。具体时长以能清晰、完整地表述相应的知识点或技能点为准。标题能够体现动画所表现的内容，</w:t>
            </w:r>
            <w:r>
              <w:rPr>
                <w:rFonts w:ascii="仿宋_GB2312" w:hAnsi="仿宋_GB2312" w:cs="仿宋_GB2312" w:eastAsia="仿宋_GB2312"/>
                <w:sz w:val="20"/>
              </w:rPr>
              <w:t>搭配</w:t>
            </w:r>
            <w:r>
              <w:rPr>
                <w:rFonts w:ascii="仿宋_GB2312" w:hAnsi="仿宋_GB2312" w:cs="仿宋_GB2312" w:eastAsia="仿宋_GB2312"/>
                <w:sz w:val="20"/>
              </w:rPr>
              <w:t>字幕，动画连续，节奏合适，帧和帧之间的关联性要强；要求声音和画面同步，无交流声或其他杂音等缺陷，无明显失真、放音过冲、过弱。伴音清晰、饱满、圆润，无失真、噪声杂音干扰、音量忽大忽小现象；解说配音应标准，无噪音，解说声与现场声无明显比例失调；动画内容中出现文字，要求文字清晰；动画内容符合我国法律法规，尊重各民族的风俗习惯。</w:t>
            </w:r>
          </w:p>
          <w:p>
            <w:pPr>
              <w:pStyle w:val="null3"/>
              <w:ind w:firstLine="402"/>
              <w:jc w:val="left"/>
            </w:pPr>
            <w:r>
              <w:rPr>
                <w:rFonts w:ascii="仿宋_GB2312" w:hAnsi="仿宋_GB2312" w:cs="仿宋_GB2312" w:eastAsia="仿宋_GB2312"/>
                <w:sz w:val="20"/>
                <w:b/>
              </w:rPr>
              <w:t>（</w:t>
            </w:r>
            <w:r>
              <w:rPr>
                <w:rFonts w:ascii="仿宋_GB2312" w:hAnsi="仿宋_GB2312" w:cs="仿宋_GB2312" w:eastAsia="仿宋_GB2312"/>
                <w:sz w:val="20"/>
                <w:b/>
              </w:rPr>
              <w:t>四</w:t>
            </w:r>
            <w:r>
              <w:rPr>
                <w:rFonts w:ascii="仿宋_GB2312" w:hAnsi="仿宋_GB2312" w:cs="仿宋_GB2312" w:eastAsia="仿宋_GB2312"/>
                <w:sz w:val="20"/>
                <w:b/>
              </w:rPr>
              <w:t>）</w:t>
            </w:r>
            <w:r>
              <w:rPr>
                <w:rFonts w:ascii="仿宋_GB2312" w:hAnsi="仿宋_GB2312" w:cs="仿宋_GB2312" w:eastAsia="仿宋_GB2312"/>
                <w:sz w:val="20"/>
                <w:b/>
              </w:rPr>
              <w:t>知识图谱应用</w:t>
            </w:r>
            <w:r>
              <w:rPr>
                <w:rFonts w:ascii="仿宋_GB2312" w:hAnsi="仿宋_GB2312" w:cs="仿宋_GB2312" w:eastAsia="仿宋_GB2312"/>
                <w:sz w:val="20"/>
                <w:b/>
              </w:rPr>
              <w:t>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教学运行服务</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1）支持课程学生管理：支持导入学生名单，可查看导入失败学生名单，可移除导入错误的学生。</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2）支持课程运行总体数据统计：可查看课程学习的学生数量、课程的人均学习进度、全部学生已学内容掌握度平均值等</w:t>
            </w:r>
            <w:r>
              <w:rPr>
                <w:rFonts w:ascii="仿宋_GB2312" w:hAnsi="仿宋_GB2312" w:cs="仿宋_GB2312" w:eastAsia="仿宋_GB2312"/>
                <w:sz w:val="20"/>
              </w:rPr>
              <w:t>数据</w:t>
            </w:r>
            <w:r>
              <w:rPr>
                <w:rFonts w:ascii="仿宋_GB2312" w:hAnsi="仿宋_GB2312" w:cs="仿宋_GB2312" w:eastAsia="仿宋_GB2312"/>
                <w:sz w:val="20"/>
              </w:rPr>
              <w:t>，</w:t>
            </w:r>
            <w:r>
              <w:rPr>
                <w:rFonts w:ascii="仿宋_GB2312" w:hAnsi="仿宋_GB2312" w:cs="仿宋_GB2312" w:eastAsia="仿宋_GB2312"/>
                <w:sz w:val="20"/>
              </w:rPr>
              <w:t>并且分析出各个同学的各阶段的合格率情况</w:t>
            </w:r>
            <w:r>
              <w:rPr>
                <w:rFonts w:ascii="仿宋_GB2312" w:hAnsi="仿宋_GB2312" w:cs="仿宋_GB2312" w:eastAsia="仿宋_GB2312"/>
                <w:sz w:val="20"/>
              </w:rPr>
              <w:t>，</w:t>
            </w:r>
            <w:r>
              <w:rPr>
                <w:rFonts w:ascii="仿宋_GB2312" w:hAnsi="仿宋_GB2312" w:cs="仿宋_GB2312" w:eastAsia="仿宋_GB2312"/>
                <w:sz w:val="20"/>
              </w:rPr>
              <w:t>人均学习进度分布与</w:t>
            </w:r>
            <w:r>
              <w:rPr>
                <w:rFonts w:ascii="仿宋_GB2312" w:hAnsi="仿宋_GB2312" w:cs="仿宋_GB2312" w:eastAsia="仿宋_GB2312"/>
                <w:sz w:val="20"/>
              </w:rPr>
              <w:t>平均</w:t>
            </w:r>
            <w:r>
              <w:rPr>
                <w:rFonts w:ascii="仿宋_GB2312" w:hAnsi="仿宋_GB2312" w:cs="仿宋_GB2312" w:eastAsia="仿宋_GB2312"/>
                <w:sz w:val="20"/>
              </w:rPr>
              <w:t>掌握度分布等情况</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3）支持树状知识地图查看学生掌握度：基于课程图谱中构建的树状知识地图，查看每一知识点的平均掌握度。支持放大、缩小、全屏知识地图，支持展开收起树状知识节点，支持搜索知识地图中的知识点。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4）支持网状知识图谱查看学生掌握度：基于课程图谱中构建的网状知识图谱，查看每一知识点的平均掌握度。支持放大、缩小知识图谱，支持搜索知识图谱中的知识点。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5）支持查看学生学习详情：可查看课程内的每位学生的学习详情，包含学生加入课程的时间、课程内知识点的学习进度以及已学内容的掌握度。</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6）支持查看知识点学习详情：可查看每个知识点的学生完成率以及近一周的提升情况，可查看每个知识点的平均掌握度以及不同范围掌握度的学生分布情况。</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7）支持查看学生个人分析报告：可查看学生的所有知识点学习的平均掌握度、资料总学习时长、总练习时长、总练习次数。可查看学生对每个知识点学习的掌握度以及班级的平均掌握度，用于比较学生在课程内的当前学习水平。可查看学生对每个知识点的资料学习时长、练习时长、练习次数。</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支持分析每日学情况简讯</w:t>
            </w:r>
            <w:r>
              <w:rPr>
                <w:rFonts w:ascii="仿宋_GB2312" w:hAnsi="仿宋_GB2312" w:cs="仿宋_GB2312" w:eastAsia="仿宋_GB2312"/>
                <w:sz w:val="20"/>
              </w:rPr>
              <w:t>：</w:t>
            </w:r>
            <w:r>
              <w:rPr>
                <w:rFonts w:ascii="仿宋_GB2312" w:hAnsi="仿宋_GB2312" w:cs="仿宋_GB2312" w:eastAsia="仿宋_GB2312"/>
                <w:sz w:val="20"/>
              </w:rPr>
              <w:t>包括今日学生上线数量</w:t>
            </w:r>
            <w:r>
              <w:rPr>
                <w:rFonts w:ascii="仿宋_GB2312" w:hAnsi="仿宋_GB2312" w:cs="仿宋_GB2312" w:eastAsia="仿宋_GB2312"/>
                <w:sz w:val="20"/>
              </w:rPr>
              <w:t>、</w:t>
            </w:r>
            <w:r>
              <w:rPr>
                <w:rFonts w:ascii="仿宋_GB2312" w:hAnsi="仿宋_GB2312" w:cs="仿宋_GB2312" w:eastAsia="仿宋_GB2312"/>
                <w:sz w:val="20"/>
              </w:rPr>
              <w:t>老师上线数量</w:t>
            </w:r>
            <w:r>
              <w:rPr>
                <w:rFonts w:ascii="仿宋_GB2312" w:hAnsi="仿宋_GB2312" w:cs="仿宋_GB2312" w:eastAsia="仿宋_GB2312"/>
                <w:sz w:val="20"/>
              </w:rPr>
              <w:t>、</w:t>
            </w:r>
            <w:r>
              <w:rPr>
                <w:rFonts w:ascii="仿宋_GB2312" w:hAnsi="仿宋_GB2312" w:cs="仿宋_GB2312" w:eastAsia="仿宋_GB2312"/>
                <w:sz w:val="20"/>
              </w:rPr>
              <w:t>教师团队建设数据</w:t>
            </w:r>
            <w:r>
              <w:rPr>
                <w:rFonts w:ascii="仿宋_GB2312" w:hAnsi="仿宋_GB2312" w:cs="仿宋_GB2312" w:eastAsia="仿宋_GB2312"/>
                <w:sz w:val="20"/>
              </w:rPr>
              <w:t>，（</w:t>
            </w:r>
            <w:r>
              <w:rPr>
                <w:rFonts w:ascii="仿宋_GB2312" w:hAnsi="仿宋_GB2312" w:cs="仿宋_GB2312" w:eastAsia="仿宋_GB2312"/>
                <w:sz w:val="20"/>
              </w:rPr>
              <w:t>包括</w:t>
            </w:r>
            <w:r>
              <w:rPr>
                <w:rFonts w:ascii="仿宋_GB2312" w:hAnsi="仿宋_GB2312" w:cs="仿宋_GB2312" w:eastAsia="仿宋_GB2312"/>
                <w:sz w:val="20"/>
              </w:rPr>
              <w:t>：</w:t>
            </w:r>
            <w:r>
              <w:rPr>
                <w:rFonts w:ascii="仿宋_GB2312" w:hAnsi="仿宋_GB2312" w:cs="仿宋_GB2312" w:eastAsia="仿宋_GB2312"/>
                <w:sz w:val="20"/>
              </w:rPr>
              <w:t>教授</w:t>
            </w:r>
            <w:r>
              <w:rPr>
                <w:rFonts w:ascii="仿宋_GB2312" w:hAnsi="仿宋_GB2312" w:cs="仿宋_GB2312" w:eastAsia="仿宋_GB2312"/>
                <w:sz w:val="20"/>
              </w:rPr>
              <w:t>、</w:t>
            </w:r>
            <w:r>
              <w:rPr>
                <w:rFonts w:ascii="仿宋_GB2312" w:hAnsi="仿宋_GB2312" w:cs="仿宋_GB2312" w:eastAsia="仿宋_GB2312"/>
                <w:sz w:val="20"/>
              </w:rPr>
              <w:t>副教授</w:t>
            </w:r>
            <w:r>
              <w:rPr>
                <w:rFonts w:ascii="仿宋_GB2312" w:hAnsi="仿宋_GB2312" w:cs="仿宋_GB2312" w:eastAsia="仿宋_GB2312"/>
                <w:sz w:val="20"/>
              </w:rPr>
              <w:t>、</w:t>
            </w:r>
            <w:r>
              <w:rPr>
                <w:rFonts w:ascii="仿宋_GB2312" w:hAnsi="仿宋_GB2312" w:cs="仿宋_GB2312" w:eastAsia="仿宋_GB2312"/>
                <w:sz w:val="20"/>
              </w:rPr>
              <w:t>讲师</w:t>
            </w:r>
            <w:r>
              <w:rPr>
                <w:rFonts w:ascii="仿宋_GB2312" w:hAnsi="仿宋_GB2312" w:cs="仿宋_GB2312" w:eastAsia="仿宋_GB2312"/>
                <w:sz w:val="20"/>
              </w:rPr>
              <w:t>、</w:t>
            </w:r>
            <w:r>
              <w:rPr>
                <w:rFonts w:ascii="仿宋_GB2312" w:hAnsi="仿宋_GB2312" w:cs="仿宋_GB2312" w:eastAsia="仿宋_GB2312"/>
                <w:sz w:val="20"/>
              </w:rPr>
              <w:t>助教等身份</w:t>
            </w:r>
            <w:r>
              <w:rPr>
                <w:rFonts w:ascii="仿宋_GB2312" w:hAnsi="仿宋_GB2312" w:cs="仿宋_GB2312" w:eastAsia="仿宋_GB2312"/>
                <w:sz w:val="20"/>
              </w:rPr>
              <w:t>）、</w:t>
            </w:r>
            <w:r>
              <w:rPr>
                <w:rFonts w:ascii="仿宋_GB2312" w:hAnsi="仿宋_GB2312" w:cs="仿宋_GB2312" w:eastAsia="仿宋_GB2312"/>
                <w:sz w:val="20"/>
              </w:rPr>
              <w:t>学生学习相关数据</w:t>
            </w:r>
            <w:r>
              <w:rPr>
                <w:rFonts w:ascii="仿宋_GB2312" w:hAnsi="仿宋_GB2312" w:cs="仿宋_GB2312" w:eastAsia="仿宋_GB2312"/>
                <w:sz w:val="20"/>
              </w:rPr>
              <w:t>（</w:t>
            </w:r>
            <w:r>
              <w:rPr>
                <w:rFonts w:ascii="仿宋_GB2312" w:hAnsi="仿宋_GB2312" w:cs="仿宋_GB2312" w:eastAsia="仿宋_GB2312"/>
                <w:sz w:val="20"/>
              </w:rPr>
              <w:t>学生学习人次</w:t>
            </w:r>
            <w:r>
              <w:rPr>
                <w:rFonts w:ascii="仿宋_GB2312" w:hAnsi="仿宋_GB2312" w:cs="仿宋_GB2312" w:eastAsia="仿宋_GB2312"/>
                <w:sz w:val="20"/>
              </w:rPr>
              <w:t>、</w:t>
            </w:r>
            <w:r>
              <w:rPr>
                <w:rFonts w:ascii="仿宋_GB2312" w:hAnsi="仿宋_GB2312" w:cs="仿宋_GB2312" w:eastAsia="仿宋_GB2312"/>
                <w:sz w:val="20"/>
              </w:rPr>
              <w:t>参与学生人数</w:t>
            </w:r>
            <w:r>
              <w:rPr>
                <w:rFonts w:ascii="仿宋_GB2312" w:hAnsi="仿宋_GB2312" w:cs="仿宋_GB2312" w:eastAsia="仿宋_GB2312"/>
                <w:sz w:val="20"/>
              </w:rPr>
              <w:t>、</w:t>
            </w:r>
            <w:r>
              <w:rPr>
                <w:rFonts w:ascii="仿宋_GB2312" w:hAnsi="仿宋_GB2312" w:cs="仿宋_GB2312" w:eastAsia="仿宋_GB2312"/>
                <w:sz w:val="20"/>
              </w:rPr>
              <w:t>参与率</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支持分析课程图谱运行成果</w:t>
            </w:r>
            <w:r>
              <w:rPr>
                <w:rFonts w:ascii="仿宋_GB2312" w:hAnsi="仿宋_GB2312" w:cs="仿宋_GB2312" w:eastAsia="仿宋_GB2312"/>
                <w:sz w:val="20"/>
              </w:rPr>
              <w:t>：</w:t>
            </w:r>
            <w:r>
              <w:rPr>
                <w:rFonts w:ascii="仿宋_GB2312" w:hAnsi="仿宋_GB2312" w:cs="仿宋_GB2312" w:eastAsia="仿宋_GB2312"/>
                <w:sz w:val="20"/>
              </w:rPr>
              <w:t>分析数据包括稳定运行时长</w:t>
            </w:r>
            <w:r>
              <w:rPr>
                <w:rFonts w:ascii="仿宋_GB2312" w:hAnsi="仿宋_GB2312" w:cs="仿宋_GB2312" w:eastAsia="仿宋_GB2312"/>
                <w:sz w:val="20"/>
              </w:rPr>
              <w:t>、</w:t>
            </w:r>
            <w:r>
              <w:rPr>
                <w:rFonts w:ascii="仿宋_GB2312" w:hAnsi="仿宋_GB2312" w:cs="仿宋_GB2312" w:eastAsia="仿宋_GB2312"/>
                <w:sz w:val="20"/>
              </w:rPr>
              <w:t>人均学习进度</w:t>
            </w:r>
            <w:r>
              <w:rPr>
                <w:rFonts w:ascii="仿宋_GB2312" w:hAnsi="仿宋_GB2312" w:cs="仿宋_GB2312" w:eastAsia="仿宋_GB2312"/>
                <w:sz w:val="20"/>
              </w:rPr>
              <w:t>、</w:t>
            </w:r>
            <w:r>
              <w:rPr>
                <w:rFonts w:ascii="仿宋_GB2312" w:hAnsi="仿宋_GB2312" w:cs="仿宋_GB2312" w:eastAsia="仿宋_GB2312"/>
                <w:sz w:val="20"/>
              </w:rPr>
              <w:t>平均掌握度</w:t>
            </w:r>
            <w:r>
              <w:rPr>
                <w:rFonts w:ascii="仿宋_GB2312" w:hAnsi="仿宋_GB2312" w:cs="仿宋_GB2312" w:eastAsia="仿宋_GB2312"/>
                <w:sz w:val="20"/>
              </w:rPr>
              <w:t>、</w:t>
            </w:r>
            <w:r>
              <w:rPr>
                <w:rFonts w:ascii="仿宋_GB2312" w:hAnsi="仿宋_GB2312" w:cs="仿宋_GB2312" w:eastAsia="仿宋_GB2312"/>
                <w:sz w:val="20"/>
              </w:rPr>
              <w:t>学生学习合格率等</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支持分析课程学习变化趋势</w:t>
            </w:r>
            <w:r>
              <w:rPr>
                <w:rFonts w:ascii="仿宋_GB2312" w:hAnsi="仿宋_GB2312" w:cs="仿宋_GB2312" w:eastAsia="仿宋_GB2312"/>
                <w:sz w:val="20"/>
              </w:rPr>
              <w:t>：</w:t>
            </w:r>
            <w:r>
              <w:rPr>
                <w:rFonts w:ascii="仿宋_GB2312" w:hAnsi="仿宋_GB2312" w:cs="仿宋_GB2312" w:eastAsia="仿宋_GB2312"/>
                <w:sz w:val="20"/>
              </w:rPr>
              <w:t>分析包括学习人次变化趋势</w:t>
            </w:r>
            <w:r>
              <w:rPr>
                <w:rFonts w:ascii="仿宋_GB2312" w:hAnsi="仿宋_GB2312" w:cs="仿宋_GB2312" w:eastAsia="仿宋_GB2312"/>
                <w:sz w:val="20"/>
              </w:rPr>
              <w:t>、</w:t>
            </w:r>
            <w:r>
              <w:rPr>
                <w:rFonts w:ascii="仿宋_GB2312" w:hAnsi="仿宋_GB2312" w:cs="仿宋_GB2312" w:eastAsia="仿宋_GB2312"/>
                <w:sz w:val="20"/>
              </w:rPr>
              <w:t>人均学习进度变化趋势</w:t>
            </w:r>
            <w:r>
              <w:rPr>
                <w:rFonts w:ascii="仿宋_GB2312" w:hAnsi="仿宋_GB2312" w:cs="仿宋_GB2312" w:eastAsia="仿宋_GB2312"/>
                <w:sz w:val="20"/>
              </w:rPr>
              <w:t>、</w:t>
            </w:r>
            <w:r>
              <w:rPr>
                <w:rFonts w:ascii="仿宋_GB2312" w:hAnsi="仿宋_GB2312" w:cs="仿宋_GB2312" w:eastAsia="仿宋_GB2312"/>
                <w:sz w:val="20"/>
              </w:rPr>
              <w:t>平均掌握度变化趋势</w:t>
            </w:r>
            <w:r>
              <w:rPr>
                <w:rFonts w:ascii="仿宋_GB2312" w:hAnsi="仿宋_GB2312" w:cs="仿宋_GB2312" w:eastAsia="仿宋_GB2312"/>
                <w:sz w:val="20"/>
              </w:rPr>
              <w:t>、</w:t>
            </w:r>
            <w:r>
              <w:rPr>
                <w:rFonts w:ascii="仿宋_GB2312" w:hAnsi="仿宋_GB2312" w:cs="仿宋_GB2312" w:eastAsia="仿宋_GB2312"/>
                <w:sz w:val="20"/>
              </w:rPr>
              <w:t>合格率变化趋势等</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课程</w:t>
            </w:r>
            <w:r>
              <w:rPr>
                <w:rFonts w:ascii="仿宋_GB2312" w:hAnsi="仿宋_GB2312" w:cs="仿宋_GB2312" w:eastAsia="仿宋_GB2312"/>
                <w:sz w:val="20"/>
              </w:rPr>
              <w:t>图谱学习</w:t>
            </w:r>
            <w:r>
              <w:rPr>
                <w:rFonts w:ascii="仿宋_GB2312" w:hAnsi="仿宋_GB2312" w:cs="仿宋_GB2312" w:eastAsia="仿宋_GB2312"/>
                <w:sz w:val="20"/>
              </w:rPr>
              <w:t>平台</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支持知识图谱学习：基于树状知识地图和网状知识图谱，可查看每一知识点的掌握度情况。支持查看网状知识图谱的任一知识节点（包含主题、知识点、属性等）的知识详情。知识详情包括知识节点的标签、别名、描述、视频资源、教材资源、网络资源、知识关系、知识点属性等内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支持学生通过主题</w:t>
            </w:r>
            <w:r>
              <w:rPr>
                <w:rFonts w:ascii="仿宋_GB2312" w:hAnsi="仿宋_GB2312" w:cs="仿宋_GB2312" w:eastAsia="仿宋_GB2312"/>
                <w:sz w:val="20"/>
              </w:rPr>
              <w:t>－</w:t>
            </w:r>
            <w:r>
              <w:rPr>
                <w:rFonts w:ascii="仿宋_GB2312" w:hAnsi="仿宋_GB2312" w:cs="仿宋_GB2312" w:eastAsia="仿宋_GB2312"/>
                <w:sz w:val="20"/>
              </w:rPr>
              <w:t>子主题</w:t>
            </w:r>
            <w:r>
              <w:rPr>
                <w:rFonts w:ascii="仿宋_GB2312" w:hAnsi="仿宋_GB2312" w:cs="仿宋_GB2312" w:eastAsia="仿宋_GB2312"/>
                <w:sz w:val="20"/>
              </w:rPr>
              <w:t>－</w:t>
            </w:r>
            <w:r>
              <w:rPr>
                <w:rFonts w:ascii="仿宋_GB2312" w:hAnsi="仿宋_GB2312" w:cs="仿宋_GB2312" w:eastAsia="仿宋_GB2312"/>
                <w:sz w:val="20"/>
              </w:rPr>
              <w:t>知识点模式进行学习</w:t>
            </w:r>
            <w:r>
              <w:rPr>
                <w:rFonts w:ascii="仿宋_GB2312" w:hAnsi="仿宋_GB2312" w:cs="仿宋_GB2312" w:eastAsia="仿宋_GB2312"/>
                <w:sz w:val="20"/>
              </w:rPr>
              <w:t>：</w:t>
            </w:r>
            <w:r>
              <w:rPr>
                <w:rFonts w:ascii="仿宋_GB2312" w:hAnsi="仿宋_GB2312" w:cs="仿宋_GB2312" w:eastAsia="仿宋_GB2312"/>
                <w:sz w:val="20"/>
              </w:rPr>
              <w:t>开放传统学习渠道给到学生</w:t>
            </w:r>
            <w:r>
              <w:rPr>
                <w:rFonts w:ascii="仿宋_GB2312" w:hAnsi="仿宋_GB2312" w:cs="仿宋_GB2312" w:eastAsia="仿宋_GB2312"/>
                <w:sz w:val="20"/>
              </w:rPr>
              <w:t>，</w:t>
            </w:r>
            <w:r>
              <w:rPr>
                <w:rFonts w:ascii="仿宋_GB2312" w:hAnsi="仿宋_GB2312" w:cs="仿宋_GB2312" w:eastAsia="仿宋_GB2312"/>
                <w:sz w:val="20"/>
              </w:rPr>
              <w:t>帮助学生完成日常学习</w:t>
            </w:r>
            <w:r>
              <w:rPr>
                <w:rFonts w:ascii="仿宋_GB2312" w:hAnsi="仿宋_GB2312" w:cs="仿宋_GB2312" w:eastAsia="仿宋_GB2312"/>
                <w:sz w:val="20"/>
              </w:rPr>
              <w:t>，</w:t>
            </w:r>
            <w:r>
              <w:rPr>
                <w:rFonts w:ascii="仿宋_GB2312" w:hAnsi="仿宋_GB2312" w:cs="仿宋_GB2312" w:eastAsia="仿宋_GB2312"/>
                <w:sz w:val="20"/>
              </w:rPr>
              <w:t>学还是</w:t>
            </w:r>
            <w:r>
              <w:rPr>
                <w:rFonts w:ascii="仿宋_GB2312" w:hAnsi="仿宋_GB2312" w:cs="仿宋_GB2312" w:eastAsia="仿宋_GB2312"/>
                <w:sz w:val="20"/>
              </w:rPr>
              <w:t>那个</w:t>
            </w:r>
            <w:r>
              <w:rPr>
                <w:rFonts w:ascii="仿宋_GB2312" w:hAnsi="仿宋_GB2312" w:cs="仿宋_GB2312" w:eastAsia="仿宋_GB2312"/>
                <w:sz w:val="20"/>
              </w:rPr>
              <w:t>可通过主题</w:t>
            </w:r>
            <w:r>
              <w:rPr>
                <w:rFonts w:ascii="仿宋_GB2312" w:hAnsi="仿宋_GB2312" w:cs="仿宋_GB2312" w:eastAsia="仿宋_GB2312"/>
                <w:sz w:val="20"/>
              </w:rPr>
              <w:t>－</w:t>
            </w:r>
            <w:r>
              <w:rPr>
                <w:rFonts w:ascii="仿宋_GB2312" w:hAnsi="仿宋_GB2312" w:cs="仿宋_GB2312" w:eastAsia="仿宋_GB2312"/>
                <w:sz w:val="20"/>
              </w:rPr>
              <w:t>子主题</w:t>
            </w:r>
            <w:r>
              <w:rPr>
                <w:rFonts w:ascii="仿宋_GB2312" w:hAnsi="仿宋_GB2312" w:cs="仿宋_GB2312" w:eastAsia="仿宋_GB2312"/>
                <w:sz w:val="20"/>
              </w:rPr>
              <w:t>－</w:t>
            </w:r>
            <w:r>
              <w:rPr>
                <w:rFonts w:ascii="仿宋_GB2312" w:hAnsi="仿宋_GB2312" w:cs="仿宋_GB2312" w:eastAsia="仿宋_GB2312"/>
                <w:sz w:val="20"/>
              </w:rPr>
              <w:t>知识点的模式直观观看全部的知识点内容与知识点掌握度</w:t>
            </w:r>
            <w:r>
              <w:rPr>
                <w:rFonts w:ascii="仿宋_GB2312" w:hAnsi="仿宋_GB2312" w:cs="仿宋_GB2312" w:eastAsia="仿宋_GB2312"/>
                <w:sz w:val="20"/>
              </w:rPr>
              <w:t>，</w:t>
            </w:r>
            <w:r>
              <w:rPr>
                <w:rFonts w:ascii="仿宋_GB2312" w:hAnsi="仿宋_GB2312" w:cs="仿宋_GB2312" w:eastAsia="仿宋_GB2312"/>
                <w:sz w:val="20"/>
              </w:rPr>
              <w:t>并根据个人意愿自主选择学习内容进行学习</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）支持知识点练习：支持客观题（单选题、多选题、判断题）的自动</w:t>
            </w:r>
            <w:r>
              <w:rPr>
                <w:rFonts w:ascii="仿宋_GB2312" w:hAnsi="仿宋_GB2312" w:cs="仿宋_GB2312" w:eastAsia="仿宋_GB2312"/>
                <w:sz w:val="20"/>
              </w:rPr>
              <w:t>判断</w:t>
            </w:r>
            <w:r>
              <w:rPr>
                <w:rFonts w:ascii="仿宋_GB2312" w:hAnsi="仿宋_GB2312" w:cs="仿宋_GB2312" w:eastAsia="仿宋_GB2312"/>
                <w:sz w:val="20"/>
              </w:rPr>
              <w:t>题和主观题（问答题、名词解释题等）的查看学习。</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）支持问题图谱学习：支持以问题为导向的学习，通过</w:t>
            </w:r>
            <w:r>
              <w:rPr>
                <w:rFonts w:ascii="仿宋_GB2312" w:hAnsi="仿宋_GB2312" w:cs="仿宋_GB2312" w:eastAsia="仿宋_GB2312"/>
                <w:sz w:val="20"/>
              </w:rPr>
              <w:t>“全局层问题——概念层问题——方法层问题”三层问题模型结构，查看解决课程经典问题所需要掌握的知识点。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）支持能力图谱学习：可查看支撑课程能力目标所需要掌握的知识点或需要解决的问题，帮助学生有目的</w:t>
            </w:r>
            <w:r>
              <w:rPr>
                <w:rFonts w:ascii="仿宋_GB2312" w:hAnsi="仿宋_GB2312" w:cs="仿宋_GB2312" w:eastAsia="仿宋_GB2312"/>
                <w:sz w:val="20"/>
              </w:rPr>
              <w:t>地</w:t>
            </w:r>
            <w:r>
              <w:rPr>
                <w:rFonts w:ascii="仿宋_GB2312" w:hAnsi="仿宋_GB2312" w:cs="仿宋_GB2312" w:eastAsia="仿宋_GB2312"/>
                <w:sz w:val="20"/>
              </w:rPr>
              <w:t>学习知识点以提高自己的专业素养和能力。</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）支持个人学习数据查看：可查看当前课程的学习进度以及已学内容的平均掌握度，学生可持续关注自己的学习进度和学习效果。</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支持用户一键登录小程序进行学习</w:t>
            </w:r>
            <w:r>
              <w:rPr>
                <w:rFonts w:ascii="仿宋_GB2312" w:hAnsi="仿宋_GB2312" w:cs="仿宋_GB2312" w:eastAsia="仿宋_GB2312"/>
                <w:sz w:val="20"/>
              </w:rPr>
              <w:t>：</w:t>
            </w:r>
            <w:r>
              <w:rPr>
                <w:rFonts w:ascii="仿宋_GB2312" w:hAnsi="仿宋_GB2312" w:cs="仿宋_GB2312" w:eastAsia="仿宋_GB2312"/>
                <w:sz w:val="20"/>
              </w:rPr>
              <w:t>已经入班的学生</w:t>
            </w:r>
            <w:r>
              <w:rPr>
                <w:rFonts w:ascii="仿宋_GB2312" w:hAnsi="仿宋_GB2312" w:cs="仿宋_GB2312" w:eastAsia="仿宋_GB2312"/>
                <w:sz w:val="20"/>
              </w:rPr>
              <w:t>，</w:t>
            </w:r>
            <w:r>
              <w:rPr>
                <w:rFonts w:ascii="仿宋_GB2312" w:hAnsi="仿宋_GB2312" w:cs="仿宋_GB2312" w:eastAsia="仿宋_GB2312"/>
                <w:sz w:val="20"/>
              </w:rPr>
              <w:t>可一键进入小程序</w:t>
            </w:r>
            <w:r>
              <w:rPr>
                <w:rFonts w:ascii="仿宋_GB2312" w:hAnsi="仿宋_GB2312" w:cs="仿宋_GB2312" w:eastAsia="仿宋_GB2312"/>
                <w:sz w:val="20"/>
              </w:rPr>
              <w:t>，</w:t>
            </w:r>
            <w:r>
              <w:rPr>
                <w:rFonts w:ascii="仿宋_GB2312" w:hAnsi="仿宋_GB2312" w:cs="仿宋_GB2312" w:eastAsia="仿宋_GB2312"/>
                <w:sz w:val="20"/>
              </w:rPr>
              <w:t>对于课程内容进行学习</w:t>
            </w:r>
            <w:r>
              <w:rPr>
                <w:rFonts w:ascii="仿宋_GB2312" w:hAnsi="仿宋_GB2312" w:cs="仿宋_GB2312" w:eastAsia="仿宋_GB2312"/>
                <w:sz w:val="20"/>
              </w:rPr>
              <w:t>。</w:t>
            </w:r>
            <w:r>
              <w:rPr>
                <w:rFonts w:ascii="仿宋_GB2312" w:hAnsi="仿宋_GB2312" w:cs="仿宋_GB2312" w:eastAsia="仿宋_GB2312"/>
                <w:sz w:val="20"/>
              </w:rPr>
              <w:t>小程序与网页版</w:t>
            </w:r>
            <w:r>
              <w:rPr>
                <w:rFonts w:ascii="仿宋_GB2312" w:hAnsi="仿宋_GB2312" w:cs="仿宋_GB2312" w:eastAsia="仿宋_GB2312"/>
                <w:sz w:val="20"/>
              </w:rPr>
              <w:t>互通</w:t>
            </w:r>
            <w:r>
              <w:rPr>
                <w:rFonts w:ascii="仿宋_GB2312" w:hAnsi="仿宋_GB2312" w:cs="仿宋_GB2312" w:eastAsia="仿宋_GB2312"/>
                <w:sz w:val="20"/>
              </w:rPr>
              <w:t>学习数据与记录</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支持系统布置教学任务</w:t>
            </w:r>
            <w:r>
              <w:rPr>
                <w:rFonts w:ascii="仿宋_GB2312" w:hAnsi="仿宋_GB2312" w:cs="仿宋_GB2312" w:eastAsia="仿宋_GB2312"/>
                <w:sz w:val="20"/>
              </w:rPr>
              <w:t>，</w:t>
            </w:r>
            <w:r>
              <w:rPr>
                <w:rFonts w:ascii="仿宋_GB2312" w:hAnsi="仿宋_GB2312" w:cs="仿宋_GB2312" w:eastAsia="仿宋_GB2312"/>
                <w:sz w:val="20"/>
              </w:rPr>
              <w:t>通过任务包含知识点学习内容</w:t>
            </w:r>
            <w:r>
              <w:rPr>
                <w:rFonts w:ascii="仿宋_GB2312" w:hAnsi="仿宋_GB2312" w:cs="仿宋_GB2312" w:eastAsia="仿宋_GB2312"/>
                <w:sz w:val="20"/>
              </w:rPr>
              <w:t>，</w:t>
            </w:r>
            <w:r>
              <w:rPr>
                <w:rFonts w:ascii="仿宋_GB2312" w:hAnsi="仿宋_GB2312" w:cs="仿宋_GB2312" w:eastAsia="仿宋_GB2312"/>
                <w:sz w:val="20"/>
              </w:rPr>
              <w:t>支持学生通过收集完成任务学习并收集学生学习数据进行分析</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支持与在线精品课程融合应用</w:t>
            </w:r>
            <w:r>
              <w:rPr>
                <w:rFonts w:ascii="仿宋_GB2312" w:hAnsi="仿宋_GB2312" w:cs="仿宋_GB2312" w:eastAsia="仿宋_GB2312"/>
                <w:sz w:val="20"/>
              </w:rPr>
              <w:t>：</w:t>
            </w:r>
            <w:r>
              <w:rPr>
                <w:rFonts w:ascii="仿宋_GB2312" w:hAnsi="仿宋_GB2312" w:cs="仿宋_GB2312" w:eastAsia="仿宋_GB2312"/>
                <w:sz w:val="20"/>
              </w:rPr>
              <w:t>支持与在线精品课程平台打通</w:t>
            </w:r>
            <w:r>
              <w:rPr>
                <w:rFonts w:ascii="仿宋_GB2312" w:hAnsi="仿宋_GB2312" w:cs="仿宋_GB2312" w:eastAsia="仿宋_GB2312"/>
                <w:sz w:val="20"/>
              </w:rPr>
              <w:t>，</w:t>
            </w:r>
            <w:r>
              <w:rPr>
                <w:rFonts w:ascii="仿宋_GB2312" w:hAnsi="仿宋_GB2312" w:cs="仿宋_GB2312" w:eastAsia="仿宋_GB2312"/>
                <w:sz w:val="20"/>
              </w:rPr>
              <w:t>与在线课程交叉融合</w:t>
            </w:r>
            <w:r>
              <w:rPr>
                <w:rFonts w:ascii="仿宋_GB2312" w:hAnsi="仿宋_GB2312" w:cs="仿宋_GB2312" w:eastAsia="仿宋_GB2312"/>
                <w:sz w:val="20"/>
              </w:rPr>
              <w:t>，</w:t>
            </w:r>
            <w:r>
              <w:rPr>
                <w:rFonts w:ascii="仿宋_GB2312" w:hAnsi="仿宋_GB2312" w:cs="仿宋_GB2312" w:eastAsia="仿宋_GB2312"/>
                <w:sz w:val="20"/>
              </w:rPr>
              <w:t>助力学校</w:t>
            </w:r>
            <w:r>
              <w:rPr>
                <w:rFonts w:ascii="仿宋_GB2312" w:hAnsi="仿宋_GB2312" w:cs="仿宋_GB2312" w:eastAsia="仿宋_GB2312"/>
                <w:sz w:val="20"/>
              </w:rPr>
              <w:t>国家级在线精品</w:t>
            </w:r>
            <w:r>
              <w:rPr>
                <w:rFonts w:ascii="仿宋_GB2312" w:hAnsi="仿宋_GB2312" w:cs="仿宋_GB2312" w:eastAsia="仿宋_GB2312"/>
                <w:sz w:val="20"/>
              </w:rPr>
              <w:t>课程评审</w:t>
            </w:r>
            <w:r>
              <w:rPr>
                <w:rFonts w:ascii="仿宋_GB2312" w:hAnsi="仿宋_GB2312" w:cs="仿宋_GB2312" w:eastAsia="仿宋_GB2312"/>
                <w:sz w:val="20"/>
              </w:rPr>
              <w:t>，</w:t>
            </w:r>
            <w:r>
              <w:rPr>
                <w:rFonts w:ascii="仿宋_GB2312" w:hAnsi="仿宋_GB2312" w:cs="仿宋_GB2312" w:eastAsia="仿宋_GB2312"/>
                <w:sz w:val="20"/>
              </w:rPr>
              <w:t>提供课程评审界面截图</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3.PPT插件</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插入建课数据</w:t>
            </w:r>
          </w:p>
          <w:p>
            <w:pPr>
              <w:pStyle w:val="null3"/>
              <w:ind w:firstLine="400"/>
              <w:jc w:val="left"/>
            </w:pPr>
            <w:r>
              <w:rPr>
                <w:rFonts w:ascii="仿宋_GB2312" w:hAnsi="仿宋_GB2312" w:cs="仿宋_GB2312" w:eastAsia="仿宋_GB2312"/>
                <w:sz w:val="20"/>
              </w:rPr>
              <w:t>支持应用</w:t>
            </w:r>
            <w:r>
              <w:rPr>
                <w:rFonts w:ascii="仿宋_GB2312" w:hAnsi="仿宋_GB2312" w:cs="仿宋_GB2312" w:eastAsia="仿宋_GB2312"/>
                <w:sz w:val="20"/>
              </w:rPr>
              <w:t>PPT插件将知识图谱相关资源加入到PPT建设中</w:t>
            </w:r>
            <w:r>
              <w:rPr>
                <w:rFonts w:ascii="仿宋_GB2312" w:hAnsi="仿宋_GB2312" w:cs="仿宋_GB2312" w:eastAsia="仿宋_GB2312"/>
                <w:sz w:val="20"/>
              </w:rPr>
              <w:t>，</w:t>
            </w:r>
            <w:r>
              <w:rPr>
                <w:rFonts w:ascii="仿宋_GB2312" w:hAnsi="仿宋_GB2312" w:cs="仿宋_GB2312" w:eastAsia="仿宋_GB2312"/>
                <w:sz w:val="20"/>
              </w:rPr>
              <w:t>PPT插件需支持WPS与OFFICE</w:t>
            </w:r>
            <w:r>
              <w:rPr>
                <w:rFonts w:ascii="仿宋_GB2312" w:hAnsi="仿宋_GB2312" w:cs="仿宋_GB2312" w:eastAsia="仿宋_GB2312"/>
                <w:sz w:val="20"/>
              </w:rPr>
              <w:t>，</w:t>
            </w:r>
            <w:r>
              <w:rPr>
                <w:rFonts w:ascii="仿宋_GB2312" w:hAnsi="仿宋_GB2312" w:cs="仿宋_GB2312" w:eastAsia="仿宋_GB2312"/>
                <w:sz w:val="20"/>
              </w:rPr>
              <w:t>同时系统支持</w:t>
            </w:r>
            <w:r>
              <w:rPr>
                <w:rFonts w:ascii="仿宋_GB2312" w:hAnsi="仿宋_GB2312" w:cs="仿宋_GB2312" w:eastAsia="仿宋_GB2312"/>
                <w:sz w:val="20"/>
              </w:rPr>
              <w:t>windows与macos系统</w:t>
            </w:r>
            <w:r>
              <w:rPr>
                <w:rFonts w:ascii="仿宋_GB2312" w:hAnsi="仿宋_GB2312" w:cs="仿宋_GB2312" w:eastAsia="仿宋_GB2312"/>
                <w:sz w:val="20"/>
              </w:rPr>
              <w:t>，</w:t>
            </w:r>
            <w:r>
              <w:rPr>
                <w:rFonts w:ascii="仿宋_GB2312" w:hAnsi="仿宋_GB2312" w:cs="仿宋_GB2312" w:eastAsia="仿宋_GB2312"/>
                <w:sz w:val="20"/>
              </w:rPr>
              <w:t>引用的内容包含知识点</w:t>
            </w:r>
            <w:r>
              <w:rPr>
                <w:rFonts w:ascii="仿宋_GB2312" w:hAnsi="仿宋_GB2312" w:cs="仿宋_GB2312" w:eastAsia="仿宋_GB2312"/>
                <w:sz w:val="20"/>
              </w:rPr>
              <w:t>、</w:t>
            </w:r>
            <w:r>
              <w:rPr>
                <w:rFonts w:ascii="仿宋_GB2312" w:hAnsi="仿宋_GB2312" w:cs="仿宋_GB2312" w:eastAsia="仿宋_GB2312"/>
                <w:sz w:val="20"/>
              </w:rPr>
              <w:t>问题体系</w:t>
            </w:r>
            <w:r>
              <w:rPr>
                <w:rFonts w:ascii="仿宋_GB2312" w:hAnsi="仿宋_GB2312" w:cs="仿宋_GB2312" w:eastAsia="仿宋_GB2312"/>
                <w:sz w:val="20"/>
              </w:rPr>
              <w:t>、</w:t>
            </w:r>
            <w:r>
              <w:rPr>
                <w:rFonts w:ascii="仿宋_GB2312" w:hAnsi="仿宋_GB2312" w:cs="仿宋_GB2312" w:eastAsia="仿宋_GB2312"/>
                <w:sz w:val="20"/>
              </w:rPr>
              <w:t>教学资源</w:t>
            </w:r>
            <w:r>
              <w:rPr>
                <w:rFonts w:ascii="仿宋_GB2312" w:hAnsi="仿宋_GB2312" w:cs="仿宋_GB2312" w:eastAsia="仿宋_GB2312"/>
                <w:sz w:val="20"/>
              </w:rPr>
              <w:t>、</w:t>
            </w:r>
            <w:r>
              <w:rPr>
                <w:rFonts w:ascii="仿宋_GB2312" w:hAnsi="仿宋_GB2312" w:cs="仿宋_GB2312" w:eastAsia="仿宋_GB2312"/>
                <w:sz w:val="20"/>
              </w:rPr>
              <w:t>试题资源</w:t>
            </w:r>
            <w:r>
              <w:rPr>
                <w:rFonts w:ascii="仿宋_GB2312" w:hAnsi="仿宋_GB2312" w:cs="仿宋_GB2312" w:eastAsia="仿宋_GB2312"/>
                <w:sz w:val="20"/>
              </w:rPr>
              <w:t>。支持用户可，根据自身需要选择手机验证码登录或者微信登录等多种方式完成账号登录流程。支持登录完成后，系统会根据当前账号的课程图谱建设信息，选择上方导航栏中</w:t>
            </w:r>
            <w:r>
              <w:rPr>
                <w:rFonts w:ascii="仿宋_GB2312" w:hAnsi="仿宋_GB2312" w:cs="仿宋_GB2312" w:eastAsia="仿宋_GB2312"/>
                <w:sz w:val="20"/>
              </w:rPr>
              <w:t>“开始授课”，选择相应的授课课程。支持点击知识点按钮，在PPT会有图谱内梳理的知识点内容，老师可以搜索，点击知识点可查看知识点详情，找到想要的内容后点击引用，即可插入PPT中进行教学。支持知识点插入成功后，教师在PPT播放页面中点击知识点按钮或者按住ctrl并单击知识点，即可打开相关教学内容进行教学。支持点击“问题图谱”，即可直接查看当前图谱梳理的全部”全面“-”概念“-”方法“层问题，选择想要的内容点击”引入“即可插入PPT中。支持教师在PPT播放页面中点击问题卡片按钮或者按住ctrl并单击问题卡片，即可打开相关教学内容进行教学。支持系统会根据课程内容，AI推送对应资源，教师可直接点击查看，合适的话直接点击“引入”即可插入PPT。支持添加题目资源，可以打开当前图谱梳理的题库内容，选择合适的内容后点击“引入”，即可插入PPT中。</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2）发布随堂测验</w:t>
            </w:r>
          </w:p>
          <w:p>
            <w:pPr>
              <w:pStyle w:val="null3"/>
              <w:ind w:firstLine="400"/>
              <w:jc w:val="left"/>
            </w:pPr>
            <w:r>
              <w:rPr>
                <w:rFonts w:ascii="仿宋_GB2312" w:hAnsi="仿宋_GB2312" w:cs="仿宋_GB2312" w:eastAsia="仿宋_GB2312"/>
                <w:sz w:val="20"/>
              </w:rPr>
              <w:t>支持进入线下课堂后，教师可通过</w:t>
            </w:r>
            <w:r>
              <w:rPr>
                <w:rFonts w:ascii="仿宋_GB2312" w:hAnsi="仿宋_GB2312" w:cs="仿宋_GB2312" w:eastAsia="仿宋_GB2312"/>
                <w:sz w:val="20"/>
              </w:rPr>
              <w:t>PPT软件（如OFFICE、WPS等）打开已经与知识图谱关联的教学课件进行课中混合式教学。教学活动包含：签到、点名、课程录音、知识图谱内容学习</w:t>
            </w:r>
            <w:r>
              <w:rPr>
                <w:rFonts w:ascii="仿宋_GB2312" w:hAnsi="仿宋_GB2312" w:cs="仿宋_GB2312" w:eastAsia="仿宋_GB2312"/>
                <w:sz w:val="20"/>
              </w:rPr>
              <w:t>。</w:t>
            </w:r>
            <w:r>
              <w:rPr>
                <w:rFonts w:ascii="仿宋_GB2312" w:hAnsi="仿宋_GB2312" w:cs="仿宋_GB2312" w:eastAsia="仿宋_GB2312"/>
                <w:sz w:val="20"/>
              </w:rPr>
              <w:t>支持</w:t>
            </w:r>
            <w:r>
              <w:rPr>
                <w:rFonts w:ascii="仿宋_GB2312" w:hAnsi="仿宋_GB2312" w:cs="仿宋_GB2312" w:eastAsia="仿宋_GB2312"/>
                <w:sz w:val="20"/>
              </w:rPr>
              <w:t>PPT教学中，教师可点击插件中的随机点名，系统根据当前班级中已经签到的学生数据，进行随机抽取，随机选择一名班级内的学生，进行后续教学活动。3.3.2 签到点名。</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3）课堂报告</w:t>
            </w:r>
          </w:p>
          <w:p>
            <w:pPr>
              <w:pStyle w:val="null3"/>
              <w:ind w:firstLine="400"/>
              <w:jc w:val="left"/>
            </w:pPr>
            <w:r>
              <w:rPr>
                <w:rFonts w:ascii="仿宋_GB2312" w:hAnsi="仿宋_GB2312" w:cs="仿宋_GB2312" w:eastAsia="仿宋_GB2312"/>
                <w:sz w:val="20"/>
              </w:rPr>
              <w:t>支持教师查看发布的随堂测验的答题情况，包括题目的参与人数、正确率、每个选项选择的人数、以及每位参与同学的答题记录。支持教师查看发布的签到的课堂记录，包括已签到学生的姓名、学号、签到时间，以及未签到学生的姓名和学号。支持教师查看发布的点名的课堂记录，包括已点名学生的姓名、学号、点名时间。</w:t>
            </w:r>
          </w:p>
          <w:p>
            <w:pPr>
              <w:pStyle w:val="null3"/>
              <w:ind w:firstLine="402"/>
              <w:jc w:val="left"/>
            </w:pPr>
            <w:r>
              <w:rPr>
                <w:rFonts w:ascii="仿宋_GB2312" w:hAnsi="仿宋_GB2312" w:cs="仿宋_GB2312" w:eastAsia="仿宋_GB2312"/>
                <w:sz w:val="20"/>
                <w:b/>
              </w:rPr>
              <w:t>（</w:t>
            </w:r>
            <w:r>
              <w:rPr>
                <w:rFonts w:ascii="仿宋_GB2312" w:hAnsi="仿宋_GB2312" w:cs="仿宋_GB2312" w:eastAsia="仿宋_GB2312"/>
                <w:sz w:val="20"/>
                <w:b/>
              </w:rPr>
              <w:t>五</w:t>
            </w:r>
            <w:r>
              <w:rPr>
                <w:rFonts w:ascii="仿宋_GB2312" w:hAnsi="仿宋_GB2312" w:cs="仿宋_GB2312" w:eastAsia="仿宋_GB2312"/>
                <w:sz w:val="20"/>
                <w:b/>
              </w:rPr>
              <w:t>）</w:t>
            </w:r>
            <w:r>
              <w:rPr>
                <w:rFonts w:ascii="仿宋_GB2312" w:hAnsi="仿宋_GB2312" w:cs="仿宋_GB2312" w:eastAsia="仿宋_GB2312"/>
                <w:sz w:val="20"/>
                <w:b/>
              </w:rPr>
              <w:t>AI教学工具</w:t>
            </w:r>
            <w:r>
              <w:rPr>
                <w:rFonts w:ascii="仿宋_GB2312" w:hAnsi="仿宋_GB2312" w:cs="仿宋_GB2312" w:eastAsia="仿宋_GB2312"/>
                <w:sz w:val="20"/>
                <w:b/>
              </w:rPr>
              <w:t>要求</w:t>
            </w:r>
          </w:p>
          <w:p>
            <w:pPr>
              <w:pStyle w:val="null3"/>
              <w:ind w:firstLine="400"/>
              <w:jc w:val="left"/>
            </w:pPr>
            <w:r>
              <w:rPr>
                <w:rFonts w:ascii="仿宋_GB2312" w:hAnsi="仿宋_GB2312" w:cs="仿宋_GB2312" w:eastAsia="仿宋_GB2312"/>
                <w:sz w:val="20"/>
              </w:rPr>
              <w:t>AI知识库</w:t>
            </w:r>
            <w:r>
              <w:rPr>
                <w:rFonts w:ascii="仿宋_GB2312" w:hAnsi="仿宋_GB2312" w:cs="仿宋_GB2312" w:eastAsia="仿宋_GB2312"/>
                <w:sz w:val="20"/>
              </w:rPr>
              <w:t>：</w:t>
            </w:r>
            <w:r>
              <w:rPr>
                <w:rFonts w:ascii="仿宋_GB2312" w:hAnsi="仿宋_GB2312" w:cs="仿宋_GB2312" w:eastAsia="仿宋_GB2312"/>
                <w:sz w:val="20"/>
              </w:rPr>
              <w:t>支持多类型资源解析，通过知识图谱梳理关联形成系统架构，适配多样化展示需求。解析资源可供课程专属</w:t>
            </w:r>
            <w:r>
              <w:rPr>
                <w:rFonts w:ascii="仿宋_GB2312" w:hAnsi="仿宋_GB2312" w:cs="仿宋_GB2312" w:eastAsia="仿宋_GB2312"/>
                <w:sz w:val="20"/>
              </w:rPr>
              <w:t>AI 助教及智能体调用，生成含参考来源、教材定位、关联知识点等的精准回复。</w:t>
            </w:r>
          </w:p>
          <w:p>
            <w:pPr>
              <w:pStyle w:val="null3"/>
              <w:ind w:firstLine="560"/>
              <w:jc w:val="left"/>
            </w:pPr>
            <w:r>
              <w:rPr>
                <w:rFonts w:ascii="仿宋_GB2312" w:hAnsi="仿宋_GB2312" w:cs="仿宋_GB2312" w:eastAsia="仿宋_GB2312"/>
                <w:sz w:val="20"/>
              </w:rPr>
              <w:t>AI备课辅助：支持个性化推荐教学资源，提供AI文档解析、知识萃取、笔记梳理及协助写作等辅助工具，AI协助教师生成教学设计、教学大纲、教案、创作PPT、课程思政案例生成功能，能够AI生成场景问题、文档问答、公式识别、研习室等，助力教师高效备课。</w:t>
            </w:r>
          </w:p>
          <w:p>
            <w:pPr>
              <w:pStyle w:val="null3"/>
              <w:ind w:firstLine="560"/>
              <w:jc w:val="left"/>
            </w:pPr>
            <w:r>
              <w:rPr>
                <w:rFonts w:ascii="仿宋_GB2312" w:hAnsi="仿宋_GB2312" w:cs="仿宋_GB2312" w:eastAsia="仿宋_GB2312"/>
                <w:sz w:val="20"/>
              </w:rPr>
              <w:t>AI资源与科研：支持整合分析海量科研数据，统计关键词相关论文趋势及来源等详情；能开展课程发展相关内容进行科研趋势分析，推荐优质电子资源，为教学研究方向选择与长期规划提供支撑。</w:t>
            </w:r>
          </w:p>
          <w:p>
            <w:pPr>
              <w:pStyle w:val="null3"/>
              <w:ind w:firstLine="560"/>
              <w:jc w:val="left"/>
            </w:pPr>
            <w:r>
              <w:rPr>
                <w:rFonts w:ascii="仿宋_GB2312" w:hAnsi="仿宋_GB2312" w:cs="仿宋_GB2312" w:eastAsia="仿宋_GB2312"/>
                <w:sz w:val="20"/>
              </w:rPr>
              <w:t>AI视频切片和总结：可基于视频涵盖的知识点进行智能切片处理，实现重点内容的快速定位与精准检索；支持快速提取视频核心内容并生成总结，助力学生高效掌握关键信息。</w:t>
            </w:r>
          </w:p>
          <w:p>
            <w:pPr>
              <w:pStyle w:val="null3"/>
              <w:ind w:firstLine="560"/>
              <w:jc w:val="left"/>
            </w:pPr>
            <w:r>
              <w:rPr>
                <w:rFonts w:ascii="仿宋_GB2312" w:hAnsi="仿宋_GB2312" w:cs="仿宋_GB2312" w:eastAsia="仿宋_GB2312"/>
                <w:sz w:val="20"/>
              </w:rPr>
              <w:t>AI出题与评估：可以自定义题型数量、总分等参数、AI按照知识点、参考内容出题、出卷；具备AI自动批阅功能，客观题自动判分，主观题可设置采分点并生成评语与建议分数。</w:t>
            </w:r>
          </w:p>
          <w:p>
            <w:pPr>
              <w:pStyle w:val="null3"/>
              <w:ind w:firstLine="560"/>
              <w:jc w:val="left"/>
            </w:pPr>
            <w:r>
              <w:rPr>
                <w:rFonts w:ascii="仿宋_GB2312" w:hAnsi="仿宋_GB2312" w:cs="仿宋_GB2312" w:eastAsia="仿宋_GB2312"/>
                <w:sz w:val="20"/>
              </w:rPr>
              <w:t>AI智能学伴：可实时解答学生在学习课件、视频、习题等学习场景中的疑问，提供知识点详情、学习路径与个性化推题；支持通过知识图谱、课堂报告辅助学习，关联课外资源，结合AI互动与自动交互推送，助力高效掌握知识、监测学习进度。</w:t>
            </w:r>
          </w:p>
          <w:p>
            <w:pPr>
              <w:pStyle w:val="null3"/>
              <w:ind w:firstLine="560"/>
              <w:jc w:val="left"/>
            </w:pPr>
            <w:r>
              <w:rPr>
                <w:rFonts w:ascii="仿宋_GB2312" w:hAnsi="仿宋_GB2312" w:cs="仿宋_GB2312" w:eastAsia="仿宋_GB2312"/>
                <w:sz w:val="20"/>
              </w:rPr>
              <w:t>AI资源推荐：AI支持根据学生个性化需求智能推荐、检索课程建设所在平台全学科资源，包括视频资源、电子书资源、知识点资源等，帮助学生获取高质量学习资料，提升学习效率。</w:t>
            </w:r>
          </w:p>
          <w:p>
            <w:pPr>
              <w:pStyle w:val="null3"/>
              <w:ind w:firstLine="402"/>
              <w:jc w:val="left"/>
            </w:pPr>
            <w:r>
              <w:rPr>
                <w:rFonts w:ascii="仿宋_GB2312" w:hAnsi="仿宋_GB2312" w:cs="仿宋_GB2312" w:eastAsia="仿宋_GB2312"/>
                <w:sz w:val="20"/>
                <w:b/>
              </w:rPr>
              <w:t>（</w:t>
            </w:r>
            <w:r>
              <w:rPr>
                <w:rFonts w:ascii="仿宋_GB2312" w:hAnsi="仿宋_GB2312" w:cs="仿宋_GB2312" w:eastAsia="仿宋_GB2312"/>
                <w:sz w:val="20"/>
                <w:b/>
              </w:rPr>
              <w:t>六</w:t>
            </w:r>
            <w:r>
              <w:rPr>
                <w:rFonts w:ascii="仿宋_GB2312" w:hAnsi="仿宋_GB2312" w:cs="仿宋_GB2312" w:eastAsia="仿宋_GB2312"/>
                <w:sz w:val="20"/>
                <w:b/>
              </w:rPr>
              <w:t>）混合式课程运行服务技术要求</w:t>
            </w:r>
          </w:p>
          <w:p>
            <w:pPr>
              <w:pStyle w:val="null3"/>
              <w:ind w:firstLine="400"/>
              <w:jc w:val="both"/>
            </w:pPr>
            <w:r>
              <w:rPr>
                <w:rFonts w:ascii="仿宋_GB2312" w:hAnsi="仿宋_GB2312" w:cs="仿宋_GB2312" w:eastAsia="仿宋_GB2312"/>
                <w:sz w:val="20"/>
              </w:rPr>
              <w:t>为课程建设进行落地推广服务，建设属于自己的专属推广页面，页面推广内容包括课程简介、教学大纲、教学团队、教学计划、开放资源、评论、招生、考核标准等信息，并积极推广课程在陕西省区和全国推广运行服务。</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课程运行服务要求</w:t>
            </w:r>
            <w:r>
              <w:rPr>
                <w:rFonts w:ascii="仿宋_GB2312" w:hAnsi="仿宋_GB2312" w:cs="仿宋_GB2312" w:eastAsia="仿宋_GB2312"/>
                <w:sz w:val="20"/>
              </w:rPr>
              <w:t>。</w:t>
            </w:r>
            <w:r>
              <w:rPr>
                <w:rFonts w:ascii="仿宋_GB2312" w:hAnsi="仿宋_GB2312" w:cs="仿宋_GB2312" w:eastAsia="仿宋_GB2312"/>
                <w:sz w:val="20"/>
              </w:rPr>
              <w:t>平台具有不少于</w:t>
            </w:r>
            <w:r>
              <w:rPr>
                <w:rFonts w:ascii="仿宋_GB2312" w:hAnsi="仿宋_GB2312" w:cs="仿宋_GB2312" w:eastAsia="仿宋_GB2312"/>
                <w:sz w:val="20"/>
              </w:rPr>
              <w:t>20门职业教育在线课程，提供平台课程免费使用，并提供证明材料。</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课程运行管理要求</w:t>
            </w:r>
            <w:r>
              <w:rPr>
                <w:rFonts w:ascii="仿宋_GB2312" w:hAnsi="仿宋_GB2312" w:cs="仿宋_GB2312" w:eastAsia="仿宋_GB2312"/>
                <w:sz w:val="20"/>
              </w:rPr>
              <w:t>。</w:t>
            </w:r>
            <w:r>
              <w:rPr>
                <w:rFonts w:ascii="仿宋_GB2312" w:hAnsi="仿宋_GB2312" w:cs="仿宋_GB2312" w:eastAsia="仿宋_GB2312"/>
                <w:sz w:val="20"/>
              </w:rPr>
              <w:t>执行基础信息管理、跨校课程引进管理、课程自主维护管理、课程推荐管理、在线大学门户建设、跨校课程排课、跨校选课、教学班管理、学生管理、成绩管理、跨校学分互认管理，质量管理等工作。</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教学组织服务要求</w:t>
            </w:r>
            <w:r>
              <w:rPr>
                <w:rFonts w:ascii="仿宋_GB2312" w:hAnsi="仿宋_GB2312" w:cs="仿宋_GB2312" w:eastAsia="仿宋_GB2312"/>
                <w:sz w:val="20"/>
              </w:rPr>
              <w:t>。</w:t>
            </w:r>
            <w:r>
              <w:rPr>
                <w:rFonts w:ascii="仿宋_GB2312" w:hAnsi="仿宋_GB2312" w:cs="仿宋_GB2312" w:eastAsia="仿宋_GB2312"/>
                <w:sz w:val="20"/>
              </w:rPr>
              <w:t>提供教学运行的业务组织服务：建设跨校教学团队和组织师资教研培训活动、监督管理在线课程层级论坛互动并提供学习情况报告、监督协助共享课程考核并提交课程质量分析报告。</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互动教学功能要求</w:t>
            </w:r>
            <w:r>
              <w:rPr>
                <w:rFonts w:ascii="仿宋_GB2312" w:hAnsi="仿宋_GB2312" w:cs="仿宋_GB2312" w:eastAsia="仿宋_GB2312"/>
                <w:sz w:val="20"/>
              </w:rPr>
              <w:t>。</w:t>
            </w:r>
            <w:r>
              <w:rPr>
                <w:rFonts w:ascii="仿宋_GB2312" w:hAnsi="仿宋_GB2312" w:cs="仿宋_GB2312" w:eastAsia="仿宋_GB2312"/>
                <w:sz w:val="20"/>
              </w:rPr>
              <w:t>组织完成见面课和平台</w:t>
            </w:r>
            <w:r>
              <w:rPr>
                <w:rFonts w:ascii="仿宋_GB2312" w:hAnsi="仿宋_GB2312" w:cs="仿宋_GB2312" w:eastAsia="仿宋_GB2312"/>
                <w:sz w:val="20"/>
              </w:rPr>
              <w:t>PBL互动教学并支持组内讨论、组内互评、组间互评，教师评价多种评价模式以及任务成功展示，帮助学生能力培养。组织见面课在线直播及直播互动：支持见面课的多校区互动以及网上直播，支持学生在线观看直播、教师进行教学观摩，提供跨校直播互动截图及回放视频。</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考勤管理功能要求</w:t>
            </w:r>
            <w:r>
              <w:rPr>
                <w:rFonts w:ascii="仿宋_GB2312" w:hAnsi="仿宋_GB2312" w:cs="仿宋_GB2312" w:eastAsia="仿宋_GB2312"/>
                <w:sz w:val="20"/>
              </w:rPr>
              <w:t>。</w:t>
            </w:r>
            <w:r>
              <w:rPr>
                <w:rFonts w:ascii="仿宋_GB2312" w:hAnsi="仿宋_GB2312" w:cs="仿宋_GB2312" w:eastAsia="仿宋_GB2312"/>
                <w:sz w:val="20"/>
              </w:rPr>
              <w:t>组织考勤管理：组织学生签到，通过手机签到和考勤数据导入，针对每一次线下课堂进行考勤管理，此外课程负责人还可以按照班级角度、课节角度分析每次见面课的考勤情况，了解学生出席率。</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课程教学运行报告</w:t>
            </w:r>
            <w:r>
              <w:rPr>
                <w:rFonts w:ascii="仿宋_GB2312" w:hAnsi="仿宋_GB2312" w:cs="仿宋_GB2312" w:eastAsia="仿宋_GB2312"/>
                <w:sz w:val="20"/>
              </w:rPr>
              <w:t>。</w:t>
            </w:r>
            <w:r>
              <w:rPr>
                <w:rFonts w:ascii="仿宋_GB2312" w:hAnsi="仿宋_GB2312" w:cs="仿宋_GB2312" w:eastAsia="仿宋_GB2312"/>
                <w:sz w:val="20"/>
              </w:rPr>
              <w:t>提供一门</w:t>
            </w:r>
            <w:r>
              <w:rPr>
                <w:rFonts w:ascii="仿宋_GB2312" w:hAnsi="仿宋_GB2312" w:cs="仿宋_GB2312" w:eastAsia="仿宋_GB2312"/>
                <w:sz w:val="20"/>
              </w:rPr>
              <w:t>mooc课程教学运行报告，其中包括mooc课程开课情况数据：课程建设、课程运行、在线学习、见面课出勤、课程成绩；学生调查数据：课程整体满意度、教学运行测评、网络情况；学生反馈及运行过程展示：学生评价及期望、课程运行过程展示、新闻报道；单节视频观看时长数据分析等。</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见面课保障服务运行要求</w:t>
            </w:r>
            <w:r>
              <w:rPr>
                <w:rFonts w:ascii="仿宋_GB2312" w:hAnsi="仿宋_GB2312" w:cs="仿宋_GB2312" w:eastAsia="仿宋_GB2312"/>
                <w:sz w:val="20"/>
              </w:rPr>
              <w:t>。</w:t>
            </w:r>
            <w:r>
              <w:rPr>
                <w:rFonts w:ascii="仿宋_GB2312" w:hAnsi="仿宋_GB2312" w:cs="仿宋_GB2312" w:eastAsia="仿宋_GB2312"/>
                <w:sz w:val="20"/>
              </w:rPr>
              <w:t>支持</w:t>
            </w:r>
            <w:r>
              <w:rPr>
                <w:rFonts w:ascii="仿宋_GB2312" w:hAnsi="仿宋_GB2312" w:cs="仿宋_GB2312" w:eastAsia="仿宋_GB2312"/>
                <w:sz w:val="20"/>
              </w:rPr>
              <w:t>IOS、安卓两大系统，参与直播学习并纳入学生学习过程性考核，本地教室的学生可以与远程教室中的授课教师以及学生进行互动，并相互可视；本地教室的学生可以在等大还原收视区看到远程教室中授课教师与学生的互动场景；也可同时在远程直播－互动接收屏幕中与至少4间远程教室学生进行互动，并相互可视；提供陕西区域</w:t>
            </w:r>
            <w:r>
              <w:rPr>
                <w:rFonts w:ascii="仿宋_GB2312" w:hAnsi="仿宋_GB2312" w:cs="仿宋_GB2312" w:eastAsia="仿宋_GB2312"/>
                <w:sz w:val="20"/>
                <w:color w:val="FF0000"/>
              </w:rPr>
              <w:t>不少</w:t>
            </w:r>
            <w:r>
              <w:rPr>
                <w:rFonts w:ascii="仿宋_GB2312" w:hAnsi="仿宋_GB2312" w:cs="仿宋_GB2312" w:eastAsia="仿宋_GB2312"/>
                <w:sz w:val="20"/>
              </w:rPr>
              <w:t>与两所学校的直播互动专业教室照片和用于专业直播互动教室的专业设备清单和软件著作权证书。</w:t>
            </w:r>
          </w:p>
          <w:p>
            <w:pPr>
              <w:pStyle w:val="null3"/>
              <w:ind w:firstLine="402"/>
              <w:jc w:val="left"/>
            </w:pPr>
            <w:r>
              <w:rPr>
                <w:rFonts w:ascii="仿宋_GB2312" w:hAnsi="仿宋_GB2312" w:cs="仿宋_GB2312" w:eastAsia="仿宋_GB2312"/>
                <w:sz w:val="20"/>
                <w:b/>
              </w:rPr>
              <w:t>（</w:t>
            </w:r>
            <w:r>
              <w:rPr>
                <w:rFonts w:ascii="仿宋_GB2312" w:hAnsi="仿宋_GB2312" w:cs="仿宋_GB2312" w:eastAsia="仿宋_GB2312"/>
                <w:sz w:val="20"/>
                <w:b/>
              </w:rPr>
              <w:t>七</w:t>
            </w:r>
            <w:r>
              <w:rPr>
                <w:rFonts w:ascii="仿宋_GB2312" w:hAnsi="仿宋_GB2312" w:cs="仿宋_GB2312" w:eastAsia="仿宋_GB2312"/>
                <w:sz w:val="20"/>
                <w:b/>
              </w:rPr>
              <w:t>）平台功能要求</w:t>
            </w:r>
          </w:p>
          <w:p>
            <w:pPr>
              <w:pStyle w:val="null3"/>
              <w:ind w:firstLine="400"/>
              <w:jc w:val="both"/>
            </w:pPr>
            <w:r>
              <w:rPr>
                <w:rFonts w:ascii="仿宋_GB2312" w:hAnsi="仿宋_GB2312" w:cs="仿宋_GB2312" w:eastAsia="仿宋_GB2312"/>
                <w:sz w:val="20"/>
              </w:rPr>
              <w:t>提供课程上线运行的平台，</w:t>
            </w:r>
            <w:r>
              <w:rPr>
                <w:rFonts w:ascii="仿宋_GB2312" w:hAnsi="仿宋_GB2312" w:cs="仿宋_GB2312" w:eastAsia="仿宋_GB2312"/>
                <w:sz w:val="20"/>
              </w:rPr>
              <w:t>运行平台须具备在全国运行推广的服务能力</w:t>
            </w:r>
            <w:r>
              <w:rPr>
                <w:rFonts w:ascii="仿宋_GB2312" w:hAnsi="仿宋_GB2312" w:cs="仿宋_GB2312" w:eastAsia="仿宋_GB2312"/>
                <w:sz w:val="20"/>
              </w:rPr>
              <w:t>,</w:t>
            </w:r>
            <w:r>
              <w:rPr>
                <w:rFonts w:ascii="仿宋_GB2312" w:hAnsi="仿宋_GB2312" w:cs="仿宋_GB2312" w:eastAsia="仿宋_GB2312"/>
                <w:sz w:val="20"/>
              </w:rPr>
              <w:t>提供不少于</w:t>
            </w:r>
            <w:r>
              <w:rPr>
                <w:rFonts w:ascii="仿宋_GB2312" w:hAnsi="仿宋_GB2312" w:cs="仿宋_GB2312" w:eastAsia="仿宋_GB2312"/>
                <w:sz w:val="20"/>
              </w:rPr>
              <w:t>5年的</w:t>
            </w:r>
            <w:r>
              <w:rPr>
                <w:rFonts w:ascii="仿宋_GB2312" w:hAnsi="仿宋_GB2312" w:cs="仿宋_GB2312" w:eastAsia="仿宋_GB2312"/>
                <w:sz w:val="20"/>
              </w:rPr>
              <w:t>后期推广服务。</w:t>
            </w:r>
          </w:p>
          <w:p>
            <w:pPr>
              <w:pStyle w:val="null3"/>
              <w:ind w:firstLine="400"/>
              <w:jc w:val="both"/>
            </w:pPr>
            <w:r>
              <w:rPr>
                <w:rFonts w:ascii="仿宋_GB2312" w:hAnsi="仿宋_GB2312" w:cs="仿宋_GB2312" w:eastAsia="仿宋_GB2312"/>
                <w:sz w:val="20"/>
              </w:rPr>
              <w:t>课程建设完毕后需要提供校内在线平台进行课程混合式教学运行，具备一键切换学生端、老师端功能：包含课程视频、习题、视频弹题、章节测试、见面课考核、期末考试、笔记回放、课程论坛等过程化管理模块和运行大数据分析</w:t>
            </w:r>
            <w:r>
              <w:rPr>
                <w:rFonts w:ascii="仿宋_GB2312" w:hAnsi="仿宋_GB2312" w:cs="仿宋_GB2312" w:eastAsia="仿宋_GB2312"/>
                <w:sz w:val="20"/>
              </w:rPr>
              <w:t>,切实让课程运行起来</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老师端需提供：我的学堂、课程论坛、成绩管理、课程事务、学籍管理、我的题库、课程资料、招生管理、教学计划、教学运行、学情分析等功能模块；</w:t>
            </w:r>
          </w:p>
          <w:p>
            <w:pPr>
              <w:pStyle w:val="null3"/>
              <w:ind w:firstLine="400"/>
              <w:jc w:val="both"/>
            </w:pPr>
            <w:r>
              <w:rPr>
                <w:rFonts w:ascii="仿宋_GB2312" w:hAnsi="仿宋_GB2312" w:cs="仿宋_GB2312" w:eastAsia="仿宋_GB2312"/>
                <w:sz w:val="20"/>
              </w:rPr>
              <w:t>学生端需提供：我的学堂、作业考试、课程论坛、见面课、学习分析、课程资料、学习笔记、我的成绩等功能模块。</w:t>
            </w:r>
          </w:p>
          <w:p>
            <w:pPr>
              <w:pStyle w:val="null3"/>
              <w:ind w:firstLine="400"/>
              <w:jc w:val="both"/>
            </w:pPr>
            <w:r>
              <w:rPr>
                <w:rFonts w:ascii="仿宋_GB2312" w:hAnsi="仿宋_GB2312" w:cs="仿宋_GB2312" w:eastAsia="仿宋_GB2312"/>
                <w:sz w:val="20"/>
              </w:rPr>
              <w:t>课程平台需支持自主新建三种类型课程，具体包含：混合式课程、在线式课程、微课程。运行平台需支持个性化设置，需有自主制定课程概要设计、师资介绍、知识点、内容计划、见面课、考核方式课程推广，其中每步自主设置过程中课程平台需提供参考文档和案例，方便老师一键点击查看借鉴，减轻老师工作量提高效率。平台需具备支持统一发布公告，下发通知或督促学生完成学习进度。平台需支持分步骤创建混合式课程，操作简单易上手。平台需具备根据教师在维护章节计划的设置情况自动生成逻辑清晰的学期混合式教学运行计划。平台需支持自学辅导式的纯线上授课模式和混合式的线上线下模式招生，录取方式支持预报名、直接录取、验证码和入学考试以及报名表方式，满足各种招生需求。平台需具备多种类型的成绩类型、多种方式的创建方式以及客观题自动批阅与选择的随机顺序；实现教师批阅，学生互评多种模式，作业内容可囊括多种题型，作业还可退回重做。</w:t>
            </w:r>
          </w:p>
          <w:p>
            <w:pPr>
              <w:pStyle w:val="null3"/>
              <w:ind w:firstLine="400"/>
              <w:jc w:val="both"/>
            </w:pPr>
            <w:r>
              <w:rPr>
                <w:rFonts w:ascii="仿宋_GB2312" w:hAnsi="仿宋_GB2312" w:cs="仿宋_GB2312" w:eastAsia="仿宋_GB2312"/>
                <w:sz w:val="20"/>
              </w:rPr>
              <w:t>需支持建课进度提醒功能，显示进度完成情况，提示老师还余下多少课程项目未完成，防止遗漏，并提供证明材料。需支持见面课的多校区互动以及网上直播，不但学生可以参与课程，相关老师也可以观摩课程。需支持个性化门户设计，包括课程、师资、内容的展示，提升课程价值感。为提高课程建设和使用的效率，需要提供具备课程建设功能和学习功能的苹果和安卓</w:t>
            </w:r>
            <w:r>
              <w:rPr>
                <w:rFonts w:ascii="仿宋_GB2312" w:hAnsi="仿宋_GB2312" w:cs="仿宋_GB2312" w:eastAsia="仿宋_GB2312"/>
                <w:sz w:val="20"/>
              </w:rPr>
              <w:t>APP手机端的软件，让老师们的建课更便捷，学生的学习更高效，并提供证明材料。</w:t>
            </w:r>
          </w:p>
          <w:p>
            <w:pPr>
              <w:pStyle w:val="null3"/>
              <w:ind w:firstLine="400"/>
              <w:jc w:val="both"/>
            </w:pPr>
            <w:r>
              <w:rPr>
                <w:rFonts w:ascii="仿宋_GB2312" w:hAnsi="仿宋_GB2312" w:cs="仿宋_GB2312" w:eastAsia="仿宋_GB2312"/>
                <w:sz w:val="20"/>
              </w:rPr>
              <w:t>平台必须满足记录每一个学生在平台上的学习记录，作业考试、资料上传、课程问答、学习笔记以及课程学习进度，了解每一个学生的详细的学习情况。平台必须提供以至少以月度为单位的学情大数据分析报告。运行平台需具备校内翻转、全国共享的能力</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八</w:t>
            </w:r>
            <w:r>
              <w:rPr>
                <w:rFonts w:ascii="仿宋_GB2312" w:hAnsi="仿宋_GB2312" w:cs="仿宋_GB2312" w:eastAsia="仿宋_GB2312"/>
                <w:sz w:val="20"/>
                <w:b/>
              </w:rPr>
              <w:t>）拍摄制作团队能力要求</w:t>
            </w:r>
          </w:p>
          <w:p>
            <w:pPr>
              <w:pStyle w:val="null3"/>
              <w:ind w:firstLine="400"/>
              <w:jc w:val="both"/>
            </w:pPr>
            <w:r>
              <w:rPr>
                <w:rFonts w:ascii="仿宋_GB2312" w:hAnsi="仿宋_GB2312" w:cs="仿宋_GB2312" w:eastAsia="仿宋_GB2312"/>
                <w:sz w:val="20"/>
              </w:rPr>
              <w:t>拍摄制作团队经验丰富，含专业的编导、平面设计、摄像、灯光、化妆、剪辑、动画制作及审片人员，并且以满足教学要求为目标提供多种拍摄模式，提供人员名单信息。</w:t>
            </w:r>
          </w:p>
          <w:p>
            <w:pPr>
              <w:pStyle w:val="null3"/>
              <w:ind w:firstLine="400"/>
              <w:jc w:val="both"/>
            </w:pPr>
            <w:r>
              <w:rPr>
                <w:rFonts w:ascii="仿宋_GB2312" w:hAnsi="仿宋_GB2312" w:cs="仿宋_GB2312" w:eastAsia="仿宋_GB2312"/>
                <w:sz w:val="20"/>
              </w:rPr>
              <w:t>课程视频制作团队，</w:t>
            </w:r>
            <w:r>
              <w:rPr>
                <w:rFonts w:ascii="仿宋_GB2312" w:hAnsi="仿宋_GB2312" w:cs="仿宋_GB2312" w:eastAsia="仿宋_GB2312"/>
                <w:sz w:val="20"/>
                <w:color w:val="000000"/>
              </w:rPr>
              <w:t>至少包含课程经理、课程顾问（编导）、视频工程师、课程专员各一名，且已制作过</w:t>
            </w:r>
            <w:r>
              <w:rPr>
                <w:rFonts w:ascii="仿宋_GB2312" w:hAnsi="仿宋_GB2312" w:cs="仿宋_GB2312" w:eastAsia="仿宋_GB2312"/>
                <w:sz w:val="20"/>
                <w:color w:val="000000"/>
              </w:rPr>
              <w:t>MOOC课程的经验，及跨校联合课程建设经验，提供学历证明其中签约课程建设业绩证明合同不少于5份。</w:t>
            </w:r>
          </w:p>
          <w:p>
            <w:pPr>
              <w:pStyle w:val="null3"/>
              <w:ind w:firstLine="400"/>
              <w:jc w:val="both"/>
            </w:pPr>
            <w:r>
              <w:rPr>
                <w:rFonts w:ascii="仿宋_GB2312" w:hAnsi="仿宋_GB2312" w:cs="仿宋_GB2312" w:eastAsia="仿宋_GB2312"/>
                <w:sz w:val="20"/>
                <w:color w:val="000000"/>
              </w:rPr>
              <w:t>课程经理，负责学校、教师、制作团队之间的沟通与协调。</w:t>
            </w:r>
          </w:p>
          <w:p>
            <w:pPr>
              <w:pStyle w:val="null3"/>
              <w:ind w:firstLine="400"/>
              <w:jc w:val="both"/>
            </w:pPr>
            <w:r>
              <w:rPr>
                <w:rFonts w:ascii="仿宋_GB2312" w:hAnsi="仿宋_GB2312" w:cs="仿宋_GB2312" w:eastAsia="仿宋_GB2312"/>
                <w:sz w:val="20"/>
                <w:color w:val="000000"/>
              </w:rPr>
              <w:t>课程顾问（具有三年实际课程咨询、设计经验），至少</w:t>
            </w:r>
            <w:r>
              <w:rPr>
                <w:rFonts w:ascii="仿宋_GB2312" w:hAnsi="仿宋_GB2312" w:cs="仿宋_GB2312" w:eastAsia="仿宋_GB2312"/>
                <w:sz w:val="20"/>
                <w:color w:val="000000"/>
              </w:rPr>
              <w:t>1人，负责现场拍摄、制作监控与管理，课程内容设计、章节及知识点碎片化建议，为课程建设团队制作课程脚本提供专业咨询。</w:t>
            </w:r>
          </w:p>
          <w:p>
            <w:pPr>
              <w:pStyle w:val="null3"/>
              <w:ind w:firstLine="400"/>
              <w:jc w:val="both"/>
            </w:pPr>
            <w:r>
              <w:rPr>
                <w:rFonts w:ascii="仿宋_GB2312" w:hAnsi="仿宋_GB2312" w:cs="仿宋_GB2312" w:eastAsia="仿宋_GB2312"/>
                <w:sz w:val="20"/>
                <w:color w:val="000000"/>
              </w:rPr>
              <w:t>视频工程师，（三年课程视频或宣传片拍摄经验）至少</w:t>
            </w:r>
            <w:r>
              <w:rPr>
                <w:rFonts w:ascii="仿宋_GB2312" w:hAnsi="仿宋_GB2312" w:cs="仿宋_GB2312" w:eastAsia="仿宋_GB2312"/>
                <w:sz w:val="20"/>
                <w:color w:val="000000"/>
              </w:rPr>
              <w:t>1</w:t>
            </w:r>
            <w:r>
              <w:rPr>
                <w:rFonts w:ascii="仿宋_GB2312" w:hAnsi="仿宋_GB2312" w:cs="仿宋_GB2312" w:eastAsia="仿宋_GB2312"/>
                <w:sz w:val="20"/>
                <w:color w:val="000000"/>
              </w:rPr>
              <w:t>人，</w:t>
            </w:r>
            <w:r>
              <w:rPr>
                <w:rFonts w:ascii="仿宋_GB2312" w:hAnsi="仿宋_GB2312" w:cs="仿宋_GB2312" w:eastAsia="仿宋_GB2312"/>
                <w:sz w:val="20"/>
              </w:rPr>
              <w:t>负责主机位、侧机位拍摄。</w:t>
            </w:r>
          </w:p>
          <w:p>
            <w:pPr>
              <w:pStyle w:val="null3"/>
              <w:ind w:firstLine="400"/>
              <w:jc w:val="both"/>
            </w:pPr>
            <w:r>
              <w:rPr>
                <w:rFonts w:ascii="仿宋_GB2312" w:hAnsi="仿宋_GB2312" w:cs="仿宋_GB2312" w:eastAsia="仿宋_GB2312"/>
                <w:sz w:val="20"/>
              </w:rPr>
              <w:t>现场灯光师（三年拍摄现场灯光经验）至少</w:t>
            </w:r>
            <w:r>
              <w:rPr>
                <w:rFonts w:ascii="仿宋_GB2312" w:hAnsi="仿宋_GB2312" w:cs="仿宋_GB2312" w:eastAsia="仿宋_GB2312"/>
                <w:sz w:val="20"/>
              </w:rPr>
              <w:t>1人，负责现场灯光设计及场记。</w:t>
            </w:r>
          </w:p>
          <w:p>
            <w:pPr>
              <w:pStyle w:val="null3"/>
              <w:ind w:firstLine="400"/>
              <w:jc w:val="both"/>
            </w:pPr>
            <w:r>
              <w:rPr>
                <w:rFonts w:ascii="仿宋_GB2312" w:hAnsi="仿宋_GB2312" w:cs="仿宋_GB2312" w:eastAsia="仿宋_GB2312"/>
                <w:sz w:val="20"/>
              </w:rPr>
              <w:t>后期制作及效果包装</w:t>
            </w:r>
            <w:r>
              <w:rPr>
                <w:rFonts w:ascii="仿宋_GB2312" w:hAnsi="仿宋_GB2312" w:cs="仿宋_GB2312" w:eastAsia="仿宋_GB2312"/>
                <w:sz w:val="20"/>
              </w:rPr>
              <w:t>3人及以上。</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九</w:t>
            </w:r>
            <w:r>
              <w:rPr>
                <w:rFonts w:ascii="仿宋_GB2312" w:hAnsi="仿宋_GB2312" w:cs="仿宋_GB2312" w:eastAsia="仿宋_GB2312"/>
                <w:sz w:val="20"/>
                <w:b/>
              </w:rPr>
              <w:t>）拍摄模式和场地要求</w:t>
            </w:r>
          </w:p>
          <w:p>
            <w:pPr>
              <w:pStyle w:val="null3"/>
              <w:ind w:firstLine="400"/>
              <w:jc w:val="both"/>
            </w:pPr>
            <w:r>
              <w:rPr>
                <w:rFonts w:ascii="仿宋_GB2312" w:hAnsi="仿宋_GB2312" w:cs="仿宋_GB2312" w:eastAsia="仿宋_GB2312"/>
                <w:sz w:val="20"/>
              </w:rPr>
              <w:t>根据课程性质，课程顾问团队与教师一起确定课程最合理拍摄方式，提供不少于</w:t>
            </w:r>
            <w:r>
              <w:rPr>
                <w:rFonts w:ascii="仿宋_GB2312" w:hAnsi="仿宋_GB2312" w:cs="仿宋_GB2312" w:eastAsia="仿宋_GB2312"/>
                <w:sz w:val="20"/>
              </w:rPr>
              <w:t>6种的拍摄模式可供老师选择，如拍摄基地PPT模式、拍摄基地演示模式、拍摄基地访谈模式等。根据课程建设多场景的设计和布景需要，提供陕西地区基于学校内的专业拍摄服务基地，要求提供所在学校拍摄场地建设合同证明的同时，提供学校名称、楼号、房间号并附照片。</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0"/>
                <w:b/>
              </w:rPr>
              <w:t>一、《移动应用开发》</w:t>
            </w:r>
          </w:p>
          <w:p>
            <w:pPr>
              <w:pStyle w:val="null3"/>
              <w:jc w:val="left"/>
            </w:pPr>
            <w:r>
              <w:rPr>
                <w:rFonts w:ascii="仿宋_GB2312" w:hAnsi="仿宋_GB2312" w:cs="仿宋_GB2312" w:eastAsia="仿宋_GB2312"/>
                <w:sz w:val="20"/>
              </w:rPr>
              <w:t>（一）《移动应用开发》课程录制</w:t>
            </w:r>
            <w:r>
              <w:rPr>
                <w:rFonts w:ascii="仿宋_GB2312" w:hAnsi="仿宋_GB2312" w:cs="仿宋_GB2312" w:eastAsia="仿宋_GB2312"/>
                <w:sz w:val="20"/>
              </w:rPr>
              <w:t>56个微课</w:t>
            </w:r>
          </w:p>
          <w:tbl>
            <w:tblPr>
              <w:tblBorders>
                <w:top w:val="none" w:color="000000" w:sz="4"/>
                <w:left w:val="none" w:color="000000" w:sz="4"/>
                <w:bottom w:val="none" w:color="000000" w:sz="4"/>
                <w:right w:val="none" w:color="000000" w:sz="4"/>
                <w:insideH w:val="none"/>
                <w:insideV w:val="none"/>
              </w:tblBorders>
            </w:tblPr>
            <w:tblGrid>
              <w:gridCol w:w="286"/>
              <w:gridCol w:w="406"/>
              <w:gridCol w:w="530"/>
              <w:gridCol w:w="1586"/>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3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学习情景</w:t>
                  </w:r>
                </w:p>
              </w:tc>
              <w:tc>
                <w:tcPr>
                  <w:tcW w:type="dxa" w:w="1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节名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课程导览与项目概述</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课程导览与行业前景</w:t>
                  </w:r>
                </w:p>
              </w:tc>
              <w:tc>
                <w:tcPr>
                  <w:tcW w:type="dxa" w:w="1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理解课程目标与“银龄驿站”跨端应用项目背景</w:t>
                  </w:r>
                </w:p>
                <w:p>
                  <w:pPr>
                    <w:pStyle w:val="null3"/>
                    <w:jc w:val="left"/>
                  </w:pPr>
                  <w:r>
                    <w:rPr>
                      <w:rFonts w:ascii="仿宋_GB2312" w:hAnsi="仿宋_GB2312" w:cs="仿宋_GB2312" w:eastAsia="仿宋_GB2312"/>
                      <w:sz w:val="20"/>
                    </w:rPr>
                    <w:t>2. 认识移动应用开发趋势与uni-app跨端框架优势</w:t>
                  </w:r>
                </w:p>
                <w:p>
                  <w:pPr>
                    <w:pStyle w:val="null3"/>
                    <w:jc w:val="left"/>
                  </w:pPr>
                  <w:r>
                    <w:rPr>
                      <w:rFonts w:ascii="仿宋_GB2312" w:hAnsi="仿宋_GB2312" w:cs="仿宋_GB2312" w:eastAsia="仿宋_GB2312"/>
                      <w:sz w:val="20"/>
                    </w:rPr>
                    <w:t>3. 掌握课程学习路径与考核方式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开发环境搭建与工具使用</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安装并配置HBuilderX开发工具</w:t>
                  </w:r>
                </w:p>
                <w:p>
                  <w:pPr>
                    <w:pStyle w:val="null3"/>
                    <w:jc w:val="left"/>
                  </w:pPr>
                  <w:r>
                    <w:rPr>
                      <w:rFonts w:ascii="仿宋_GB2312" w:hAnsi="仿宋_GB2312" w:cs="仿宋_GB2312" w:eastAsia="仿宋_GB2312"/>
                      <w:sz w:val="20"/>
                    </w:rPr>
                    <w:t>2. 创建uni-app项目并运行到模拟器与真机</w:t>
                  </w:r>
                </w:p>
                <w:p>
                  <w:pPr>
                    <w:pStyle w:val="null3"/>
                    <w:jc w:val="left"/>
                  </w:pPr>
                  <w:r>
                    <w:rPr>
                      <w:rFonts w:ascii="仿宋_GB2312" w:hAnsi="仿宋_GB2312" w:cs="仿宋_GB2312" w:eastAsia="仿宋_GB2312"/>
                      <w:sz w:val="20"/>
                    </w:rPr>
                    <w:t>3. 熟悉开发工具常用功能与多端调试技巧</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UI设计基础模块</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界面设计原则与布局基础</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理解移动端界面设计的基本原则（如一致性、简洁性）</w:t>
                  </w:r>
                </w:p>
                <w:p>
                  <w:pPr>
                    <w:pStyle w:val="null3"/>
                    <w:jc w:val="left"/>
                  </w:pPr>
                  <w:r>
                    <w:rPr>
                      <w:rFonts w:ascii="仿宋_GB2312" w:hAnsi="仿宋_GB2312" w:cs="仿宋_GB2312" w:eastAsia="仿宋_GB2312"/>
                      <w:sz w:val="20"/>
                    </w:rPr>
                    <w:t>2. 掌握常见页面布局结构（列表、网格、卡片）</w:t>
                  </w:r>
                </w:p>
                <w:p>
                  <w:pPr>
                    <w:pStyle w:val="null3"/>
                    <w:jc w:val="left"/>
                  </w:pPr>
                  <w:r>
                    <w:rPr>
                      <w:rFonts w:ascii="仿宋_GB2312" w:hAnsi="仿宋_GB2312" w:cs="仿宋_GB2312" w:eastAsia="仿宋_GB2312"/>
                      <w:sz w:val="20"/>
                    </w:rPr>
                    <w:t>3. 认识大字体、高对比度等无障碍设计要素</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色彩、字体与图标系统</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掌握色彩在界面设计中的情感表达与功能划分</w:t>
                  </w:r>
                </w:p>
                <w:p>
                  <w:pPr>
                    <w:pStyle w:val="null3"/>
                    <w:jc w:val="left"/>
                  </w:pPr>
                  <w:r>
                    <w:rPr>
                      <w:rFonts w:ascii="仿宋_GB2312" w:hAnsi="仿宋_GB2312" w:cs="仿宋_GB2312" w:eastAsia="仿宋_GB2312"/>
                      <w:sz w:val="20"/>
                    </w:rPr>
                    <w:t>2. 学习字体选择与排版规范，提升可读性</w:t>
                  </w:r>
                </w:p>
                <w:p>
                  <w:pPr>
                    <w:pStyle w:val="null3"/>
                    <w:jc w:val="left"/>
                  </w:pPr>
                  <w:r>
                    <w:rPr>
                      <w:rFonts w:ascii="仿宋_GB2312" w:hAnsi="仿宋_GB2312" w:cs="仿宋_GB2312" w:eastAsia="仿宋_GB2312"/>
                      <w:sz w:val="20"/>
                    </w:rPr>
                    <w:t>3. 了解图标系统的意义，学会引入并使用图标库</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原型设计与工具初识</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了解原型设计在产品开发流程中的作用</w:t>
                  </w:r>
                </w:p>
                <w:p>
                  <w:pPr>
                    <w:pStyle w:val="null3"/>
                    <w:jc w:val="left"/>
                  </w:pPr>
                  <w:r>
                    <w:rPr>
                      <w:rFonts w:ascii="仿宋_GB2312" w:hAnsi="仿宋_GB2312" w:cs="仿宋_GB2312" w:eastAsia="仿宋_GB2312"/>
                      <w:sz w:val="20"/>
                    </w:rPr>
                    <w:t>2. 认识常用原型设计工具（如墨刀、Figma）基础操作</w:t>
                  </w:r>
                </w:p>
                <w:p>
                  <w:pPr>
                    <w:pStyle w:val="null3"/>
                    <w:jc w:val="left"/>
                  </w:pPr>
                  <w:r>
                    <w:rPr>
                      <w:rFonts w:ascii="仿宋_GB2312" w:hAnsi="仿宋_GB2312" w:cs="仿宋_GB2312" w:eastAsia="仿宋_GB2312"/>
                      <w:sz w:val="20"/>
                    </w:rPr>
                    <w:t>3. 能根据简单需求绘制“银龄驿站”基础页面线框图</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Vue.js与uni-app基础模块</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Vue.js数据绑定与事件</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理解Vue实例与数据绑定（{{}}）语法</w:t>
                  </w:r>
                </w:p>
                <w:p>
                  <w:pPr>
                    <w:pStyle w:val="null3"/>
                    <w:jc w:val="left"/>
                  </w:pPr>
                  <w:r>
                    <w:rPr>
                      <w:rFonts w:ascii="仿宋_GB2312" w:hAnsi="仿宋_GB2312" w:cs="仿宋_GB2312" w:eastAsia="仿宋_GB2312"/>
                      <w:sz w:val="20"/>
                    </w:rPr>
                    <w:t>2. 掌握常用指令(v-bind, v-on)的使用方法</w:t>
                  </w:r>
                </w:p>
                <w:p>
                  <w:pPr>
                    <w:pStyle w:val="null3"/>
                    <w:jc w:val="left"/>
                  </w:pPr>
                  <w:r>
                    <w:rPr>
                      <w:rFonts w:ascii="仿宋_GB2312" w:hAnsi="仿宋_GB2312" w:cs="仿宋_GB2312" w:eastAsia="仿宋_GB2312"/>
                      <w:sz w:val="20"/>
                    </w:rPr>
                    <w:t>3. 实现简单的用户交互页面</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条件渲染与列表渲染</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辨析v-if 与 v-show 的区别与适用场景</w:t>
                  </w:r>
                  <w:r>
                    <w:br/>
                  </w:r>
                  <w:r>
                    <w:rPr>
                      <w:rFonts w:ascii="仿宋_GB2312" w:hAnsi="仿宋_GB2312" w:cs="仿宋_GB2312" w:eastAsia="仿宋_GB2312"/>
                      <w:sz w:val="20"/>
                    </w:rPr>
                    <w:t>2. 掌握v-for指令循环渲染列表数据</w:t>
                  </w:r>
                  <w:r>
                    <w:br/>
                  </w:r>
                  <w:r>
                    <w:rPr>
                      <w:rFonts w:ascii="仿宋_GB2312" w:hAnsi="仿宋_GB2312" w:cs="仿宋_GB2312" w:eastAsia="仿宋_GB2312"/>
                      <w:sz w:val="20"/>
                    </w:rPr>
                    <w:t>3. 学会为动态列表项绑定事件</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页面布局与</w:t>
                  </w:r>
                  <w:r>
                    <w:rPr>
                      <w:rFonts w:ascii="仿宋_GB2312" w:hAnsi="仿宋_GB2312" w:cs="仿宋_GB2312" w:eastAsia="仿宋_GB2312"/>
                      <w:sz w:val="20"/>
                    </w:rPr>
                    <w:t>Flex实战</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掌握Flex布局基本概念与容器属性</w:t>
                  </w:r>
                  <w:r>
                    <w:br/>
                  </w:r>
                  <w:r>
                    <w:rPr>
                      <w:rFonts w:ascii="仿宋_GB2312" w:hAnsi="仿宋_GB2312" w:cs="仿宋_GB2312" w:eastAsia="仿宋_GB2312"/>
                      <w:sz w:val="20"/>
                    </w:rPr>
                    <w:t>2. 使用Flex实现常见页面结构</w:t>
                  </w:r>
                  <w:r>
                    <w:br/>
                  </w:r>
                  <w:r>
                    <w:rPr>
                      <w:rFonts w:ascii="仿宋_GB2312" w:hAnsi="仿宋_GB2312" w:cs="仿宋_GB2312" w:eastAsia="仿宋_GB2312"/>
                      <w:sz w:val="20"/>
                    </w:rPr>
                    <w:t>3. 应用大字体、高对比度等无障碍设计适配</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组件化开发入门</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掌握创建与注册自定义组件的方法</w:t>
                  </w:r>
                  <w:r>
                    <w:br/>
                  </w:r>
                  <w:r>
                    <w:rPr>
                      <w:rFonts w:ascii="仿宋_GB2312" w:hAnsi="仿宋_GB2312" w:cs="仿宋_GB2312" w:eastAsia="仿宋_GB2312"/>
                      <w:sz w:val="20"/>
                    </w:rPr>
                    <w:t>2. 理解父组件向子组件传递属性(Props)的流程</w:t>
                  </w:r>
                  <w:r>
                    <w:br/>
                  </w:r>
                  <w:r>
                    <w:rPr>
                      <w:rFonts w:ascii="仿宋_GB2312" w:hAnsi="仿宋_GB2312" w:cs="仿宋_GB2312" w:eastAsia="仿宋_GB2312"/>
                      <w:sz w:val="20"/>
                    </w:rPr>
                    <w:t>3. 实现子组件向父组件发送事件($emit)</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路由与导航配置</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配置页面路由并实现页面跳转(uni.navigateTo)</w:t>
                  </w:r>
                  <w:r>
                    <w:br/>
                  </w:r>
                  <w:r>
                    <w:rPr>
                      <w:rFonts w:ascii="仿宋_GB2312" w:hAnsi="仿宋_GB2312" w:cs="仿宋_GB2312" w:eastAsia="仿宋_GB2312"/>
                      <w:sz w:val="20"/>
                    </w:rPr>
                    <w:t>2. 开发与配置底部标签栏(tabBar)</w:t>
                  </w:r>
                  <w:r>
                    <w:br/>
                  </w:r>
                  <w:r>
                    <w:rPr>
                      <w:rFonts w:ascii="仿宋_GB2312" w:hAnsi="仿宋_GB2312" w:cs="仿宋_GB2312" w:eastAsia="仿宋_GB2312"/>
                      <w:sz w:val="20"/>
                    </w:rPr>
                    <w:t>3. 掌握页面间传递参数的几种方式</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状态管理</w:t>
                  </w:r>
                  <w:r>
                    <w:rPr>
                      <w:rFonts w:ascii="仿宋_GB2312" w:hAnsi="仿宋_GB2312" w:cs="仿宋_GB2312" w:eastAsia="仿宋_GB2312"/>
                      <w:sz w:val="20"/>
                    </w:rPr>
                    <w:t>(Vuex)基础</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理解Vuex的核心概念(State, Getters, Mutations)</w:t>
                  </w:r>
                  <w:r>
                    <w:br/>
                  </w:r>
                  <w:r>
                    <w:rPr>
                      <w:rFonts w:ascii="仿宋_GB2312" w:hAnsi="仿宋_GB2312" w:cs="仿宋_GB2312" w:eastAsia="仿宋_GB2312"/>
                      <w:sz w:val="20"/>
                    </w:rPr>
                    <w:t>2. 在项目中定义和使用全局状态</w:t>
                  </w:r>
                  <w:r>
                    <w:br/>
                  </w:r>
                  <w:r>
                    <w:rPr>
                      <w:rFonts w:ascii="仿宋_GB2312" w:hAnsi="仿宋_GB2312" w:cs="仿宋_GB2312" w:eastAsia="仿宋_GB2312"/>
                      <w:sz w:val="20"/>
                    </w:rPr>
                    <w:t>3. 实现简单的主题切换功能</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网络请求</w:t>
                  </w:r>
                  <w:r>
                    <w:rPr>
                      <w:rFonts w:ascii="仿宋_GB2312" w:hAnsi="仿宋_GB2312" w:cs="仿宋_GB2312" w:eastAsia="仿宋_GB2312"/>
                      <w:sz w:val="20"/>
                    </w:rPr>
                    <w:t>(uni.request)</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封装统一的网络请求函数</w:t>
                  </w:r>
                  <w:r>
                    <w:br/>
                  </w:r>
                  <w:r>
                    <w:rPr>
                      <w:rFonts w:ascii="仿宋_GB2312" w:hAnsi="仿宋_GB2312" w:cs="仿宋_GB2312" w:eastAsia="仿宋_GB2312"/>
                      <w:sz w:val="20"/>
                    </w:rPr>
                    <w:t>2. 处理异步请求与加载状态提示</w:t>
                  </w:r>
                  <w:r>
                    <w:br/>
                  </w:r>
                  <w:r>
                    <w:rPr>
                      <w:rFonts w:ascii="仿宋_GB2312" w:hAnsi="仿宋_GB2312" w:cs="仿宋_GB2312" w:eastAsia="仿宋_GB2312"/>
                      <w:sz w:val="20"/>
                    </w:rPr>
                    <w:t>3. 实现请求失败的错误处理与用户反馈</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本地存储技术</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使用uni.setStorageSync进行数据持久化存储</w:t>
                  </w:r>
                  <w:r>
                    <w:br/>
                  </w:r>
                  <w:r>
                    <w:rPr>
                      <w:rFonts w:ascii="仿宋_GB2312" w:hAnsi="仿宋_GB2312" w:cs="仿宋_GB2312" w:eastAsia="仿宋_GB2312"/>
                      <w:sz w:val="20"/>
                    </w:rPr>
                    <w:t>2. 实现应用启动时的数据读取与初始化</w:t>
                  </w:r>
                  <w:r>
                    <w:br/>
                  </w:r>
                  <w:r>
                    <w:rPr>
                      <w:rFonts w:ascii="仿宋_GB2312" w:hAnsi="仿宋_GB2312" w:cs="仿宋_GB2312" w:eastAsia="仿宋_GB2312"/>
                      <w:sz w:val="20"/>
                    </w:rPr>
                    <w:t>3. 了解存储安全与清理策略</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应用框架与基础页面模块</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首页设计与功能布局</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使用Flex或Grid布局首页功能入口</w:t>
                  </w:r>
                  <w:r>
                    <w:br/>
                  </w:r>
                  <w:r>
                    <w:rPr>
                      <w:rFonts w:ascii="仿宋_GB2312" w:hAnsi="仿宋_GB2312" w:cs="仿宋_GB2312" w:eastAsia="仿宋_GB2312"/>
                      <w:sz w:val="20"/>
                    </w:rPr>
                    <w:t>2. 集成swiper组件实现轮播图与数据绑定</w:t>
                  </w:r>
                  <w:r>
                    <w:br/>
                  </w:r>
                  <w:r>
                    <w:rPr>
                      <w:rFonts w:ascii="仿宋_GB2312" w:hAnsi="仿宋_GB2312" w:cs="仿宋_GB2312" w:eastAsia="仿宋_GB2312"/>
                      <w:sz w:val="20"/>
                    </w:rPr>
                    <w:t>3. 展示个性化推荐模块的静态数据</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导航栏与页面配置</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自定义导航栏样式以适应项目设计</w:t>
                  </w:r>
                  <w:r>
                    <w:br/>
                  </w:r>
                  <w:r>
                    <w:rPr>
                      <w:rFonts w:ascii="仿宋_GB2312" w:hAnsi="仿宋_GB2312" w:cs="仿宋_GB2312" w:eastAsia="仿宋_GB2312"/>
                      <w:sz w:val="20"/>
                    </w:rPr>
                    <w:t>2. 配置页面标题与返回按钮行为</w:t>
                  </w:r>
                  <w:r>
                    <w:br/>
                  </w:r>
                  <w:r>
                    <w:rPr>
                      <w:rFonts w:ascii="仿宋_GB2312" w:hAnsi="仿宋_GB2312" w:cs="仿宋_GB2312" w:eastAsia="仿宋_GB2312"/>
                      <w:sz w:val="20"/>
                    </w:rPr>
                    <w:t>3. 协调导航栏与页面内容的显示</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个人中心页面开发</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布局用户信息展示区域</w:t>
                  </w:r>
                  <w:r>
                    <w:br/>
                  </w:r>
                  <w:r>
                    <w:rPr>
                      <w:rFonts w:ascii="仿宋_GB2312" w:hAnsi="仿宋_GB2312" w:cs="仿宋_GB2312" w:eastAsia="仿宋_GB2312"/>
                      <w:sz w:val="20"/>
                    </w:rPr>
                    <w:t>2. 实现设置项列表与点击事件</w:t>
                  </w:r>
                  <w:r>
                    <w:br/>
                  </w:r>
                  <w:r>
                    <w:rPr>
                      <w:rFonts w:ascii="仿宋_GB2312" w:hAnsi="仿宋_GB2312" w:cs="仿宋_GB2312" w:eastAsia="仿宋_GB2312"/>
                      <w:sz w:val="20"/>
                    </w:rPr>
                    <w:t>3. 完成退出登录的逻辑与界面交互</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页面生命周期函数</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理解onLoad, onShow, onReady等生命周期函数</w:t>
                  </w:r>
                  <w:r>
                    <w:br/>
                  </w:r>
                  <w:r>
                    <w:rPr>
                      <w:rFonts w:ascii="仿宋_GB2312" w:hAnsi="仿宋_GB2312" w:cs="仿宋_GB2312" w:eastAsia="仿宋_GB2312"/>
                      <w:sz w:val="20"/>
                    </w:rPr>
                    <w:t>2. 在生命周期中初始化数据与绑定事件监听</w:t>
                  </w:r>
                  <w:r>
                    <w:br/>
                  </w:r>
                  <w:r>
                    <w:rPr>
                      <w:rFonts w:ascii="仿宋_GB2312" w:hAnsi="仿宋_GB2312" w:cs="仿宋_GB2312" w:eastAsia="仿宋_GB2312"/>
                      <w:sz w:val="20"/>
                    </w:rPr>
                    <w:t>3. 制定页面跳转时的数据刷新策略</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应用框架与</w:t>
                  </w:r>
                  <w:r>
                    <w:rPr>
                      <w:rFonts w:ascii="仿宋_GB2312" w:hAnsi="仿宋_GB2312" w:cs="仿宋_GB2312" w:eastAsia="仿宋_GB2312"/>
                      <w:sz w:val="20"/>
                    </w:rPr>
                    <w:t>UI优化模块</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组件通信与事件总线</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回顾并强化父子组件通信的多种方式</w:t>
                  </w:r>
                  <w:r>
                    <w:br/>
                  </w:r>
                  <w:r>
                    <w:rPr>
                      <w:rFonts w:ascii="仿宋_GB2312" w:hAnsi="仿宋_GB2312" w:cs="仿宋_GB2312" w:eastAsia="仿宋_GB2312"/>
                      <w:sz w:val="20"/>
                    </w:rPr>
                    <w:t>2. 使用事件总线($emit / $on)实现跨组件通信</w:t>
                  </w:r>
                  <w:r>
                    <w:br/>
                  </w:r>
                  <w:r>
                    <w:rPr>
                      <w:rFonts w:ascii="仿宋_GB2312" w:hAnsi="仿宋_GB2312" w:cs="仿宋_GB2312" w:eastAsia="仿宋_GB2312"/>
                      <w:sz w:val="20"/>
                    </w:rPr>
                    <w:t>3. 应用事件总线同步全局用户登录状态</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全局样式与主题化</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定义与应用全局CSS变量统一设计风格</w:t>
                  </w:r>
                  <w:r>
                    <w:br/>
                  </w:r>
                  <w:r>
                    <w:rPr>
                      <w:rFonts w:ascii="仿宋_GB2312" w:hAnsi="仿宋_GB2312" w:cs="仿宋_GB2312" w:eastAsia="仿宋_GB2312"/>
                      <w:sz w:val="20"/>
                    </w:rPr>
                    <w:t>2. 实现暗色模式与高对比度模式的主题切换</w:t>
                  </w:r>
                  <w:r>
                    <w:br/>
                  </w:r>
                  <w:r>
                    <w:rPr>
                      <w:rFonts w:ascii="仿宋_GB2312" w:hAnsi="仿宋_GB2312" w:cs="仿宋_GB2312" w:eastAsia="仿宋_GB2312"/>
                      <w:sz w:val="20"/>
                    </w:rPr>
                    <w:t>3. 为主题切换添加平滑的动画效果</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字体图标与</w:t>
                  </w:r>
                  <w:r>
                    <w:rPr>
                      <w:rFonts w:ascii="仿宋_GB2312" w:hAnsi="仿宋_GB2312" w:cs="仿宋_GB2312" w:eastAsia="仿宋_GB2312"/>
                      <w:sz w:val="20"/>
                    </w:rPr>
                    <w:t>UI组件封装</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引入并使用第三方图标库（如Iconfont）</w:t>
                  </w:r>
                  <w:r>
                    <w:br/>
                  </w:r>
                  <w:r>
                    <w:rPr>
                      <w:rFonts w:ascii="仿宋_GB2312" w:hAnsi="仿宋_GB2312" w:cs="仿宋_GB2312" w:eastAsia="仿宋_GB2312"/>
                      <w:sz w:val="20"/>
                    </w:rPr>
                    <w:t>2. 自定义字体以提升界面美观度与独特性</w:t>
                  </w:r>
                  <w:r>
                    <w:br/>
                  </w:r>
                  <w:r>
                    <w:rPr>
                      <w:rFonts w:ascii="仿宋_GB2312" w:hAnsi="仿宋_GB2312" w:cs="仿宋_GB2312" w:eastAsia="仿宋_GB2312"/>
                      <w:sz w:val="20"/>
                    </w:rPr>
                    <w:t>3. 封装按钮、卡片等可复用的基础UI组件</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响应式布局与</w:t>
                  </w:r>
                  <w:r>
                    <w:rPr>
                      <w:rFonts w:ascii="仿宋_GB2312" w:hAnsi="仿宋_GB2312" w:cs="仿宋_GB2312" w:eastAsia="仿宋_GB2312"/>
                      <w:sz w:val="20"/>
                    </w:rPr>
                    <w:t>rpx单位</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理解rpx单位原理并掌握其适配技巧</w:t>
                  </w:r>
                  <w:r>
                    <w:br/>
                  </w:r>
                  <w:r>
                    <w:rPr>
                      <w:rFonts w:ascii="仿宋_GB2312" w:hAnsi="仿宋_GB2312" w:cs="仿宋_GB2312" w:eastAsia="仿宋_GB2312"/>
                      <w:sz w:val="20"/>
                    </w:rPr>
                    <w:t>2. 进行在不同尺寸屏幕下的布局适配测试</w:t>
                  </w:r>
                  <w:r>
                    <w:br/>
                  </w:r>
                  <w:r>
                    <w:rPr>
                      <w:rFonts w:ascii="仿宋_GB2312" w:hAnsi="仿宋_GB2312" w:cs="仿宋_GB2312" w:eastAsia="仿宋_GB2312"/>
                      <w:sz w:val="20"/>
                    </w:rPr>
                    <w:t>3. 处理横竖屏切换时的简单布局调整</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CSS动画与交互动效</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使用CSS transition和animation添加基础动画</w:t>
                  </w:r>
                  <w:r>
                    <w:br/>
                  </w:r>
                  <w:r>
                    <w:rPr>
                      <w:rFonts w:ascii="仿宋_GB2312" w:hAnsi="仿宋_GB2312" w:cs="仿宋_GB2312" w:eastAsia="仿宋_GB2312"/>
                      <w:sz w:val="20"/>
                    </w:rPr>
                    <w:t>2. 为按钮点击、列表项等添加微交互效果</w:t>
                  </w:r>
                  <w:r>
                    <w:br/>
                  </w:r>
                  <w:r>
                    <w:rPr>
                      <w:rFonts w:ascii="仿宋_GB2312" w:hAnsi="仿宋_GB2312" w:cs="仿宋_GB2312" w:eastAsia="仿宋_GB2312"/>
                      <w:sz w:val="20"/>
                    </w:rPr>
                    <w:t>3. 集成Lottie动画实现复杂的庆祝或引导动效</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信息获取与内容展示模块</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新闻资讯</w:t>
                  </w:r>
                  <w:r>
                    <w:rPr>
                      <w:rFonts w:ascii="仿宋_GB2312" w:hAnsi="仿宋_GB2312" w:cs="仿宋_GB2312" w:eastAsia="仿宋_GB2312"/>
                      <w:sz w:val="20"/>
                    </w:rPr>
                    <w:t>API对接</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调用免费新闻API接口获取数据</w:t>
                  </w:r>
                  <w:r>
                    <w:br/>
                  </w:r>
                  <w:r>
                    <w:rPr>
                      <w:rFonts w:ascii="仿宋_GB2312" w:hAnsi="仿宋_GB2312" w:cs="仿宋_GB2312" w:eastAsia="仿宋_GB2312"/>
                      <w:sz w:val="20"/>
                    </w:rPr>
                    <w:t>2. 实现新闻列表的渲染与分页加载功能</w:t>
                  </w:r>
                  <w:r>
                    <w:br/>
                  </w:r>
                  <w:r>
                    <w:rPr>
                      <w:rFonts w:ascii="仿宋_GB2312" w:hAnsi="仿宋_GB2312" w:cs="仿宋_GB2312" w:eastAsia="仿宋_GB2312"/>
                      <w:sz w:val="20"/>
                    </w:rPr>
                    <w:t>3. 开发新闻分类筛选功能</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内容详情页与分享</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设计与开发新闻详情页面</w:t>
                  </w:r>
                  <w:r>
                    <w:br/>
                  </w:r>
                  <w:r>
                    <w:rPr>
                      <w:rFonts w:ascii="仿宋_GB2312" w:hAnsi="仿宋_GB2312" w:cs="仿宋_GB2312" w:eastAsia="仿宋_GB2312"/>
                      <w:sz w:val="20"/>
                    </w:rPr>
                    <w:t>2. 调用uni.share API实现内容分享至社交平台</w:t>
                  </w:r>
                  <w:r>
                    <w:br/>
                  </w:r>
                  <w:r>
                    <w:rPr>
                      <w:rFonts w:ascii="仿宋_GB2312" w:hAnsi="仿宋_GB2312" w:cs="仿宋_GB2312" w:eastAsia="仿宋_GB2312"/>
                      <w:sz w:val="20"/>
                    </w:rPr>
                    <w:t>3. 实现分享海报的生成与保存到相册</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内容收藏与个性化</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管理新闻内容的收藏状态（本地存储）</w:t>
                  </w:r>
                  <w:r>
                    <w:br/>
                  </w:r>
                  <w:r>
                    <w:rPr>
                      <w:rFonts w:ascii="仿宋_GB2312" w:hAnsi="仿宋_GB2312" w:cs="仿宋_GB2312" w:eastAsia="仿宋_GB2312"/>
                      <w:sz w:val="20"/>
                    </w:rPr>
                    <w:t>2. 设计基于收藏历史的简单个性化推荐逻辑</w:t>
                  </w:r>
                  <w:r>
                    <w:br/>
                  </w:r>
                  <w:r>
                    <w:rPr>
                      <w:rFonts w:ascii="仿宋_GB2312" w:hAnsi="仿宋_GB2312" w:cs="仿宋_GB2312" w:eastAsia="仿宋_GB2312"/>
                      <w:sz w:val="20"/>
                    </w:rPr>
                    <w:t>3. 开发“我的收藏”页面</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内容模块功能验证</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测试新闻列表在不同网络下的加载性能</w:t>
                  </w:r>
                  <w:r>
                    <w:br/>
                  </w:r>
                  <w:r>
                    <w:rPr>
                      <w:rFonts w:ascii="仿宋_GB2312" w:hAnsi="仿宋_GB2312" w:cs="仿宋_GB2312" w:eastAsia="仿宋_GB2312"/>
                      <w:sz w:val="20"/>
                    </w:rPr>
                    <w:t>2. 验证分享功能在各社交平台的兼容性</w:t>
                  </w:r>
                  <w:r>
                    <w:br/>
                  </w:r>
                  <w:r>
                    <w:rPr>
                      <w:rFonts w:ascii="仿宋_GB2312" w:hAnsi="仿宋_GB2312" w:cs="仿宋_GB2312" w:eastAsia="仿宋_GB2312"/>
                      <w:sz w:val="20"/>
                    </w:rPr>
                    <w:t>3. 测试收藏数据与用户状态的同步情况</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音频播放与管理模块</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音频播放器核心开发</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使用uni.createInnerAudioContext创建音频实例</w:t>
                  </w:r>
                  <w:r>
                    <w:br/>
                  </w:r>
                  <w:r>
                    <w:rPr>
                      <w:rFonts w:ascii="仿宋_GB2312" w:hAnsi="仿宋_GB2312" w:cs="仿宋_GB2312" w:eastAsia="仿宋_GB2312"/>
                      <w:sz w:val="20"/>
                    </w:rPr>
                    <w:t>2. 实现播放、暂停、进度跳转等控制功能</w:t>
                  </w:r>
                  <w:r>
                    <w:br/>
                  </w:r>
                  <w:r>
                    <w:rPr>
                      <w:rFonts w:ascii="仿宋_GB2312" w:hAnsi="仿宋_GB2312" w:cs="仿宋_GB2312" w:eastAsia="仿宋_GB2312"/>
                      <w:sz w:val="20"/>
                    </w:rPr>
                    <w:t>3. 实时显示播放状态与进度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音频列表与数据渲染</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从服务端获取音频列表数据</w:t>
                  </w:r>
                  <w:r>
                    <w:br/>
                  </w:r>
                  <w:r>
                    <w:rPr>
                      <w:rFonts w:ascii="仿宋_GB2312" w:hAnsi="仿宋_GB2312" w:cs="仿宋_GB2312" w:eastAsia="仿宋_GB2312"/>
                      <w:sz w:val="20"/>
                    </w:rPr>
                    <w:t>2. 渲染音频列表并进行性能优化（如懒加载）</w:t>
                  </w:r>
                  <w:r>
                    <w:br/>
                  </w:r>
                  <w:r>
                    <w:rPr>
                      <w:rFonts w:ascii="仿宋_GB2312" w:hAnsi="仿宋_GB2312" w:cs="仿宋_GB2312" w:eastAsia="仿宋_GB2312"/>
                      <w:sz w:val="20"/>
                    </w:rPr>
                    <w:t>3. 实现下拉刷新与上拉加载更多功能</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播放历史与本地记录</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监听播放完成事件并记录播放历史</w:t>
                  </w:r>
                  <w:r>
                    <w:br/>
                  </w:r>
                  <w:r>
                    <w:rPr>
                      <w:rFonts w:ascii="仿宋_GB2312" w:hAnsi="仿宋_GB2312" w:cs="仿宋_GB2312" w:eastAsia="仿宋_GB2312"/>
                      <w:sz w:val="20"/>
                    </w:rPr>
                    <w:t>2. 设计与开发“播放历史”页面</w:t>
                  </w:r>
                  <w:r>
                    <w:br/>
                  </w:r>
                  <w:r>
                    <w:rPr>
                      <w:rFonts w:ascii="仿宋_GB2312" w:hAnsi="仿宋_GB2312" w:cs="仿宋_GB2312" w:eastAsia="仿宋_GB2312"/>
                      <w:sz w:val="20"/>
                    </w:rPr>
                    <w:t>3. 实现点击历史记录快速播放音频</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收藏功能的实现</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实现音频收藏状态的本地存储与管理</w:t>
                  </w:r>
                  <w:r>
                    <w:br/>
                  </w:r>
                  <w:r>
                    <w:rPr>
                      <w:rFonts w:ascii="仿宋_GB2312" w:hAnsi="仿宋_GB2312" w:cs="仿宋_GB2312" w:eastAsia="仿宋_GB2312"/>
                      <w:sz w:val="20"/>
                    </w:rPr>
                    <w:t>2. 开发“我的收藏”页面并展示数据</w:t>
                  </w:r>
                  <w:r>
                    <w:br/>
                  </w:r>
                  <w:r>
                    <w:rPr>
                      <w:rFonts w:ascii="仿宋_GB2312" w:hAnsi="仿宋_GB2312" w:cs="仿宋_GB2312" w:eastAsia="仿宋_GB2312"/>
                      <w:sz w:val="20"/>
                    </w:rPr>
                    <w:t>3. 实现取消收藏功能及与首页的联动</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音频功能集成测试</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测试音频播放器在iOS/Android端的兼容性</w:t>
                  </w:r>
                  <w:r>
                    <w:br/>
                  </w:r>
                  <w:r>
                    <w:rPr>
                      <w:rFonts w:ascii="仿宋_GB2312" w:hAnsi="仿宋_GB2312" w:cs="仿宋_GB2312" w:eastAsia="仿宋_GB2312"/>
                      <w:sz w:val="20"/>
                    </w:rPr>
                    <w:t>2. 测试网络切换（Wi-Fi/4G）下的播放体验</w:t>
                  </w:r>
                  <w:r>
                    <w:br/>
                  </w:r>
                  <w:r>
                    <w:rPr>
                      <w:rFonts w:ascii="仿宋_GB2312" w:hAnsi="仿宋_GB2312" w:cs="仿宋_GB2312" w:eastAsia="仿宋_GB2312"/>
                      <w:sz w:val="20"/>
                    </w:rPr>
                    <w:t>3. 测试音频播放与其他功能（如语音）的并行情况</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系统功能与设备</w:t>
                  </w:r>
                  <w:r>
                    <w:rPr>
                      <w:rFonts w:ascii="仿宋_GB2312" w:hAnsi="仿宋_GB2312" w:cs="仿宋_GB2312" w:eastAsia="仿宋_GB2312"/>
                      <w:sz w:val="20"/>
                    </w:rPr>
                    <w:t>API模块</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地理位置获取与应用</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调用uni.getLocation API并申请位置权限</w:t>
                  </w:r>
                  <w:r>
                    <w:br/>
                  </w:r>
                  <w:r>
                    <w:rPr>
                      <w:rFonts w:ascii="仿宋_GB2312" w:hAnsi="仿宋_GB2312" w:cs="仿宋_GB2312" w:eastAsia="仿宋_GB2312"/>
                      <w:sz w:val="20"/>
                    </w:rPr>
                    <w:t>2. 解析位置信息并在地图组件上显示</w:t>
                  </w:r>
                  <w:r>
                    <w:br/>
                  </w:r>
                  <w:r>
                    <w:rPr>
                      <w:rFonts w:ascii="仿宋_GB2312" w:hAnsi="仿宋_GB2312" w:cs="仿宋_GB2312" w:eastAsia="仿宋_GB2312"/>
                      <w:sz w:val="20"/>
                    </w:rPr>
                    <w:t>3. 实现“一键上报位置”安全功能</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通讯录与联系人管理</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调用uni.chooseContact API选择系统联系人</w:t>
                  </w:r>
                  <w:r>
                    <w:br/>
                  </w:r>
                  <w:r>
                    <w:rPr>
                      <w:rFonts w:ascii="仿宋_GB2312" w:hAnsi="仿宋_GB2312" w:cs="仿宋_GB2312" w:eastAsia="仿宋_GB2312"/>
                      <w:sz w:val="20"/>
                    </w:rPr>
                    <w:t>2. 实现联系人数据的本地存储与列表展示</w:t>
                  </w:r>
                  <w:r>
                    <w:br/>
                  </w:r>
                  <w:r>
                    <w:rPr>
                      <w:rFonts w:ascii="仿宋_GB2312" w:hAnsi="仿宋_GB2312" w:cs="仿宋_GB2312" w:eastAsia="仿宋_GB2312"/>
                      <w:sz w:val="20"/>
                    </w:rPr>
                    <w:t>3. 开发“紧急联系人”设置功能</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短信与电话功能调用</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调用uni.sendSMS API发送系统短信</w:t>
                  </w:r>
                  <w:r>
                    <w:br/>
                  </w:r>
                  <w:r>
                    <w:rPr>
                      <w:rFonts w:ascii="仿宋_GB2312" w:hAnsi="仿宋_GB2312" w:cs="仿宋_GB2312" w:eastAsia="仿宋_GB2312"/>
                      <w:sz w:val="20"/>
                    </w:rPr>
                    <w:t>2. 调用uni.makePhoneCall API拨打电话</w:t>
                  </w:r>
                  <w:r>
                    <w:br/>
                  </w:r>
                  <w:r>
                    <w:rPr>
                      <w:rFonts w:ascii="仿宋_GB2312" w:hAnsi="仿宋_GB2312" w:cs="仿宋_GB2312" w:eastAsia="仿宋_GB2312"/>
                      <w:sz w:val="20"/>
                    </w:rPr>
                    <w:t>3. 构建包含动态内容（如位置）的短信模板</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系统功能集成与调试</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实现权限的统一检查与引导用户开启</w:t>
                  </w:r>
                  <w:r>
                    <w:br/>
                  </w:r>
                  <w:r>
                    <w:rPr>
                      <w:rFonts w:ascii="仿宋_GB2312" w:hAnsi="仿宋_GB2312" w:cs="仿宋_GB2312" w:eastAsia="仿宋_GB2312"/>
                      <w:sz w:val="20"/>
                    </w:rPr>
                    <w:t>2. 进行多设备API功能的联合调试</w:t>
                  </w:r>
                  <w:r>
                    <w:br/>
                  </w:r>
                  <w:r>
                    <w:rPr>
                      <w:rFonts w:ascii="仿宋_GB2312" w:hAnsi="仿宋_GB2312" w:cs="仿宋_GB2312" w:eastAsia="仿宋_GB2312"/>
                      <w:sz w:val="20"/>
                    </w:rPr>
                    <w:t>3. 处理用户拒绝授权等异常流程</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智能语音助手模块</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语音交互功能导览</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理解语音交互在助老应用中的场景与价值</w:t>
                  </w:r>
                  <w:r>
                    <w:br/>
                  </w:r>
                  <w:r>
                    <w:rPr>
                      <w:rFonts w:ascii="仿宋_GB2312" w:hAnsi="仿宋_GB2312" w:cs="仿宋_GB2312" w:eastAsia="仿宋_GB2312"/>
                      <w:sz w:val="20"/>
                    </w:rPr>
                    <w:t>2. 认识语音识别与合成（TTS）技术基本原理</w:t>
                  </w:r>
                  <w:r>
                    <w:br/>
                  </w:r>
                  <w:r>
                    <w:rPr>
                      <w:rFonts w:ascii="仿宋_GB2312" w:hAnsi="仿宋_GB2312" w:cs="仿宋_GB2312" w:eastAsia="仿宋_GB2312"/>
                      <w:sz w:val="20"/>
                    </w:rPr>
                    <w:t>3. 完成语音API服务选型与基础申请</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语音识别</w:t>
                  </w:r>
                  <w:r>
                    <w:rPr>
                      <w:rFonts w:ascii="仿宋_GB2312" w:hAnsi="仿宋_GB2312" w:cs="仿宋_GB2312" w:eastAsia="仿宋_GB2312"/>
                      <w:sz w:val="20"/>
                    </w:rPr>
                    <w:t>API集成</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引入语音服务SDK并完成初始化配置</w:t>
                  </w:r>
                  <w:r>
                    <w:br/>
                  </w:r>
                  <w:r>
                    <w:rPr>
                      <w:rFonts w:ascii="仿宋_GB2312" w:hAnsi="仿宋_GB2312" w:cs="仿宋_GB2312" w:eastAsia="仿宋_GB2312"/>
                      <w:sz w:val="20"/>
                    </w:rPr>
                    <w:t>2. 封装调用语音识别功能的通用方法</w:t>
                  </w:r>
                  <w:r>
                    <w:br/>
                  </w:r>
                  <w:r>
                    <w:rPr>
                      <w:rFonts w:ascii="仿宋_GB2312" w:hAnsi="仿宋_GB2312" w:cs="仿宋_GB2312" w:eastAsia="仿宋_GB2312"/>
                      <w:sz w:val="20"/>
                    </w:rPr>
                    <w:t>3. 处理语音识别返回的文本结果</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实现语音唤醒与监听</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实现长按录音的UI界面与交互</w:t>
                  </w:r>
                  <w:r>
                    <w:br/>
                  </w:r>
                  <w:r>
                    <w:rPr>
                      <w:rFonts w:ascii="仿宋_GB2312" w:hAnsi="仿宋_GB2312" w:cs="仿宋_GB2312" w:eastAsia="仿宋_GB2312"/>
                      <w:sz w:val="20"/>
                    </w:rPr>
                    <w:t>2. 监听录音开始、结束与完成事件</w:t>
                  </w:r>
                  <w:r>
                    <w:br/>
                  </w:r>
                  <w:r>
                    <w:rPr>
                      <w:rFonts w:ascii="仿宋_GB2312" w:hAnsi="仿宋_GB2312" w:cs="仿宋_GB2312" w:eastAsia="仿宋_GB2312"/>
                      <w:sz w:val="20"/>
                    </w:rPr>
                    <w:t>3. 调用封装好的语音识别方法</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语音命令解析与执行</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设计简单的本地语音命令规则库</w:t>
                  </w:r>
                  <w:r>
                    <w:br/>
                  </w:r>
                  <w:r>
                    <w:rPr>
                      <w:rFonts w:ascii="仿宋_GB2312" w:hAnsi="仿宋_GB2312" w:cs="仿宋_GB2312" w:eastAsia="仿宋_GB2312"/>
                      <w:sz w:val="20"/>
                    </w:rPr>
                    <w:t>2. 将识别文本与命令规则进行匹配</w:t>
                  </w:r>
                  <w:r>
                    <w:br/>
                  </w:r>
                  <w:r>
                    <w:rPr>
                      <w:rFonts w:ascii="仿宋_GB2312" w:hAnsi="仿宋_GB2312" w:cs="仿宋_GB2312" w:eastAsia="仿宋_GB2312"/>
                      <w:sz w:val="20"/>
                    </w:rPr>
                    <w:t>3. 根据匹配结果执行相应页面跳转或功能</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文本转语音</w:t>
                  </w:r>
                  <w:r>
                    <w:rPr>
                      <w:rFonts w:ascii="仿宋_GB2312" w:hAnsi="仿宋_GB2312" w:cs="仿宋_GB2312" w:eastAsia="仿宋_GB2312"/>
                      <w:sz w:val="20"/>
                    </w:rPr>
                    <w:t>(TTS)反馈</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调用文本转语音API并进行基础封装</w:t>
                  </w:r>
                  <w:r>
                    <w:br/>
                  </w:r>
                  <w:r>
                    <w:rPr>
                      <w:rFonts w:ascii="仿宋_GB2312" w:hAnsi="仿宋_GB2312" w:cs="仿宋_GB2312" w:eastAsia="仿宋_GB2312"/>
                      <w:sz w:val="20"/>
                    </w:rPr>
                    <w:t>2. 在特定场景（如操作成功）下进行语音播报反馈</w:t>
                  </w:r>
                  <w:r>
                    <w:br/>
                  </w:r>
                  <w:r>
                    <w:rPr>
                      <w:rFonts w:ascii="仿宋_GB2312" w:hAnsi="仿宋_GB2312" w:cs="仿宋_GB2312" w:eastAsia="仿宋_GB2312"/>
                      <w:sz w:val="20"/>
                    </w:rPr>
                    <w:t>3. 控制语音播报的语速、音量和发音人</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语音功能健壮性测试</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模拟网络异常等场景测试语音功能表现</w:t>
                  </w:r>
                  <w:r>
                    <w:br/>
                  </w:r>
                  <w:r>
                    <w:rPr>
                      <w:rFonts w:ascii="仿宋_GB2312" w:hAnsi="仿宋_GB2312" w:cs="仿宋_GB2312" w:eastAsia="仿宋_GB2312"/>
                      <w:sz w:val="20"/>
                    </w:rPr>
                    <w:t>2. 测试不同环境噪音下的识别准确率</w:t>
                  </w:r>
                  <w:r>
                    <w:br/>
                  </w:r>
                  <w:r>
                    <w:rPr>
                      <w:rFonts w:ascii="仿宋_GB2312" w:hAnsi="仿宋_GB2312" w:cs="仿宋_GB2312" w:eastAsia="仿宋_GB2312"/>
                      <w:sz w:val="20"/>
                    </w:rPr>
                    <w:t>3. 实现识别失败后的友好提示与重试机制</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视频内容功能模块</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视频播放器开发</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使用video组件并控制其属性与方法</w:t>
                  </w:r>
                  <w:r>
                    <w:br/>
                  </w:r>
                  <w:r>
                    <w:rPr>
                      <w:rFonts w:ascii="仿宋_GB2312" w:hAnsi="仿宋_GB2312" w:cs="仿宋_GB2312" w:eastAsia="仿宋_GB2312"/>
                      <w:sz w:val="20"/>
                    </w:rPr>
                    <w:t>2. 实现全屏播放与退出全屏功能</w:t>
                  </w:r>
                  <w:r>
                    <w:br/>
                  </w:r>
                  <w:r>
                    <w:rPr>
                      <w:rFonts w:ascii="仿宋_GB2312" w:hAnsi="仿宋_GB2312" w:cs="仿宋_GB2312" w:eastAsia="仿宋_GB2312"/>
                      <w:sz w:val="20"/>
                    </w:rPr>
                    <w:t>3. 自定义播放控制UI（如进度条、播放按钮</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视频列表与交互</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实现视频列表的懒加载与性能优化</w:t>
                  </w:r>
                  <w:r>
                    <w:br/>
                  </w:r>
                  <w:r>
                    <w:rPr>
                      <w:rFonts w:ascii="仿宋_GB2312" w:hAnsi="仿宋_GB2312" w:cs="仿宋_GB2312" w:eastAsia="仿宋_GB2312"/>
                      <w:sz w:val="20"/>
                    </w:rPr>
                    <w:t>2. 制定视频预览图与自动播放策略</w:t>
                  </w:r>
                  <w:r>
                    <w:br/>
                  </w:r>
                  <w:r>
                    <w:rPr>
                      <w:rFonts w:ascii="仿宋_GB2312" w:hAnsi="仿宋_GB2312" w:cs="仿宋_GB2312" w:eastAsia="仿宋_GB2312"/>
                      <w:sz w:val="20"/>
                    </w:rPr>
                    <w:t>3. 开发视频点赞、评论交互界面原型</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视频管理与用户行为</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实现视频播放记录的本地存储</w:t>
                  </w:r>
                  <w:r>
                    <w:br/>
                  </w:r>
                  <w:r>
                    <w:rPr>
                      <w:rFonts w:ascii="仿宋_GB2312" w:hAnsi="仿宋_GB2312" w:cs="仿宋_GB2312" w:eastAsia="仿宋_GB2312"/>
                      <w:sz w:val="20"/>
                    </w:rPr>
                    <w:t>2. 开发“我的观看历史”页面</w:t>
                  </w:r>
                  <w:r>
                    <w:br/>
                  </w:r>
                  <w:r>
                    <w:rPr>
                      <w:rFonts w:ascii="仿宋_GB2312" w:hAnsi="仿宋_GB2312" w:cs="仿宋_GB2312" w:eastAsia="仿宋_GB2312"/>
                      <w:sz w:val="20"/>
                    </w:rPr>
                    <w:t>3. 了解基于用户行为的视频推荐思路</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视频功能专项测试</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测试与优化视频缓冲、卡顿问题</w:t>
                  </w:r>
                  <w:r>
                    <w:br/>
                  </w:r>
                  <w:r>
                    <w:rPr>
                      <w:rFonts w:ascii="仿宋_GB2312" w:hAnsi="仿宋_GB2312" w:cs="仿宋_GB2312" w:eastAsia="仿宋_GB2312"/>
                      <w:sz w:val="20"/>
                    </w:rPr>
                    <w:t>2. 测试不同视频格式与源的兼容性</w:t>
                  </w:r>
                  <w:r>
                    <w:br/>
                  </w:r>
                  <w:r>
                    <w:rPr>
                      <w:rFonts w:ascii="仿宋_GB2312" w:hAnsi="仿宋_GB2312" w:cs="仿宋_GB2312" w:eastAsia="仿宋_GB2312"/>
                      <w:sz w:val="20"/>
                    </w:rPr>
                    <w:t>3. 测试播放器与系统音量、锁屏的交互</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项目集成与优化模块</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多模块功能联调</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检查各模块间的数据流与状态同步</w:t>
                  </w:r>
                  <w:r>
                    <w:br/>
                  </w:r>
                  <w:r>
                    <w:rPr>
                      <w:rFonts w:ascii="仿宋_GB2312" w:hAnsi="仿宋_GB2312" w:cs="仿宋_GB2312" w:eastAsia="仿宋_GB2312"/>
                      <w:sz w:val="20"/>
                    </w:rPr>
                    <w:t>2. 解决模块间的潜在冲突（如音频与视频同时播放）</w:t>
                  </w:r>
                  <w:r>
                    <w:br/>
                  </w:r>
                  <w:r>
                    <w:rPr>
                      <w:rFonts w:ascii="仿宋_GB2312" w:hAnsi="仿宋_GB2312" w:cs="仿宋_GB2312" w:eastAsia="仿宋_GB2312"/>
                      <w:sz w:val="20"/>
                    </w:rPr>
                    <w:t>3. 统一处理全局异常与用户提示</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应用性能优化入门</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实施图片懒加载与静态资源压缩</w:t>
                  </w:r>
                  <w:r>
                    <w:br/>
                  </w:r>
                  <w:r>
                    <w:rPr>
                      <w:rFonts w:ascii="仿宋_GB2312" w:hAnsi="仿宋_GB2312" w:cs="仿宋_GB2312" w:eastAsia="仿宋_GB2312"/>
                      <w:sz w:val="20"/>
                    </w:rPr>
                    <w:t>2. 优化减少不必要的setData调用</w:t>
                  </w:r>
                  <w:r>
                    <w:br/>
                  </w:r>
                  <w:r>
                    <w:rPr>
                      <w:rFonts w:ascii="仿宋_GB2312" w:hAnsi="仿宋_GB2312" w:cs="仿宋_GB2312" w:eastAsia="仿宋_GB2312"/>
                      <w:sz w:val="20"/>
                    </w:rPr>
                    <w:t>3. 使用分包加载技术优化应用首次启动速度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用户体验与细节打磨</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添加网络请求的全局加载提示</w:t>
                  </w:r>
                  <w:r>
                    <w:br/>
                  </w:r>
                  <w:r>
                    <w:rPr>
                      <w:rFonts w:ascii="仿宋_GB2312" w:hAnsi="仿宋_GB2312" w:cs="仿宋_GB2312" w:eastAsia="仿宋_GB2312"/>
                      <w:sz w:val="20"/>
                    </w:rPr>
                    <w:t>2. 使用Toast与Modal组件进行操作结果反馈</w:t>
                  </w:r>
                  <w:r>
                    <w:br/>
                  </w:r>
                  <w:r>
                    <w:rPr>
                      <w:rFonts w:ascii="仿宋_GB2312" w:hAnsi="仿宋_GB2312" w:cs="仿宋_GB2312" w:eastAsia="仿宋_GB2312"/>
                      <w:sz w:val="20"/>
                    </w:rPr>
                    <w:t>3. 初步引入标签描述等无障碍访问特性</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项目收官与部署模块</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跨端兼容性测试</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对比测试小程序、App、H5三端的运行差异</w:t>
                  </w:r>
                </w:p>
                <w:p>
                  <w:pPr>
                    <w:pStyle w:val="null3"/>
                    <w:jc w:val="left"/>
                  </w:pPr>
                  <w:r>
                    <w:rPr>
                      <w:rFonts w:ascii="仿宋_GB2312" w:hAnsi="仿宋_GB2312" w:cs="仿宋_GB2312" w:eastAsia="仿宋_GB2312"/>
                      <w:sz w:val="20"/>
                    </w:rPr>
                    <w:t>2. 分析并解决常见的跨端兼容性问题</w:t>
                  </w:r>
                </w:p>
                <w:p>
                  <w:pPr>
                    <w:pStyle w:val="null3"/>
                    <w:jc w:val="left"/>
                  </w:pPr>
                  <w:r>
                    <w:rPr>
                      <w:rFonts w:ascii="仿宋_GB2312" w:hAnsi="仿宋_GB2312" w:cs="仿宋_GB2312" w:eastAsia="仿宋_GB2312"/>
                      <w:sz w:val="20"/>
                    </w:rPr>
                    <w:t>3. 使用真机进行全方位的功能与性能测试</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云打包与应用发布</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使用DCloud云打包生成Android应用安装包</w:t>
                  </w:r>
                  <w:r>
                    <w:br/>
                  </w:r>
                  <w:r>
                    <w:rPr>
                      <w:rFonts w:ascii="仿宋_GB2312" w:hAnsi="仿宋_GB2312" w:cs="仿宋_GB2312" w:eastAsia="仿宋_GB2312"/>
                      <w:sz w:val="20"/>
                    </w:rPr>
                    <w:t>2. 了解iOS应用打包与发布到App Store的流程</w:t>
                  </w:r>
                  <w:r>
                    <w:br/>
                  </w:r>
                  <w:r>
                    <w:rPr>
                      <w:rFonts w:ascii="仿宋_GB2312" w:hAnsi="仿宋_GB2312" w:cs="仿宋_GB2312" w:eastAsia="仿宋_GB2312"/>
                      <w:sz w:val="20"/>
                    </w:rPr>
                    <w:t>3. 实现应用版本管理与更新提示功能</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小程序上传与审核</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完成微信小程序代码上传与提交审核</w:t>
                  </w:r>
                  <w:r>
                    <w:br/>
                  </w:r>
                  <w:r>
                    <w:rPr>
                      <w:rFonts w:ascii="仿宋_GB2312" w:hAnsi="仿宋_GB2312" w:cs="仿宋_GB2312" w:eastAsia="仿宋_GB2312"/>
                      <w:sz w:val="20"/>
                    </w:rPr>
                    <w:t>2. 填写小程序基本信息与设置服务类目</w:t>
                  </w:r>
                  <w:r>
                    <w:br/>
                  </w:r>
                  <w:r>
                    <w:rPr>
                      <w:rFonts w:ascii="仿宋_GB2312" w:hAnsi="仿宋_GB2312" w:cs="仿宋_GB2312" w:eastAsia="仿宋_GB2312"/>
                      <w:sz w:val="20"/>
                    </w:rPr>
                    <w:t>3. 了解小程序审核常见问题与规避方法</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项目文档与职业规划</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撰写项目说明文档与技术开发笔记</w:t>
                  </w:r>
                  <w:r>
                    <w:br/>
                  </w:r>
                  <w:r>
                    <w:rPr>
                      <w:rFonts w:ascii="仿宋_GB2312" w:hAnsi="仿宋_GB2312" w:cs="仿宋_GB2312" w:eastAsia="仿宋_GB2312"/>
                      <w:sz w:val="20"/>
                    </w:rPr>
                    <w:t>2. 分析移动应用开发相关岗位需求与面试要点</w:t>
                  </w:r>
                  <w:r>
                    <w:br/>
                  </w:r>
                  <w:r>
                    <w:rPr>
                      <w:rFonts w:ascii="仿宋_GB2312" w:hAnsi="仿宋_GB2312" w:cs="仿宋_GB2312" w:eastAsia="仿宋_GB2312"/>
                      <w:sz w:val="20"/>
                    </w:rPr>
                    <w:t>3. 规划个人作品集构建与职业发展路径</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课程总结与技术回顾</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对“银龄驿站”跨端应用项目进行全流程复盘</w:t>
                  </w:r>
                  <w:r>
                    <w:br/>
                  </w:r>
                  <w:r>
                    <w:rPr>
                      <w:rFonts w:ascii="仿宋_GB2312" w:hAnsi="仿宋_GB2312" w:cs="仿宋_GB2312" w:eastAsia="仿宋_GB2312"/>
                      <w:sz w:val="20"/>
                    </w:rPr>
                    <w:t>2. 串联并总结课程核心知识点与技能</w:t>
                  </w:r>
                  <w:r>
                    <w:br/>
                  </w:r>
                  <w:r>
                    <w:rPr>
                      <w:rFonts w:ascii="仿宋_GB2312" w:hAnsi="仿宋_GB2312" w:cs="仿宋_GB2312" w:eastAsia="仿宋_GB2312"/>
                      <w:sz w:val="20"/>
                    </w:rPr>
                    <w:t>3. 汇总常见开发问题与解决方案</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项目答辩准备与指导</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明确项目演示的重点内容与展示技巧</w:t>
                  </w:r>
                  <w:r>
                    <w:br/>
                  </w:r>
                  <w:r>
                    <w:rPr>
                      <w:rFonts w:ascii="仿宋_GB2312" w:hAnsi="仿宋_GB2312" w:cs="仿宋_GB2312" w:eastAsia="仿宋_GB2312"/>
                      <w:sz w:val="20"/>
                    </w:rPr>
                    <w:t>2. 规划答辩讲稿的逻辑结构与时间控制</w:t>
                  </w:r>
                  <w:r>
                    <w:br/>
                  </w:r>
                  <w:r>
                    <w:rPr>
                      <w:rFonts w:ascii="仿宋_GB2312" w:hAnsi="仿宋_GB2312" w:cs="仿宋_GB2312" w:eastAsia="仿宋_GB2312"/>
                      <w:sz w:val="20"/>
                    </w:rPr>
                    <w:t>3. 指导如何清晰阐述设计思路与技术实现亮点</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创新拓展与未来展望</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探讨如何在现有项目基础上引入创新功能点</w:t>
                  </w:r>
                  <w:r>
                    <w:br/>
                  </w:r>
                  <w:r>
                    <w:rPr>
                      <w:rFonts w:ascii="仿宋_GB2312" w:hAnsi="仿宋_GB2312" w:cs="仿宋_GB2312" w:eastAsia="仿宋_GB2312"/>
                      <w:sz w:val="20"/>
                    </w:rPr>
                    <w:t>2. 展望AI大模型与跨端应用的融合趋势</w:t>
                  </w:r>
                  <w:r>
                    <w:br/>
                  </w:r>
                  <w:r>
                    <w:rPr>
                      <w:rFonts w:ascii="仿宋_GB2312" w:hAnsi="仿宋_GB2312" w:cs="仿宋_GB2312" w:eastAsia="仿宋_GB2312"/>
                      <w:sz w:val="20"/>
                    </w:rPr>
                    <w:t>3. 鼓励学生基于本项目进行二次开发与创新实践</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406"/>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课程收尾与寄语</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总结课程核心价值与学生关键学习成果</w:t>
                  </w:r>
                  <w:r>
                    <w:br/>
                  </w:r>
                  <w:r>
                    <w:rPr>
                      <w:rFonts w:ascii="仿宋_GB2312" w:hAnsi="仿宋_GB2312" w:cs="仿宋_GB2312" w:eastAsia="仿宋_GB2312"/>
                      <w:sz w:val="20"/>
                    </w:rPr>
                    <w:t>2. 对学生未来的技术学习与职业发展给予鼓励</w:t>
                  </w:r>
                  <w:r>
                    <w:br/>
                  </w:r>
                  <w:r>
                    <w:rPr>
                      <w:rFonts w:ascii="仿宋_GB2312" w:hAnsi="仿宋_GB2312" w:cs="仿宋_GB2312" w:eastAsia="仿宋_GB2312"/>
                      <w:sz w:val="20"/>
                    </w:rPr>
                    <w:t>3. 提供课程结束后持续学习与交流的渠道</w:t>
                  </w:r>
                </w:p>
              </w:tc>
            </w:tr>
          </w:tbl>
          <w:p>
            <w:pPr>
              <w:pStyle w:val="null3"/>
              <w:jc w:val="left"/>
            </w:pPr>
            <w:r>
              <w:rPr>
                <w:rFonts w:ascii="仿宋_GB2312" w:hAnsi="仿宋_GB2312" w:cs="仿宋_GB2312" w:eastAsia="仿宋_GB2312"/>
                <w:sz w:val="20"/>
              </w:rPr>
              <w:t>（二）《移动应用开发》课程开发制作</w:t>
            </w:r>
            <w:r>
              <w:rPr>
                <w:rFonts w:ascii="仿宋_GB2312" w:hAnsi="仿宋_GB2312" w:cs="仿宋_GB2312" w:eastAsia="仿宋_GB2312"/>
                <w:sz w:val="20"/>
              </w:rPr>
              <w:t>5个动画</w:t>
            </w:r>
          </w:p>
          <w:p>
            <w:pPr>
              <w:pStyle w:val="null3"/>
              <w:ind w:firstLine="402"/>
              <w:jc w:val="left"/>
            </w:pPr>
            <w:r>
              <w:rPr>
                <w:rFonts w:ascii="仿宋_GB2312" w:hAnsi="仿宋_GB2312" w:cs="仿宋_GB2312" w:eastAsia="仿宋_GB2312"/>
                <w:sz w:val="20"/>
                <w:b/>
              </w:rPr>
              <w:t>1.</w:t>
            </w:r>
            <w:r>
              <w:rPr>
                <w:rFonts w:ascii="仿宋_GB2312" w:hAnsi="仿宋_GB2312" w:cs="仿宋_GB2312" w:eastAsia="仿宋_GB2312"/>
                <w:sz w:val="20"/>
                <w:b/>
              </w:rPr>
              <w:t>2D动画（主要用于原理演示）：</w:t>
            </w:r>
          </w:p>
          <w:p>
            <w:pPr>
              <w:pStyle w:val="null3"/>
              <w:ind w:firstLine="600"/>
              <w:jc w:val="left"/>
            </w:pPr>
            <w:r>
              <w:rPr>
                <w:rFonts w:ascii="仿宋_GB2312" w:hAnsi="仿宋_GB2312" w:cs="仿宋_GB2312" w:eastAsia="仿宋_GB2312"/>
                <w:sz w:val="20"/>
                <w:color w:val="000000"/>
              </w:rPr>
              <w:t>①</w:t>
            </w:r>
            <w:r>
              <w:rPr>
                <w:rFonts w:ascii="仿宋_GB2312" w:hAnsi="仿宋_GB2312" w:cs="仿宋_GB2312" w:eastAsia="仿宋_GB2312"/>
                <w:sz w:val="20"/>
                <w:b/>
              </w:rPr>
              <w:t>2D动画《uni-app跨端开发原理探秘》</w:t>
            </w:r>
            <w:r>
              <w:rPr>
                <w:rFonts w:ascii="仿宋_GB2312" w:hAnsi="仿宋_GB2312" w:cs="仿宋_GB2312" w:eastAsia="仿宋_GB2312"/>
                <w:sz w:val="20"/>
              </w:rPr>
              <w:t>：</w:t>
            </w:r>
          </w:p>
          <w:tbl>
            <w:tblPr>
              <w:tblBorders>
                <w:top w:val="none" w:color="000000" w:sz="4"/>
                <w:left w:val="none" w:color="000000" w:sz="4"/>
                <w:bottom w:val="none" w:color="000000" w:sz="4"/>
                <w:right w:val="none" w:color="000000" w:sz="4"/>
                <w:insideH w:val="none"/>
                <w:insideV w:val="none"/>
              </w:tblBorders>
            </w:tblPr>
            <w:tblGrid>
              <w:gridCol w:w="513"/>
              <w:gridCol w:w="2298"/>
            </w:tblGrid>
            <w:tr>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教学对应点：</w:t>
                  </w:r>
                </w:p>
              </w:tc>
              <w:tc>
                <w:tcPr>
                  <w:tcW w:type="dxa" w:w="2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课程初期，讲解</w:t>
                  </w:r>
                  <w:r>
                    <w:rPr>
                      <w:rFonts w:ascii="仿宋_GB2312" w:hAnsi="仿宋_GB2312" w:cs="仿宋_GB2312" w:eastAsia="仿宋_GB2312"/>
                      <w:sz w:val="20"/>
                    </w:rPr>
                    <w:t>uni-app框架优势时。</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教学目标：</w:t>
                  </w:r>
                </w:p>
              </w:tc>
              <w:tc>
                <w:tcPr>
                  <w:tcW w:type="dxa" w:w="2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清晰、生动地阐明</w:t>
                  </w:r>
                  <w:r>
                    <w:rPr>
                      <w:rFonts w:ascii="仿宋_GB2312" w:hAnsi="仿宋_GB2312" w:cs="仿宋_GB2312" w:eastAsia="仿宋_GB2312"/>
                      <w:sz w:val="20"/>
                    </w:rPr>
                    <w:t>uni-app“一套代码，多端发布”的核心机制，化解学生对跨端开发底层逻辑的疑惑，建立对技术选型的初步认知。</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动画内容描述：</w:t>
                  </w:r>
                </w:p>
              </w:tc>
              <w:tc>
                <w:tcPr>
                  <w:tcW w:type="dxa" w:w="2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0:00-0:12）开发者视角：</w:t>
                  </w:r>
                  <w:r>
                    <w:rPr>
                      <w:rFonts w:ascii="仿宋_GB2312" w:hAnsi="仿宋_GB2312" w:cs="仿宋_GB2312" w:eastAsia="仿宋_GB2312"/>
                      <w:sz w:val="20"/>
                    </w:rPr>
                    <w:t>画面左侧是简洁的代码编辑器界面，高亮显示一个</w:t>
                  </w:r>
                  <w:r>
                    <w:rPr>
                      <w:rFonts w:ascii="仿宋_GB2312" w:hAnsi="仿宋_GB2312" w:cs="仿宋_GB2312" w:eastAsia="仿宋_GB2312"/>
                      <w:sz w:val="20"/>
                    </w:rPr>
                    <w:t>&lt;view&gt;组件和一段调用uni.request的API代码。旁白：“开发者使用Vue语法和uni-app API编写一份源码。”</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0:12-0:35）编译与转换（核心环节）</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代码被送入一个标有</w:t>
                  </w:r>
                  <w:r>
                    <w:rPr>
                      <w:rFonts w:ascii="仿宋_GB2312" w:hAnsi="仿宋_GB2312" w:cs="仿宋_GB2312" w:eastAsia="仿宋_GB2312"/>
                      <w:sz w:val="20"/>
                    </w:rPr>
                    <w:t>“uni-app编译器” 的核心装置。</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装置内部进行分层可视化：</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0"/>
                      <w:b/>
                    </w:rPr>
                    <w:t>语法树层：</w:t>
                  </w:r>
                  <w:r>
                    <w:rPr>
                      <w:rFonts w:ascii="仿宋_GB2312" w:hAnsi="仿宋_GB2312" w:cs="仿宋_GB2312" w:eastAsia="仿宋_GB2312"/>
                      <w:sz w:val="20"/>
                    </w:rPr>
                    <w:t>Vue模板被解析成抽象语法树（AST），动态展现。</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0"/>
                      <w:b/>
                    </w:rPr>
                    <w:t>适配层：</w:t>
                  </w:r>
                  <w:r>
                    <w:rPr>
                      <w:rFonts w:ascii="仿宋_GB2312" w:hAnsi="仿宋_GB2312" w:cs="仿宋_GB2312" w:eastAsia="仿宋_GB2312"/>
                      <w:sz w:val="20"/>
                    </w:rPr>
                    <w:t>根据预设的目标平台标志（如</w:t>
                  </w:r>
                  <w:r>
                    <w:rPr>
                      <w:rFonts w:ascii="仿宋_GB2312" w:hAnsi="仿宋_GB2312" w:cs="仿宋_GB2312" w:eastAsia="仿宋_GB2312"/>
                      <w:sz w:val="20"/>
                    </w:rPr>
                    <w:t>wx、app、h5），编译器像“开关选择”一样，将同一份AST分别路由到不同的转换通道。</w:t>
                  </w:r>
                </w:p>
                <w:p>
                  <w:pPr>
                    <w:pStyle w:val="null3"/>
                    <w:ind w:firstLine="602"/>
                    <w:jc w:val="left"/>
                  </w:pPr>
                  <w:r>
                    <w:rPr>
                      <w:rFonts w:ascii="仿宋_GB2312" w:hAnsi="仿宋_GB2312" w:cs="仿宋_GB2312" w:eastAsia="仿宋_GB2312"/>
                      <w:sz w:val="20"/>
                      <w:b/>
                    </w:rPr>
                    <w:t>输出层：</w:t>
                  </w:r>
                </w:p>
                <w:p>
                  <w:pPr>
                    <w:pStyle w:val="null3"/>
                    <w:numPr>
                      <w:ilvl w:val="0"/>
                      <w:numId w:val="1"/>
                    </w:numPr>
                    <w:ind w:left="450"/>
                    <w:jc w:val="left"/>
                  </w:pPr>
                  <w:r>
                    <w:rPr>
                      <w:rFonts w:ascii="仿宋_GB2312" w:hAnsi="仿宋_GB2312" w:cs="仿宋_GB2312" w:eastAsia="仿宋_GB2312"/>
                      <w:sz w:val="20"/>
                    </w:rPr>
                    <w:t>通往小程序的通道：输出</w:t>
                  </w:r>
                  <w:r>
                    <w:rPr>
                      <w:rFonts w:ascii="仿宋_GB2312" w:hAnsi="仿宋_GB2312" w:cs="仿宋_GB2312" w:eastAsia="仿宋_GB2312"/>
                      <w:sz w:val="20"/>
                    </w:rPr>
                    <w:t>WXML、WXSS和JS文件。</w:t>
                  </w:r>
                </w:p>
                <w:p>
                  <w:pPr>
                    <w:pStyle w:val="null3"/>
                    <w:numPr>
                      <w:ilvl w:val="0"/>
                      <w:numId w:val="1"/>
                    </w:numPr>
                    <w:ind w:left="450"/>
                    <w:jc w:val="left"/>
                  </w:pPr>
                  <w:r>
                    <w:rPr>
                      <w:rFonts w:ascii="仿宋_GB2312" w:hAnsi="仿宋_GB2312" w:cs="仿宋_GB2312" w:eastAsia="仿宋_GB2312"/>
                      <w:sz w:val="20"/>
                    </w:rPr>
                    <w:t>通往</w:t>
                  </w:r>
                  <w:r>
                    <w:rPr>
                      <w:rFonts w:ascii="仿宋_GB2312" w:hAnsi="仿宋_GB2312" w:cs="仿宋_GB2312" w:eastAsia="仿宋_GB2312"/>
                      <w:sz w:val="20"/>
                    </w:rPr>
                    <w:t>App的通道：输出经过原生渲染引擎优化的JS Bundle和原生模块。</w:t>
                  </w:r>
                </w:p>
                <w:p>
                  <w:pPr>
                    <w:pStyle w:val="null3"/>
                    <w:numPr>
                      <w:ilvl w:val="0"/>
                      <w:numId w:val="1"/>
                    </w:numPr>
                    <w:ind w:left="450"/>
                    <w:jc w:val="left"/>
                  </w:pPr>
                  <w:r>
                    <w:rPr>
                      <w:rFonts w:ascii="仿宋_GB2312" w:hAnsi="仿宋_GB2312" w:cs="仿宋_GB2312" w:eastAsia="仿宋_GB2312"/>
                      <w:sz w:val="20"/>
                    </w:rPr>
                    <w:t>通往</w:t>
                  </w:r>
                  <w:r>
                    <w:rPr>
                      <w:rFonts w:ascii="仿宋_GB2312" w:hAnsi="仿宋_GB2312" w:cs="仿宋_GB2312" w:eastAsia="仿宋_GB2312"/>
                      <w:sz w:val="20"/>
                    </w:rPr>
                    <w:t>H5的通道：输出标准的HTML、CSS和JavaScript文件。</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0:35-0:50）多端生成与运行：</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三条通道的末端，分别生成并点亮三个典型的终端图标：微信小程序</w:t>
                  </w:r>
                  <w:r>
                    <w:rPr>
                      <w:rFonts w:ascii="仿宋_GB2312" w:hAnsi="仿宋_GB2312" w:cs="仿宋_GB2312" w:eastAsia="仿宋_GB2312"/>
                      <w:sz w:val="20"/>
                    </w:rPr>
                    <w:t>Logo、Android机器人、Safari浏览器图标。</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三个图标同时闪烁，并配以文字：</w:t>
                  </w:r>
                  <w:r>
                    <w:rPr>
                      <w:rFonts w:ascii="仿宋_GB2312" w:hAnsi="仿宋_GB2312" w:cs="仿宋_GB2312" w:eastAsia="仿宋_GB2312"/>
                      <w:sz w:val="20"/>
                    </w:rPr>
                    <w:t>“同一套业务逻辑，多套平台代码”。</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0:50-1:00）总结强调：</w:t>
                  </w:r>
                  <w:r>
                    <w:rPr>
                      <w:rFonts w:ascii="仿宋_GB2312" w:hAnsi="仿宋_GB2312" w:cs="仿宋_GB2312" w:eastAsia="仿宋_GB2312"/>
                      <w:sz w:val="20"/>
                    </w:rPr>
                    <w:t>镜头回到最初的源代码，用一个半透明的多层外罩示意其</w:t>
                  </w:r>
                  <w:r>
                    <w:rPr>
                      <w:rFonts w:ascii="仿宋_GB2312" w:hAnsi="仿宋_GB2312" w:cs="仿宋_GB2312" w:eastAsia="仿宋_GB2312"/>
                      <w:sz w:val="20"/>
                    </w:rPr>
                    <w:t>“一次编写”的本质，然后外罩展开为三个平行的终端画面。最终定格，旁白总结：“uni-app，让跨端开发更高效。”</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时长：</w:t>
                  </w:r>
                </w:p>
              </w:tc>
              <w:tc>
                <w:tcPr>
                  <w:tcW w:type="dxa" w:w="2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约</w:t>
                  </w:r>
                  <w:r>
                    <w:rPr>
                      <w:rFonts w:ascii="仿宋_GB2312" w:hAnsi="仿宋_GB2312" w:cs="仿宋_GB2312" w:eastAsia="仿宋_GB2312"/>
                      <w:sz w:val="20"/>
                      <w:b/>
                    </w:rPr>
                    <w:t>1分钟</w:t>
                  </w:r>
                </w:p>
              </w:tc>
            </w:tr>
          </w:tbl>
          <w:p>
            <w:pPr>
              <w:pStyle w:val="null3"/>
              <w:ind w:firstLine="600"/>
              <w:jc w:val="left"/>
            </w:pPr>
            <w:r>
              <w:rPr>
                <w:rFonts w:ascii="仿宋_GB2312" w:hAnsi="仿宋_GB2312" w:cs="仿宋_GB2312" w:eastAsia="仿宋_GB2312"/>
                <w:sz w:val="20"/>
                <w:color w:val="000000"/>
              </w:rPr>
              <w:t>②</w:t>
            </w:r>
            <w:r>
              <w:rPr>
                <w:rFonts w:ascii="仿宋_GB2312" w:hAnsi="仿宋_GB2312" w:cs="仿宋_GB2312" w:eastAsia="仿宋_GB2312"/>
                <w:sz w:val="20"/>
                <w:b/>
              </w:rPr>
              <w:t>2D动画《Vue.js的数据驱动与页面渲染》</w:t>
            </w:r>
            <w:r>
              <w:rPr>
                <w:rFonts w:ascii="仿宋_GB2312" w:hAnsi="仿宋_GB2312" w:cs="仿宋_GB2312" w:eastAsia="仿宋_GB2312"/>
                <w:sz w:val="20"/>
              </w:rPr>
              <w:t>：</w:t>
            </w:r>
          </w:p>
          <w:tbl>
            <w:tblPr>
              <w:tblBorders>
                <w:top w:val="none" w:color="000000" w:sz="4"/>
                <w:left w:val="none" w:color="000000" w:sz="4"/>
                <w:bottom w:val="none" w:color="000000" w:sz="4"/>
                <w:right w:val="none" w:color="000000" w:sz="4"/>
                <w:insideH w:val="none"/>
                <w:insideV w:val="none"/>
              </w:tblBorders>
            </w:tblPr>
            <w:tblGrid>
              <w:gridCol w:w="723"/>
              <w:gridCol w:w="2094"/>
            </w:tblGrid>
            <w:tr>
              <w:tc>
                <w:tcPr>
                  <w:tcW w:type="dxa" w:w="7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教学对应点：</w:t>
                  </w:r>
                </w:p>
              </w:tc>
              <w:tc>
                <w:tcPr>
                  <w:tcW w:type="dxa" w:w="20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Vue.js与uni-app基础模块，深入讲解响应式原理时。</w:t>
                  </w:r>
                </w:p>
              </w:tc>
            </w:tr>
            <w:tr>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教学目标：</w:t>
                  </w:r>
                </w:p>
              </w:tc>
              <w:tc>
                <w:tcPr>
                  <w:tcW w:type="dxa" w:w="2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通过一个连续、动态的交互案例，直观揭示</w:t>
                  </w:r>
                  <w:r>
                    <w:rPr>
                      <w:rFonts w:ascii="仿宋_GB2312" w:hAnsi="仿宋_GB2312" w:cs="仿宋_GB2312" w:eastAsia="仿宋_GB2312"/>
                      <w:sz w:val="20"/>
                    </w:rPr>
                    <w:t>“数据变化如何自动驱动视图更新”的完整闭环，深刻理解Vue.js的响应式系统是前端开发的基石。</w:t>
                  </w:r>
                </w:p>
              </w:tc>
            </w:tr>
            <w:tr>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动画内容描述：</w:t>
                  </w:r>
                </w:p>
              </w:tc>
              <w:tc>
                <w:tcPr>
                  <w:tcW w:type="dxa" w:w="2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0:00-0:15）初始状态：</w:t>
                  </w:r>
                  <w:r>
                    <w:rPr>
                      <w:rFonts w:ascii="仿宋_GB2312" w:hAnsi="仿宋_GB2312" w:cs="仿宋_GB2312" w:eastAsia="仿宋_GB2312"/>
                      <w:sz w:val="20"/>
                    </w:rPr>
                    <w:t>画面分为清晰的上下结构。</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0"/>
                      <w:b/>
                    </w:rPr>
                    <w:t>上层（视图层）：</w:t>
                  </w:r>
                  <w:r>
                    <w:rPr>
                      <w:rFonts w:ascii="仿宋_GB2312" w:hAnsi="仿宋_GB2312" w:cs="仿宋_GB2312" w:eastAsia="仿宋_GB2312"/>
                      <w:sz w:val="20"/>
                    </w:rPr>
                    <w:t>显示</w:t>
                  </w:r>
                  <w:r>
                    <w:rPr>
                      <w:rFonts w:ascii="仿宋_GB2312" w:hAnsi="仿宋_GB2312" w:cs="仿宋_GB2312" w:eastAsia="仿宋_GB2312"/>
                      <w:sz w:val="20"/>
                    </w:rPr>
                    <w:t>“银龄驿站”的戏曲播放列表，其中一项的“收藏”按钮是空心图标，文字显示“收藏”。</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0"/>
                      <w:b/>
                    </w:rPr>
                    <w:t>下层（数据层）：</w:t>
                  </w:r>
                  <w:r>
                    <w:rPr>
                      <w:rFonts w:ascii="仿宋_GB2312" w:hAnsi="仿宋_GB2312" w:cs="仿宋_GB2312" w:eastAsia="仿宋_GB2312"/>
                      <w:sz w:val="20"/>
                    </w:rPr>
                    <w:t>显示一个</w:t>
                  </w:r>
                  <w:r>
                    <w:rPr>
                      <w:rFonts w:ascii="仿宋_GB2312" w:hAnsi="仿宋_GB2312" w:cs="仿宋_GB2312" w:eastAsia="仿宋_GB2312"/>
                      <w:sz w:val="20"/>
                    </w:rPr>
                    <w:t>JavaScript对象，属性currentSong: {id: 1, name: ‘贵妃醉酒’, isFavorited: false}，其中isFavorited: false被高亮。</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两层之间由</w:t>
                  </w:r>
                  <w:r>
                    <w:rPr>
                      <w:rFonts w:ascii="仿宋_GB2312" w:hAnsi="仿宋_GB2312" w:cs="仿宋_GB2312" w:eastAsia="仿宋_GB2312"/>
                      <w:sz w:val="20"/>
                      <w:b/>
                    </w:rPr>
                    <w:t>蓝色的依赖收集线</w:t>
                  </w:r>
                  <w:r>
                    <w:rPr>
                      <w:rFonts w:ascii="仿宋_GB2312" w:hAnsi="仿宋_GB2312" w:cs="仿宋_GB2312" w:eastAsia="仿宋_GB2312"/>
                      <w:sz w:val="20"/>
                    </w:rPr>
                    <w:t>连接，表示</w:t>
                  </w:r>
                  <w:r>
                    <w:rPr>
                      <w:rFonts w:ascii="仿宋_GB2312" w:hAnsi="仿宋_GB2312" w:cs="仿宋_GB2312" w:eastAsia="仿宋_GB2312"/>
                      <w:sz w:val="20"/>
                    </w:rPr>
                    <w:t>Vue已经建立了追踪关系。</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0:15-0:40）交互与响应全过程：</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0"/>
                      <w:b/>
                    </w:rPr>
                    <w:t>用户点击：</w:t>
                  </w:r>
                  <w:r>
                    <w:rPr>
                      <w:rFonts w:ascii="仿宋_GB2312" w:hAnsi="仿宋_GB2312" w:cs="仿宋_GB2312" w:eastAsia="仿宋_GB2312"/>
                      <w:sz w:val="20"/>
                    </w:rPr>
                    <w:t>用户手指（光标）点击视图层的</w:t>
                  </w:r>
                  <w:r>
                    <w:rPr>
                      <w:rFonts w:ascii="仿宋_GB2312" w:hAnsi="仿宋_GB2312" w:cs="仿宋_GB2312" w:eastAsia="仿宋_GB2312"/>
                      <w:sz w:val="20"/>
                    </w:rPr>
                    <w:t>“收藏”按钮。</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0"/>
                      <w:b/>
                    </w:rPr>
                    <w:t>事件触发：</w:t>
                  </w:r>
                  <w:r>
                    <w:rPr>
                      <w:rFonts w:ascii="仿宋_GB2312" w:hAnsi="仿宋_GB2312" w:cs="仿宋_GB2312" w:eastAsia="仿宋_GB2312"/>
                      <w:sz w:val="20"/>
                    </w:rPr>
                    <w:t>按钮产生点击效果，一个</w:t>
                  </w:r>
                  <w:r>
                    <w:rPr>
                      <w:rFonts w:ascii="仿宋_GB2312" w:hAnsi="仿宋_GB2312" w:cs="仿宋_GB2312" w:eastAsia="仿宋_GB2312"/>
                      <w:sz w:val="20"/>
                    </w:rPr>
                    <w:t>“click事件”气泡弹出。</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0"/>
                      <w:b/>
                    </w:rPr>
                    <w:t>数据变更：</w:t>
                  </w:r>
                  <w:r>
                    <w:rPr>
                      <w:rFonts w:ascii="仿宋_GB2312" w:hAnsi="仿宋_GB2312" w:cs="仿宋_GB2312" w:eastAsia="仿宋_GB2312"/>
                      <w:sz w:val="20"/>
                    </w:rPr>
                    <w:t>事件触发数据层中对应的方法（如</w:t>
                  </w:r>
                  <w:r>
                    <w:rPr>
                      <w:rFonts w:ascii="仿宋_GB2312" w:hAnsi="仿宋_GB2312" w:cs="仿宋_GB2312" w:eastAsia="仿宋_GB2312"/>
                      <w:sz w:val="20"/>
                    </w:rPr>
                    <w:t>toggleFavorite），isFavorited的值从false动态变为true。变化时，该数据项发出脉动高亮。</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0"/>
                      <w:b/>
                    </w:rPr>
                    <w:t>依赖通知：</w:t>
                  </w:r>
                  <w:r>
                    <w:rPr>
                      <w:rFonts w:ascii="仿宋_GB2312" w:hAnsi="仿宋_GB2312" w:cs="仿宋_GB2312" w:eastAsia="仿宋_GB2312"/>
                      <w:sz w:val="20"/>
                    </w:rPr>
                    <w:t>数据层的脉动高亮，沿着之前建立的蓝色依赖线，反向传导至视图层中所有依赖于此数据的地方（即那个收藏按钮和文字）。</w:t>
                  </w:r>
                </w:p>
                <w:p>
                  <w:pPr>
                    <w:pStyle w:val="null3"/>
                    <w:ind w:firstLine="440"/>
                    <w:jc w:val="left"/>
                  </w:pPr>
                  <w:r>
                    <w:rPr>
                      <w:rFonts w:ascii="仿宋_GB2312" w:hAnsi="仿宋_GB2312" w:cs="仿宋_GB2312" w:eastAsia="仿宋_GB2312"/>
                      <w:sz w:val="20"/>
                      <w:b/>
                    </w:rPr>
                    <w:t>视图更新：</w:t>
                  </w:r>
                  <w:r>
                    <w:rPr>
                      <w:rFonts w:ascii="仿宋_GB2312" w:hAnsi="仿宋_GB2312" w:cs="仿宋_GB2312" w:eastAsia="仿宋_GB2312"/>
                      <w:sz w:val="20"/>
                    </w:rPr>
                    <w:t>视图层中，对应的</w:t>
                  </w:r>
                  <w:r>
                    <w:rPr>
                      <w:rFonts w:ascii="仿宋_GB2312" w:hAnsi="仿宋_GB2312" w:cs="仿宋_GB2312" w:eastAsia="仿宋_GB2312"/>
                      <w:sz w:val="20"/>
                    </w:rPr>
                    <w:t>“空心收藏图标”平滑过渡为“红色实心图标”，同时文字从“收藏”变为“已收藏”。</w:t>
                  </w:r>
                  <w:r>
                    <w:rPr>
                      <w:rFonts w:ascii="仿宋_GB2312" w:hAnsi="仿宋_GB2312" w:cs="仿宋_GB2312" w:eastAsia="仿宋_GB2312"/>
                      <w:sz w:val="20"/>
                      <w:b/>
                    </w:rPr>
                    <w:t>（</w:t>
                  </w:r>
                  <w:r>
                    <w:rPr>
                      <w:rFonts w:ascii="仿宋_GB2312" w:hAnsi="仿宋_GB2312" w:cs="仿宋_GB2312" w:eastAsia="仿宋_GB2312"/>
                      <w:sz w:val="20"/>
                      <w:b/>
                    </w:rPr>
                    <w:t>0:40-0:55）原理抽象：</w:t>
                  </w:r>
                  <w:r>
                    <w:rPr>
                      <w:rFonts w:ascii="仿宋_GB2312" w:hAnsi="仿宋_GB2312" w:cs="仿宋_GB2312" w:eastAsia="仿宋_GB2312"/>
                      <w:sz w:val="20"/>
                    </w:rPr>
                    <w:t>画面简化，用一个</w:t>
                  </w:r>
                  <w:r>
                    <w:rPr>
                      <w:rFonts w:ascii="仿宋_GB2312" w:hAnsi="仿宋_GB2312" w:cs="仿宋_GB2312" w:eastAsia="仿宋_GB2312"/>
                      <w:sz w:val="20"/>
                    </w:rPr>
                    <w:t>“数据（Data）”圆球、一个“监听与更新系统（Reactivity System）”齿轮组和一个“视图（View）”屏幕的图示，循环演示数据变化如何通过齿轮组驱动屏幕内容改变。</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0:55-1:00）核心提炼：</w:t>
                  </w:r>
                  <w:r>
                    <w:rPr>
                      <w:rFonts w:ascii="仿宋_GB2312" w:hAnsi="仿宋_GB2312" w:cs="仿宋_GB2312" w:eastAsia="仿宋_GB2312"/>
                      <w:sz w:val="20"/>
                    </w:rPr>
                    <w:t>屏幕中央打出核心结论：</w:t>
                  </w:r>
                  <w:r>
                    <w:rPr>
                      <w:rFonts w:ascii="仿宋_GB2312" w:hAnsi="仿宋_GB2312" w:cs="仿宋_GB2312" w:eastAsia="仿宋_GB2312"/>
                      <w:sz w:val="20"/>
                    </w:rPr>
                    <w:t>“数据驱动视图，开发者只需关注数据状态。”</w:t>
                  </w:r>
                </w:p>
              </w:tc>
            </w:tr>
            <w:tr>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时长：</w:t>
                  </w:r>
                </w:p>
              </w:tc>
              <w:tc>
                <w:tcPr>
                  <w:tcW w:type="dxa" w:w="2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约</w:t>
                  </w:r>
                  <w:r>
                    <w:rPr>
                      <w:rFonts w:ascii="仿宋_GB2312" w:hAnsi="仿宋_GB2312" w:cs="仿宋_GB2312" w:eastAsia="仿宋_GB2312"/>
                      <w:sz w:val="20"/>
                      <w:b/>
                    </w:rPr>
                    <w:t>1分钟</w:t>
                  </w:r>
                </w:p>
              </w:tc>
            </w:tr>
          </w:tbl>
          <w:p>
            <w:pPr>
              <w:pStyle w:val="null3"/>
              <w:ind w:firstLine="600"/>
              <w:jc w:val="left"/>
            </w:pPr>
            <w:r>
              <w:rPr>
                <w:rFonts w:ascii="仿宋_GB2312" w:hAnsi="仿宋_GB2312" w:cs="仿宋_GB2312" w:eastAsia="仿宋_GB2312"/>
                <w:sz w:val="20"/>
                <w:color w:val="000000"/>
              </w:rPr>
              <w:t>③</w:t>
            </w:r>
            <w:r>
              <w:rPr>
                <w:rFonts w:ascii="仿宋_GB2312" w:hAnsi="仿宋_GB2312" w:cs="仿宋_GB2312" w:eastAsia="仿宋_GB2312"/>
                <w:sz w:val="20"/>
                <w:b/>
              </w:rPr>
              <w:t>2D动画《“</w:t>
            </w:r>
            <w:r>
              <w:rPr>
                <w:rFonts w:ascii="仿宋_GB2312" w:hAnsi="仿宋_GB2312" w:cs="仿宋_GB2312" w:eastAsia="仿宋_GB2312"/>
                <w:sz w:val="20"/>
                <w:b/>
              </w:rPr>
              <w:t>银龄驿站</w:t>
            </w:r>
            <w:r>
              <w:rPr>
                <w:rFonts w:ascii="仿宋_GB2312" w:hAnsi="仿宋_GB2312" w:cs="仿宋_GB2312" w:eastAsia="仿宋_GB2312"/>
                <w:sz w:val="20"/>
                <w:b/>
              </w:rPr>
              <w:t>”的语音之旅：从唤醒到响应》</w:t>
            </w:r>
            <w:r>
              <w:rPr>
                <w:rFonts w:ascii="仿宋_GB2312" w:hAnsi="仿宋_GB2312" w:cs="仿宋_GB2312" w:eastAsia="仿宋_GB2312"/>
                <w:sz w:val="20"/>
              </w:rPr>
              <w:t>：</w:t>
            </w:r>
          </w:p>
          <w:tbl>
            <w:tblPr>
              <w:tblBorders>
                <w:top w:val="none" w:color="000000" w:sz="4"/>
                <w:left w:val="none" w:color="000000" w:sz="4"/>
                <w:bottom w:val="none" w:color="000000" w:sz="4"/>
                <w:right w:val="none" w:color="000000" w:sz="4"/>
                <w:insideH w:val="none"/>
                <w:insideV w:val="none"/>
              </w:tblBorders>
            </w:tblPr>
            <w:tblGrid>
              <w:gridCol w:w="708"/>
              <w:gridCol w:w="2104"/>
            </w:tblGrid>
            <w:tr>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教学对应点：</w:t>
                  </w:r>
                </w:p>
              </w:tc>
              <w:tc>
                <w:tcPr>
                  <w:tcW w:type="dxa" w:w="2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智能语音助手模块，讲解语音识别集成与云端协同流程时。</w:t>
                  </w:r>
                </w:p>
              </w:tc>
            </w:tr>
            <w:tr>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教学目标：</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厘清一次完整语音交互所涉及的前端、网络、云端服务及返回执行的完整技术链路，理解现代</w:t>
                  </w:r>
                  <w:r>
                    <w:rPr>
                      <w:rFonts w:ascii="仿宋_GB2312" w:hAnsi="仿宋_GB2312" w:cs="仿宋_GB2312" w:eastAsia="仿宋_GB2312"/>
                      <w:sz w:val="20"/>
                    </w:rPr>
                    <w:t>App如何整合AI云服务扩展能力。</w:t>
                  </w:r>
                </w:p>
              </w:tc>
            </w:tr>
            <w:tr>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动画内容描述：</w:t>
                  </w:r>
                </w:p>
                <w:p>
                  <w:pPr>
                    <w:pStyle w:val="null3"/>
                    <w:jc w:val="center"/>
                  </w:pP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0:00-0:15）场景与输入：</w:t>
                  </w:r>
                  <w:r>
                    <w:rPr>
                      <w:rFonts w:ascii="仿宋_GB2312" w:hAnsi="仿宋_GB2312" w:cs="仿宋_GB2312" w:eastAsia="仿宋_GB2312"/>
                      <w:sz w:val="20"/>
                    </w:rPr>
                    <w:t>画面左侧是</w:t>
                  </w:r>
                  <w:r>
                    <w:rPr>
                      <w:rFonts w:ascii="仿宋_GB2312" w:hAnsi="仿宋_GB2312" w:cs="仿宋_GB2312" w:eastAsia="仿宋_GB2312"/>
                      <w:sz w:val="20"/>
                    </w:rPr>
                    <w:t>“银龄驿站”App界面，老人按下麦克风按钮说：“小驿小驿，播放新闻”。声波动画从麦克风图标发出。</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0:15-0:50）五步技术之旅（核心）：</w:t>
                  </w:r>
                </w:p>
                <w:p>
                  <w:pPr>
                    <w:pStyle w:val="null3"/>
                    <w:ind w:firstLine="402"/>
                    <w:jc w:val="left"/>
                  </w:pPr>
                  <w:r>
                    <w:rPr>
                      <w:rFonts w:ascii="仿宋_GB2312" w:hAnsi="仿宋_GB2312" w:cs="仿宋_GB2312" w:eastAsia="仿宋_GB2312"/>
                      <w:sz w:val="20"/>
                      <w:b/>
                    </w:rPr>
                    <w:t>前端采集与预处理</w:t>
                  </w:r>
                  <w:r>
                    <w:rPr>
                      <w:rFonts w:ascii="仿宋_GB2312" w:hAnsi="仿宋_GB2312" w:cs="仿宋_GB2312" w:eastAsia="仿宋_GB2312"/>
                      <w:sz w:val="20"/>
                      <w:b/>
                    </w:rPr>
                    <w:t>(Front-end)：</w:t>
                  </w:r>
                  <w:r>
                    <w:rPr>
                      <w:rFonts w:ascii="仿宋_GB2312" w:hAnsi="仿宋_GB2312" w:cs="仿宋_GB2312" w:eastAsia="仿宋_GB2312"/>
                      <w:sz w:val="20"/>
                    </w:rPr>
                    <w:t>声波进入手机，被转化为一个数字音频数据包，并打上</w:t>
                  </w:r>
                  <w:r>
                    <w:rPr>
                      <w:rFonts w:ascii="仿宋_GB2312" w:hAnsi="仿宋_GB2312" w:cs="仿宋_GB2312" w:eastAsia="仿宋_GB2312"/>
                      <w:sz w:val="20"/>
                    </w:rPr>
                    <w:t>“银龄驿站”的App标识。</w:t>
                  </w:r>
                </w:p>
                <w:p>
                  <w:pPr>
                    <w:pStyle w:val="null3"/>
                    <w:ind w:firstLine="402"/>
                    <w:jc w:val="left"/>
                  </w:pPr>
                  <w:r>
                    <w:rPr>
                      <w:rFonts w:ascii="仿宋_GB2312" w:hAnsi="仿宋_GB2312" w:cs="仿宋_GB2312" w:eastAsia="仿宋_GB2312"/>
                      <w:sz w:val="20"/>
                      <w:b/>
                    </w:rPr>
                    <w:t>网络请求发起</w:t>
                  </w:r>
                  <w:r>
                    <w:rPr>
                      <w:rFonts w:ascii="仿宋_GB2312" w:hAnsi="仿宋_GB2312" w:cs="仿宋_GB2312" w:eastAsia="仿宋_GB2312"/>
                      <w:sz w:val="20"/>
                      <w:b/>
                    </w:rPr>
                    <w:t>(Network Out)：</w:t>
                  </w:r>
                  <w:r>
                    <w:rPr>
                      <w:rFonts w:ascii="仿宋_GB2312" w:hAnsi="仿宋_GB2312" w:cs="仿宋_GB2312" w:eastAsia="仿宋_GB2312"/>
                      <w:sz w:val="20"/>
                    </w:rPr>
                    <w:t>数据包被打包成一个</w:t>
                  </w:r>
                  <w:r>
                    <w:rPr>
                      <w:rFonts w:ascii="仿宋_GB2312" w:hAnsi="仿宋_GB2312" w:cs="仿宋_GB2312" w:eastAsia="仿宋_GB2312"/>
                      <w:sz w:val="20"/>
                    </w:rPr>
                    <w:t>HTTPS请求（画面显示uni.request调用），通过光缆图标的网络通道，发送至云端。旁白：“前端调用语音识别API，发送音频数据。”</w:t>
                  </w:r>
                </w:p>
                <w:p>
                  <w:pPr>
                    <w:pStyle w:val="null3"/>
                    <w:ind w:firstLine="402"/>
                    <w:jc w:val="left"/>
                  </w:pPr>
                  <w:r>
                    <w:rPr>
                      <w:rFonts w:ascii="仿宋_GB2312" w:hAnsi="仿宋_GB2312" w:cs="仿宋_GB2312" w:eastAsia="仿宋_GB2312"/>
                      <w:sz w:val="20"/>
                      <w:b/>
                    </w:rPr>
                    <w:t>云端</w:t>
                  </w:r>
                  <w:r>
                    <w:rPr>
                      <w:rFonts w:ascii="仿宋_GB2312" w:hAnsi="仿宋_GB2312" w:cs="仿宋_GB2312" w:eastAsia="仿宋_GB2312"/>
                      <w:sz w:val="20"/>
                      <w:b/>
                    </w:rPr>
                    <w:t>AI处理 (Cloud AI)：</w:t>
                  </w:r>
                  <w:r>
                    <w:rPr>
                      <w:rFonts w:ascii="仿宋_GB2312" w:hAnsi="仿宋_GB2312" w:cs="仿宋_GB2312" w:eastAsia="仿宋_GB2312"/>
                      <w:sz w:val="20"/>
                    </w:rPr>
                    <w:t>请求到达云端语音识别服务（图标化为一个具有</w:t>
                  </w:r>
                  <w:r>
                    <w:rPr>
                      <w:rFonts w:ascii="仿宋_GB2312" w:hAnsi="仿宋_GB2312" w:cs="仿宋_GB2312" w:eastAsia="仿宋_GB2312"/>
                      <w:sz w:val="20"/>
                    </w:rPr>
                    <w:t>AI大脑的服务器）。服务器对音频进行降噪、特征提取、模型匹配（用简化的波形匹配动画示意），最终输出识别结果：文本“播放新闻”。</w:t>
                  </w:r>
                </w:p>
                <w:p>
                  <w:pPr>
                    <w:pStyle w:val="null3"/>
                    <w:ind w:firstLine="402"/>
                    <w:jc w:val="left"/>
                  </w:pPr>
                  <w:r>
                    <w:rPr>
                      <w:rFonts w:ascii="仿宋_GB2312" w:hAnsi="仿宋_GB2312" w:cs="仿宋_GB2312" w:eastAsia="仿宋_GB2312"/>
                      <w:sz w:val="20"/>
                      <w:b/>
                    </w:rPr>
                    <w:t>网络响应返回</w:t>
                  </w:r>
                  <w:r>
                    <w:rPr>
                      <w:rFonts w:ascii="仿宋_GB2312" w:hAnsi="仿宋_GB2312" w:cs="仿宋_GB2312" w:eastAsia="仿宋_GB2312"/>
                      <w:sz w:val="20"/>
                      <w:b/>
                    </w:rPr>
                    <w:t>(Network Back)：</w:t>
                  </w:r>
                  <w:r>
                    <w:rPr>
                      <w:rFonts w:ascii="仿宋_GB2312" w:hAnsi="仿宋_GB2312" w:cs="仿宋_GB2312" w:eastAsia="仿宋_GB2312"/>
                      <w:sz w:val="20"/>
                    </w:rPr>
                    <w:t>识别结果以</w:t>
                  </w:r>
                  <w:r>
                    <w:rPr>
                      <w:rFonts w:ascii="仿宋_GB2312" w:hAnsi="仿宋_GB2312" w:cs="仿宋_GB2312" w:eastAsia="仿宋_GB2312"/>
                      <w:sz w:val="20"/>
                    </w:rPr>
                    <w:t>JSON格式（{“text”: “播放新闻”}）通过网络通道原路返回至手机。</w:t>
                  </w:r>
                </w:p>
                <w:p>
                  <w:pPr>
                    <w:pStyle w:val="null3"/>
                    <w:ind w:firstLine="402"/>
                    <w:jc w:val="left"/>
                  </w:pPr>
                  <w:r>
                    <w:rPr>
                      <w:rFonts w:ascii="仿宋_GB2312" w:hAnsi="仿宋_GB2312" w:cs="仿宋_GB2312" w:eastAsia="仿宋_GB2312"/>
                      <w:sz w:val="20"/>
                      <w:b/>
                    </w:rPr>
                    <w:t>前端解析与执行</w:t>
                  </w:r>
                  <w:r>
                    <w:rPr>
                      <w:rFonts w:ascii="仿宋_GB2312" w:hAnsi="仿宋_GB2312" w:cs="仿宋_GB2312" w:eastAsia="仿宋_GB2312"/>
                      <w:sz w:val="20"/>
                      <w:b/>
                    </w:rPr>
                    <w:t>(Front-end Execution)：</w:t>
                  </w:r>
                  <w:r>
                    <w:rPr>
                      <w:rFonts w:ascii="仿宋_GB2312" w:hAnsi="仿宋_GB2312" w:cs="仿宋_GB2312" w:eastAsia="仿宋_GB2312"/>
                      <w:sz w:val="20"/>
                    </w:rPr>
                    <w:t>手机端接收到</w:t>
                  </w:r>
                  <w:r>
                    <w:rPr>
                      <w:rFonts w:ascii="仿宋_GB2312" w:hAnsi="仿宋_GB2312" w:cs="仿宋_GB2312" w:eastAsia="仿宋_GB2312"/>
                      <w:sz w:val="20"/>
                    </w:rPr>
                    <w:t>JSON数据，解析出指令文本。逻辑层进行命令匹配（与本地预设命令库比对），成功后，执行uni.navigateTo跳转到新闻列表页，并自动播放第一条新闻。</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0:50-1:00）流程总结：</w:t>
                  </w:r>
                  <w:r>
                    <w:rPr>
                      <w:rFonts w:ascii="仿宋_GB2312" w:hAnsi="仿宋_GB2312" w:cs="仿宋_GB2312" w:eastAsia="仿宋_GB2312"/>
                      <w:sz w:val="20"/>
                    </w:rPr>
                    <w:t>画面右侧快速纵向罗列五个步骤的图标：麦克风</w:t>
                  </w:r>
                  <w:r>
                    <w:rPr>
                      <w:rFonts w:ascii="仿宋_GB2312" w:hAnsi="仿宋_GB2312" w:cs="仿宋_GB2312" w:eastAsia="仿宋_GB2312"/>
                      <w:sz w:val="20"/>
                    </w:rPr>
                    <w:t>-&gt; 网络发送 -&gt; 云服务器 -&gt; 网络接收 -&gt; 页面跳转。箭头贯穿，旁白：“语音交互，是前端与AI云服务的完美协作。”</w:t>
                  </w:r>
                </w:p>
              </w:tc>
            </w:tr>
            <w:tr>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时长：</w:t>
                  </w:r>
                </w:p>
              </w:tc>
              <w:tc>
                <w:tcPr>
                  <w:tcW w:type="dxa" w:w="2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约</w:t>
                  </w:r>
                  <w:r>
                    <w:rPr>
                      <w:rFonts w:ascii="仿宋_GB2312" w:hAnsi="仿宋_GB2312" w:cs="仿宋_GB2312" w:eastAsia="仿宋_GB2312"/>
                      <w:sz w:val="20"/>
                      <w:b/>
                    </w:rPr>
                    <w:t>1分钟</w:t>
                  </w:r>
                </w:p>
              </w:tc>
            </w:tr>
          </w:tbl>
          <w:p>
            <w:pPr>
              <w:pStyle w:val="null3"/>
              <w:ind w:firstLine="402"/>
              <w:jc w:val="left"/>
            </w:pPr>
            <w:r>
              <w:rPr>
                <w:rFonts w:ascii="仿宋_GB2312" w:hAnsi="仿宋_GB2312" w:cs="仿宋_GB2312" w:eastAsia="仿宋_GB2312"/>
                <w:sz w:val="20"/>
                <w:b/>
              </w:rPr>
              <w:t>2.</w:t>
            </w:r>
            <w:r>
              <w:rPr>
                <w:rFonts w:ascii="仿宋_GB2312" w:hAnsi="仿宋_GB2312" w:cs="仿宋_GB2312" w:eastAsia="仿宋_GB2312"/>
                <w:sz w:val="20"/>
                <w:b/>
              </w:rPr>
              <w:t>3D动画（主要用于交互模拟）：</w:t>
            </w:r>
          </w:p>
          <w:p>
            <w:pPr>
              <w:pStyle w:val="null3"/>
              <w:ind w:firstLine="600"/>
              <w:jc w:val="left"/>
            </w:pPr>
            <w:r>
              <w:rPr>
                <w:rFonts w:ascii="仿宋_GB2312" w:hAnsi="仿宋_GB2312" w:cs="仿宋_GB2312" w:eastAsia="仿宋_GB2312"/>
                <w:sz w:val="20"/>
              </w:rPr>
              <w:t>3D动画主要用于构建空间感和沉浸感，展示应用整体结构和硬件交互。</w:t>
            </w:r>
          </w:p>
          <w:p>
            <w:pPr>
              <w:pStyle w:val="null3"/>
              <w:ind w:firstLine="602"/>
              <w:jc w:val="left"/>
            </w:pPr>
            <w:r>
              <w:rPr>
                <w:rFonts w:ascii="仿宋_GB2312" w:hAnsi="仿宋_GB2312" w:cs="仿宋_GB2312" w:eastAsia="仿宋_GB2312"/>
                <w:sz w:val="20"/>
                <w:b/>
              </w:rPr>
              <w:t>①</w:t>
            </w:r>
            <w:r>
              <w:rPr>
                <w:rFonts w:ascii="仿宋_GB2312" w:hAnsi="仿宋_GB2312" w:cs="仿宋_GB2312" w:eastAsia="仿宋_GB2312"/>
                <w:sz w:val="20"/>
                <w:b/>
              </w:rPr>
              <w:t>3D动画《“银龄驿站”项目架构三维透视图》</w:t>
            </w:r>
          </w:p>
          <w:tbl>
            <w:tblPr>
              <w:tblBorders>
                <w:top w:val="none" w:color="000000" w:sz="4"/>
                <w:left w:val="none" w:color="000000" w:sz="4"/>
                <w:bottom w:val="none" w:color="000000" w:sz="4"/>
                <w:right w:val="none" w:color="000000" w:sz="4"/>
                <w:insideH w:val="none"/>
                <w:insideV w:val="none"/>
              </w:tblBorders>
            </w:tblPr>
            <w:tblGrid>
              <w:gridCol w:w="669"/>
              <w:gridCol w:w="2143"/>
            </w:tblGrid>
            <w:tr>
              <w:tc>
                <w:tcPr>
                  <w:tcW w:type="dxa" w:w="6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教学对应点：</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课程中期，用于帮助学生建立项目整体认知，或项目集成阶段前</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教学目标：</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将抽象的</w:t>
                  </w:r>
                  <w:r>
                    <w:rPr>
                      <w:rFonts w:ascii="仿宋_GB2312" w:hAnsi="仿宋_GB2312" w:cs="仿宋_GB2312" w:eastAsia="仿宋_GB2312"/>
                      <w:sz w:val="20"/>
                    </w:rPr>
                    <w:t>“模块化开发”概念可视化，直观展示“银龄驿站”项目各功能模块在技术架构中的位置、层级关系与数据交互流向，强化学生的系统工程思维与全局观。</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动画内容描述</w:t>
                  </w:r>
                </w:p>
                <w:p>
                  <w:pPr>
                    <w:pStyle w:val="null3"/>
                    <w:jc w:val="center"/>
                  </w:pP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0:00-0:12）从代码到架构：</w:t>
                  </w:r>
                  <w:r>
                    <w:rPr>
                      <w:rFonts w:ascii="仿宋_GB2312" w:hAnsi="仿宋_GB2312" w:cs="仿宋_GB2312" w:eastAsia="仿宋_GB2312"/>
                      <w:sz w:val="20"/>
                    </w:rPr>
                    <w:t>动画开场于一行行</w:t>
                  </w:r>
                  <w:r>
                    <w:rPr>
                      <w:rFonts w:ascii="仿宋_GB2312" w:hAnsi="仿宋_GB2312" w:cs="仿宋_GB2312" w:eastAsia="仿宋_GB2312"/>
                      <w:sz w:val="20"/>
                    </w:rPr>
                    <w:t>Vue/uni-app代码。镜头拉远，代码凝聚成一个发光的核心“应用引擎”</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0:12-0:40）核心模块生长与连接：</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“应用引擎”向上延伸出几条主要枝干，分别生长并转化为不同的功能模块3D图标：</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0"/>
                      <w:b/>
                    </w:rPr>
                    <w:t>基础</w:t>
                  </w:r>
                  <w:r>
                    <w:rPr>
                      <w:rFonts w:ascii="仿宋_GB2312" w:hAnsi="仿宋_GB2312" w:cs="仿宋_GB2312" w:eastAsia="仿宋_GB2312"/>
                      <w:sz w:val="20"/>
                      <w:b/>
                    </w:rPr>
                    <w:t>UI层</w:t>
                  </w:r>
                  <w:r>
                    <w:rPr>
                      <w:rFonts w:ascii="仿宋_GB2312" w:hAnsi="仿宋_GB2312" w:cs="仿宋_GB2312" w:eastAsia="仿宋_GB2312"/>
                      <w:sz w:val="20"/>
                    </w:rPr>
                    <w:t>：生成手机屏幕轮廓，内含导航栏、页面框架等元素。</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0"/>
                      <w:b/>
                    </w:rPr>
                    <w:t>语音模块：</w:t>
                  </w:r>
                  <w:r>
                    <w:rPr>
                      <w:rFonts w:ascii="仿宋_GB2312" w:hAnsi="仿宋_GB2312" w:cs="仿宋_GB2312" w:eastAsia="仿宋_GB2312"/>
                      <w:sz w:val="20"/>
                    </w:rPr>
                    <w:t>生成一个</w:t>
                  </w:r>
                  <w:r>
                    <w:rPr>
                      <w:rFonts w:ascii="仿宋_GB2312" w:hAnsi="仿宋_GB2312" w:cs="仿宋_GB2312" w:eastAsia="仿宋_GB2312"/>
                      <w:sz w:val="20"/>
                    </w:rPr>
                    <w:t>“声波+齿轮”组合的悬浮立方体。</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0"/>
                      <w:b/>
                    </w:rPr>
                    <w:t>音频模块：</w:t>
                  </w:r>
                  <w:r>
                    <w:rPr>
                      <w:rFonts w:ascii="仿宋_GB2312" w:hAnsi="仿宋_GB2312" w:cs="仿宋_GB2312" w:eastAsia="仿宋_GB2312"/>
                      <w:sz w:val="20"/>
                    </w:rPr>
                    <w:t>生成一个</w:t>
                  </w:r>
                  <w:r>
                    <w:rPr>
                      <w:rFonts w:ascii="仿宋_GB2312" w:hAnsi="仿宋_GB2312" w:cs="仿宋_GB2312" w:eastAsia="仿宋_GB2312"/>
                      <w:sz w:val="20"/>
                    </w:rPr>
                    <w:t>“音符+播放器”组合的悬浮立方体。</w:t>
                  </w:r>
                </w:p>
                <w:p>
                  <w:pPr>
                    <w:pStyle w:val="null3"/>
                    <w:ind w:firstLine="480"/>
                    <w:jc w:val="left"/>
                  </w:pPr>
                  <w:r>
                    <w:rPr>
                      <w:rFonts w:ascii="仿宋_GB2312" w:hAnsi="仿宋_GB2312" w:cs="仿宋_GB2312" w:eastAsia="仿宋_GB2312"/>
                      <w:sz w:val="20"/>
                      <w:b/>
                    </w:rPr>
                    <w:t>系统</w:t>
                  </w:r>
                  <w:r>
                    <w:rPr>
                      <w:rFonts w:ascii="仿宋_GB2312" w:hAnsi="仿宋_GB2312" w:cs="仿宋_GB2312" w:eastAsia="仿宋_GB2312"/>
                      <w:sz w:val="20"/>
                      <w:b/>
                    </w:rPr>
                    <w:t>API模块：</w:t>
                  </w:r>
                  <w:r>
                    <w:rPr>
                      <w:rFonts w:ascii="仿宋_GB2312" w:hAnsi="仿宋_GB2312" w:cs="仿宋_GB2312" w:eastAsia="仿宋_GB2312"/>
                      <w:sz w:val="20"/>
                    </w:rPr>
                    <w:t>生成一个</w:t>
                  </w:r>
                  <w:r>
                    <w:rPr>
                      <w:rFonts w:ascii="仿宋_GB2312" w:hAnsi="仿宋_GB2312" w:cs="仿宋_GB2312" w:eastAsia="仿宋_GB2312"/>
                      <w:sz w:val="20"/>
                    </w:rPr>
                    <w:t>“手机硬件（GPS、通讯录图标）”组合的悬浮立方体。</w:t>
                  </w:r>
                </w:p>
                <w:p>
                  <w:pPr>
                    <w:pStyle w:val="null3"/>
                    <w:ind w:firstLine="480"/>
                    <w:jc w:val="left"/>
                  </w:pPr>
                  <w:r>
                    <w:rPr>
                      <w:rFonts w:ascii="仿宋_GB2312" w:hAnsi="仿宋_GB2312" w:cs="仿宋_GB2312" w:eastAsia="仿宋_GB2312"/>
                      <w:sz w:val="20"/>
                      <w:b/>
                    </w:rPr>
                    <w:t>内容模块：</w:t>
                  </w:r>
                  <w:r>
                    <w:rPr>
                      <w:rFonts w:ascii="仿宋_GB2312" w:hAnsi="仿宋_GB2312" w:cs="仿宋_GB2312" w:eastAsia="仿宋_GB2312"/>
                      <w:sz w:val="20"/>
                    </w:rPr>
                    <w:t>生成一个</w:t>
                  </w:r>
                  <w:r>
                    <w:rPr>
                      <w:rFonts w:ascii="仿宋_GB2312" w:hAnsi="仿宋_GB2312" w:cs="仿宋_GB2312" w:eastAsia="仿宋_GB2312"/>
                      <w:sz w:val="20"/>
                    </w:rPr>
                    <w:t>“新闻卡片+网络云”组合的悬浮立方体。</w:t>
                  </w:r>
                </w:p>
                <w:p>
                  <w:pPr>
                    <w:pStyle w:val="null3"/>
                    <w:ind w:firstLine="480"/>
                    <w:jc w:val="left"/>
                  </w:pPr>
                  <w:r>
                    <w:rPr>
                      <w:rFonts w:ascii="仿宋_GB2312" w:hAnsi="仿宋_GB2312" w:cs="仿宋_GB2312" w:eastAsia="仿宋_GB2312"/>
                      <w:sz w:val="20"/>
                      <w:b/>
                    </w:rPr>
                    <w:t>视频模块：</w:t>
                  </w:r>
                  <w:r>
                    <w:rPr>
                      <w:rFonts w:ascii="仿宋_GB2312" w:hAnsi="仿宋_GB2312" w:cs="仿宋_GB2312" w:eastAsia="仿宋_GB2312"/>
                      <w:sz w:val="20"/>
                    </w:rPr>
                    <w:t>生成一个</w:t>
                  </w:r>
                  <w:r>
                    <w:rPr>
                      <w:rFonts w:ascii="仿宋_GB2312" w:hAnsi="仿宋_GB2312" w:cs="仿宋_GB2312" w:eastAsia="仿宋_GB2312"/>
                      <w:sz w:val="20"/>
                    </w:rPr>
                    <w:t>“播放窗口+胶片”组合的悬浮立方体。</w:t>
                  </w:r>
                </w:p>
                <w:p>
                  <w:pPr>
                    <w:pStyle w:val="null3"/>
                    <w:ind w:firstLine="400"/>
                    <w:jc w:val="left"/>
                  </w:pPr>
                  <w:r>
                    <w:rPr>
                      <w:rFonts w:ascii="仿宋_GB2312" w:hAnsi="仿宋_GB2312" w:cs="仿宋_GB2312" w:eastAsia="仿宋_GB2312"/>
                      <w:sz w:val="20"/>
                    </w:rPr>
                    <w:t>各模块立方体通过发光的管道（代表数据流</w:t>
                  </w:r>
                  <w:r>
                    <w:rPr>
                      <w:rFonts w:ascii="仿宋_GB2312" w:hAnsi="仿宋_GB2312" w:cs="仿宋_GB2312" w:eastAsia="仿宋_GB2312"/>
                      <w:sz w:val="20"/>
                    </w:rPr>
                    <w:t>/事件总线） 与“应用引擎”及彼此之间相连，部分管道上有光点流动，示意数据交互（如：语音模块识别结果流向音频模块触发播放）。</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0:40-0:52）外部服务接入：</w:t>
                  </w:r>
                  <w:r>
                    <w:rPr>
                      <w:rFonts w:ascii="仿宋_GB2312" w:hAnsi="仿宋_GB2312" w:cs="仿宋_GB2312" w:eastAsia="仿宋_GB2312"/>
                      <w:sz w:val="20"/>
                    </w:rPr>
                    <w:t>镜头转向架构外围，从云端降下两个服务接口：</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0"/>
                      <w:b/>
                    </w:rPr>
                    <w:t>AI云服务：</w:t>
                  </w:r>
                  <w:r>
                    <w:rPr>
                      <w:rFonts w:ascii="仿宋_GB2312" w:hAnsi="仿宋_GB2312" w:cs="仿宋_GB2312" w:eastAsia="仿宋_GB2312"/>
                      <w:sz w:val="20"/>
                    </w:rPr>
                    <w:t>与</w:t>
                  </w:r>
                  <w:r>
                    <w:rPr>
                      <w:rFonts w:ascii="仿宋_GB2312" w:hAnsi="仿宋_GB2312" w:cs="仿宋_GB2312" w:eastAsia="仿宋_GB2312"/>
                      <w:sz w:val="20"/>
                    </w:rPr>
                    <w:t>“语音模块”立方体连接。</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0"/>
                      <w:b/>
                    </w:rPr>
                    <w:t>数据</w:t>
                  </w:r>
                  <w:r>
                    <w:rPr>
                      <w:rFonts w:ascii="仿宋_GB2312" w:hAnsi="仿宋_GB2312" w:cs="仿宋_GB2312" w:eastAsia="仿宋_GB2312"/>
                      <w:sz w:val="20"/>
                      <w:b/>
                    </w:rPr>
                    <w:t>API服务：</w:t>
                  </w:r>
                  <w:r>
                    <w:rPr>
                      <w:rFonts w:ascii="仿宋_GB2312" w:hAnsi="仿宋_GB2312" w:cs="仿宋_GB2312" w:eastAsia="仿宋_GB2312"/>
                      <w:sz w:val="20"/>
                    </w:rPr>
                    <w:t>与</w:t>
                  </w:r>
                  <w:r>
                    <w:rPr>
                      <w:rFonts w:ascii="仿宋_GB2312" w:hAnsi="仿宋_GB2312" w:cs="仿宋_GB2312" w:eastAsia="仿宋_GB2312"/>
                      <w:sz w:val="20"/>
                    </w:rPr>
                    <w:t>“内容模块”立方体连接。</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0:52-1:00）全景收束：</w:t>
                  </w:r>
                  <w:r>
                    <w:rPr>
                      <w:rFonts w:ascii="仿宋_GB2312" w:hAnsi="仿宋_GB2312" w:cs="仿宋_GB2312" w:eastAsia="仿宋_GB2312"/>
                      <w:sz w:val="20"/>
                    </w:rPr>
                    <w:t>镜头拉升至全景，展示以</w:t>
                  </w:r>
                  <w:r>
                    <w:rPr>
                      <w:rFonts w:ascii="仿宋_GB2312" w:hAnsi="仿宋_GB2312" w:cs="仿宋_GB2312" w:eastAsia="仿宋_GB2312"/>
                      <w:sz w:val="20"/>
                    </w:rPr>
                    <w:t>“应用引擎”为核心，六大功能模块环绕，内外数据流交织的完整3D项目架构图。画面定格，并浮现文字：“模块化架构，数据驱动协同”。</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设计逻辑：</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此动画规避了</w:t>
                  </w:r>
                  <w:r>
                    <w:rPr>
                      <w:rFonts w:ascii="仿宋_GB2312" w:hAnsi="仿宋_GB2312" w:cs="仿宋_GB2312" w:eastAsia="仿宋_GB2312"/>
                      <w:sz w:val="20"/>
                    </w:rPr>
                    <w:t>2D动画已涵盖的具体技术原理，转而展示项目结构本身。它直观回答了“我们学的这些零散功能，最终是如何组织成一个完整App的？”，与2D动画形成“微观原理”与“宏观结构”的互补。</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时长：</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约</w:t>
                  </w:r>
                  <w:r>
                    <w:rPr>
                      <w:rFonts w:ascii="仿宋_GB2312" w:hAnsi="仿宋_GB2312" w:cs="仿宋_GB2312" w:eastAsia="仿宋_GB2312"/>
                      <w:sz w:val="20"/>
                      <w:b/>
                    </w:rPr>
                    <w:t>1</w:t>
                  </w:r>
                  <w:r>
                    <w:rPr>
                      <w:rFonts w:ascii="仿宋_GB2312" w:hAnsi="仿宋_GB2312" w:cs="仿宋_GB2312" w:eastAsia="仿宋_GB2312"/>
                      <w:sz w:val="20"/>
                      <w:b/>
                    </w:rPr>
                    <w:t>分钟</w:t>
                  </w:r>
                </w:p>
              </w:tc>
            </w:tr>
          </w:tbl>
          <w:p>
            <w:pPr>
              <w:pStyle w:val="null3"/>
              <w:ind w:firstLine="602"/>
              <w:jc w:val="left"/>
            </w:pPr>
            <w:r>
              <w:rPr>
                <w:rFonts w:ascii="仿宋_GB2312" w:hAnsi="仿宋_GB2312" w:cs="仿宋_GB2312" w:eastAsia="仿宋_GB2312"/>
                <w:sz w:val="20"/>
                <w:b/>
              </w:rPr>
              <w:t>②</w:t>
            </w:r>
            <w:r>
              <w:rPr>
                <w:rFonts w:ascii="仿宋_GB2312" w:hAnsi="仿宋_GB2312" w:cs="仿宋_GB2312" w:eastAsia="仿宋_GB2312"/>
                <w:sz w:val="20"/>
                <w:b/>
              </w:rPr>
              <w:t>3D动画《权限中心与硬件调用：打开移动应用的“能力开关”》</w:t>
            </w:r>
          </w:p>
          <w:tbl>
            <w:tblPr>
              <w:tblBorders>
                <w:top w:val="none" w:color="000000" w:sz="4"/>
                <w:left w:val="none" w:color="000000" w:sz="4"/>
                <w:bottom w:val="none" w:color="000000" w:sz="4"/>
                <w:right w:val="none" w:color="000000" w:sz="4"/>
                <w:insideH w:val="none"/>
                <w:insideV w:val="none"/>
              </w:tblBorders>
            </w:tblPr>
            <w:tblGrid>
              <w:gridCol w:w="681"/>
              <w:gridCol w:w="2131"/>
            </w:tblGrid>
            <w:tr>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教学对应点：</w:t>
                  </w:r>
                </w:p>
              </w:tc>
              <w:tc>
                <w:tcPr>
                  <w:tcW w:type="dxa" w:w="2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系统功能与设备</w:t>
                  </w:r>
                  <w:r>
                    <w:rPr>
                      <w:rFonts w:ascii="仿宋_GB2312" w:hAnsi="仿宋_GB2312" w:cs="仿宋_GB2312" w:eastAsia="仿宋_GB2312"/>
                      <w:sz w:val="20"/>
                    </w:rPr>
                    <w:t>API模块，讲解地理位置、通讯录、短信、电话等设备API调用及权限申请时。</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教学目标：</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将抽象的</w:t>
                  </w:r>
                  <w:r>
                    <w:rPr>
                      <w:rFonts w:ascii="仿宋_GB2312" w:hAnsi="仿宋_GB2312" w:cs="仿宋_GB2312" w:eastAsia="仿宋_GB2312"/>
                      <w:sz w:val="20"/>
                    </w:rPr>
                    <w:t>“权限管理”和“硬件调用”概念，转化为一个直观、形象的3D空间场景。让学生理解用户授权行为与App获得硬件能力之间的直接关联，以及不同硬件模块（GPS、通信、存储等）在手机系统中的独立性与协同性。</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动画内容描述：</w:t>
                  </w:r>
                </w:p>
                <w:p>
                  <w:pPr>
                    <w:pStyle w:val="null3"/>
                    <w:jc w:val="center"/>
                  </w:pP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0:00-0:15）场景引入：</w:t>
                  </w:r>
                  <w:r>
                    <w:rPr>
                      <w:rFonts w:ascii="仿宋_GB2312" w:hAnsi="仿宋_GB2312" w:cs="仿宋_GB2312" w:eastAsia="仿宋_GB2312"/>
                      <w:sz w:val="20"/>
                    </w:rPr>
                    <w:t>画面呈现一个抽象的</w:t>
                  </w:r>
                  <w:r>
                    <w:rPr>
                      <w:rFonts w:ascii="仿宋_GB2312" w:hAnsi="仿宋_GB2312" w:cs="仿宋_GB2312" w:eastAsia="仿宋_GB2312"/>
                      <w:sz w:val="20"/>
                    </w:rPr>
                    <w:t>3D手机内部空间，中心是一个名为“权限控制中心”的发光核心装置。周围悬浮着数个被半透明锁链锁住的硬件模块图标，如：卫星（GPS）、通讯录名片夹、短信气泡、电话听筒、文件夹（存储）。</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0:15-0:45）授权与解锁：</w:t>
                  </w:r>
                </w:p>
                <w:p>
                  <w:pPr>
                    <w:pStyle w:val="null3"/>
                    <w:ind w:firstLine="400"/>
                    <w:jc w:val="left"/>
                  </w:pPr>
                  <w:r>
                    <w:rPr>
                      <w:rFonts w:ascii="仿宋_GB2312" w:hAnsi="仿宋_GB2312" w:cs="仿宋_GB2312" w:eastAsia="仿宋_GB2312"/>
                      <w:sz w:val="20"/>
                    </w:rPr>
                    <w:t>手机屏幕（画面一角）弹出</w:t>
                  </w:r>
                  <w:r>
                    <w:rPr>
                      <w:rFonts w:ascii="仿宋_GB2312" w:hAnsi="仿宋_GB2312" w:cs="仿宋_GB2312" w:eastAsia="仿宋_GB2312"/>
                      <w:sz w:val="20"/>
                    </w:rPr>
                    <w:t>“银龄驿站App请求获取位置权限”的提示框，用户点击“允许”。</w:t>
                  </w:r>
                </w:p>
                <w:p>
                  <w:pPr>
                    <w:pStyle w:val="null3"/>
                    <w:ind w:firstLine="400"/>
                    <w:jc w:val="left"/>
                  </w:pPr>
                  <w:r>
                    <w:rPr>
                      <w:rFonts w:ascii="仿宋_GB2312" w:hAnsi="仿宋_GB2312" w:cs="仿宋_GB2312" w:eastAsia="仿宋_GB2312"/>
                      <w:sz w:val="20"/>
                    </w:rPr>
                    <w:t>一道</w:t>
                  </w:r>
                  <w:r>
                    <w:rPr>
                      <w:rFonts w:ascii="仿宋_GB2312" w:hAnsi="仿宋_GB2312" w:cs="仿宋_GB2312" w:eastAsia="仿宋_GB2312"/>
                      <w:sz w:val="20"/>
                    </w:rPr>
                    <w:t>“授权光束”从屏幕射向“权限控制中心”，中心随即射出一把光钥，飞向卫星（GPS）模块。</w:t>
                  </w:r>
                </w:p>
                <w:p>
                  <w:pPr>
                    <w:pStyle w:val="null3"/>
                    <w:ind w:firstLine="400"/>
                    <w:jc w:val="left"/>
                  </w:pPr>
                  <w:r>
                    <w:rPr>
                      <w:rFonts w:ascii="仿宋_GB2312" w:hAnsi="仿宋_GB2312" w:cs="仿宋_GB2312" w:eastAsia="仿宋_GB2312"/>
                      <w:sz w:val="20"/>
                    </w:rPr>
                    <w:t>模块上的锁链应声断裂、消失，卫星模块被点亮并开始旋转，发出定位波纹。</w:t>
                  </w:r>
                </w:p>
                <w:p>
                  <w:pPr>
                    <w:pStyle w:val="null3"/>
                    <w:ind w:firstLine="400"/>
                    <w:jc w:val="left"/>
                  </w:pPr>
                  <w:r>
                    <w:rPr>
                      <w:rFonts w:ascii="仿宋_GB2312" w:hAnsi="仿宋_GB2312" w:cs="仿宋_GB2312" w:eastAsia="仿宋_GB2312"/>
                      <w:sz w:val="20"/>
                    </w:rPr>
                    <w:t>紧接着，</w:t>
                  </w:r>
                  <w:r>
                    <w:rPr>
                      <w:rFonts w:ascii="仿宋_GB2312" w:hAnsi="仿宋_GB2312" w:cs="仿宋_GB2312" w:eastAsia="仿宋_GB2312"/>
                      <w:sz w:val="20"/>
                    </w:rPr>
                    <w:t>App界面触发“选择紧急联系人”功能，再次请求通讯录权限。重复上述过程，通讯录名片夹模块被光钥解锁点亮。</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0:45-0:55）能力调用展示：</w:t>
                  </w:r>
                </w:p>
                <w:p>
                  <w:pPr>
                    <w:pStyle w:val="null3"/>
                    <w:ind w:firstLine="400"/>
                    <w:jc w:val="left"/>
                  </w:pPr>
                  <w:r>
                    <w:rPr>
                      <w:rFonts w:ascii="仿宋_GB2312" w:hAnsi="仿宋_GB2312" w:cs="仿宋_GB2312" w:eastAsia="仿宋_GB2312"/>
                      <w:sz w:val="20"/>
                    </w:rPr>
                    <w:t>镜头聚焦于已被点亮的</w:t>
                  </w:r>
                  <w:r>
                    <w:rPr>
                      <w:rFonts w:ascii="仿宋_GB2312" w:hAnsi="仿宋_GB2312" w:cs="仿宋_GB2312" w:eastAsia="仿宋_GB2312"/>
                      <w:sz w:val="20"/>
                    </w:rPr>
                    <w:t>GPS模块和通讯录模块。</w:t>
                  </w:r>
                </w:p>
                <w:p>
                  <w:pPr>
                    <w:pStyle w:val="null3"/>
                    <w:ind w:firstLine="400"/>
                    <w:jc w:val="left"/>
                  </w:pPr>
                  <w:r>
                    <w:rPr>
                      <w:rFonts w:ascii="仿宋_GB2312" w:hAnsi="仿宋_GB2312" w:cs="仿宋_GB2312" w:eastAsia="仿宋_GB2312"/>
                      <w:sz w:val="20"/>
                    </w:rPr>
                    <w:t xml:space="preserve"> </w:t>
                  </w:r>
                  <w:r>
                    <w:rPr>
                      <w:rFonts w:ascii="仿宋_GB2312" w:hAnsi="仿宋_GB2312" w:cs="仿宋_GB2312" w:eastAsia="仿宋_GB2312"/>
                      <w:sz w:val="20"/>
                    </w:rPr>
                    <w:t>从</w:t>
                  </w:r>
                  <w:r>
                    <w:rPr>
                      <w:rFonts w:ascii="仿宋_GB2312" w:hAnsi="仿宋_GB2312" w:cs="仿宋_GB2312" w:eastAsia="仿宋_GB2312"/>
                      <w:sz w:val="20"/>
                    </w:rPr>
                    <w:t>“银龄驿站”App界面（SOS按钮）发出两道指令流，分别连接这两个模块。</w:t>
                  </w:r>
                </w:p>
                <w:p>
                  <w:pPr>
                    <w:pStyle w:val="null3"/>
                    <w:ind w:firstLine="400"/>
                    <w:jc w:val="left"/>
                  </w:pPr>
                  <w:r>
                    <w:rPr>
                      <w:rFonts w:ascii="仿宋_GB2312" w:hAnsi="仿宋_GB2312" w:cs="仿宋_GB2312" w:eastAsia="仿宋_GB2312"/>
                      <w:sz w:val="20"/>
                    </w:rPr>
                    <w:t xml:space="preserve">  </w:t>
                  </w:r>
                  <w:r>
                    <w:rPr>
                      <w:rFonts w:ascii="仿宋_GB2312" w:hAnsi="仿宋_GB2312" w:cs="仿宋_GB2312" w:eastAsia="仿宋_GB2312"/>
                      <w:sz w:val="20"/>
                    </w:rPr>
                    <w:t>GPS模块接收指令后，将一道代表位置数据的光束传回App界面，显示为地图坐标。</w:t>
                  </w:r>
                </w:p>
                <w:p>
                  <w:pPr>
                    <w:pStyle w:val="null3"/>
                    <w:ind w:firstLine="400"/>
                    <w:jc w:val="left"/>
                  </w:pPr>
                  <w:r>
                    <w:rPr>
                      <w:rFonts w:ascii="仿宋_GB2312" w:hAnsi="仿宋_GB2312" w:cs="仿宋_GB2312" w:eastAsia="仿宋_GB2312"/>
                      <w:sz w:val="20"/>
                    </w:rPr>
                    <w:t xml:space="preserve">  </w:t>
                  </w:r>
                  <w:r>
                    <w:rPr>
                      <w:rFonts w:ascii="仿宋_GB2312" w:hAnsi="仿宋_GB2312" w:cs="仿宋_GB2312" w:eastAsia="仿宋_GB2312"/>
                      <w:sz w:val="20"/>
                    </w:rPr>
                    <w:t>通讯录模块接收指令后，弹出一个虚拟的联系人列表供选择，选中后数据传回</w:t>
                  </w:r>
                  <w:r>
                    <w:rPr>
                      <w:rFonts w:ascii="仿宋_GB2312" w:hAnsi="仿宋_GB2312" w:cs="仿宋_GB2312" w:eastAsia="仿宋_GB2312"/>
                      <w:sz w:val="20"/>
                    </w:rPr>
                    <w:t>App。</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0:55-1:00）总结：</w:t>
                  </w:r>
                  <w:r>
                    <w:rPr>
                      <w:rFonts w:ascii="仿宋_GB2312" w:hAnsi="仿宋_GB2312" w:cs="仿宋_GB2312" w:eastAsia="仿宋_GB2312"/>
                      <w:sz w:val="20"/>
                    </w:rPr>
                    <w:t>镜头拉远，展示</w:t>
                  </w:r>
                  <w:r>
                    <w:rPr>
                      <w:rFonts w:ascii="仿宋_GB2312" w:hAnsi="仿宋_GB2312" w:cs="仿宋_GB2312" w:eastAsia="仿宋_GB2312"/>
                      <w:sz w:val="20"/>
                    </w:rPr>
                    <w:t>“权限控制中心”管理着多个硬件模块的场景。文字浮现：“用户授权，即是打开硬件能力之门的钥匙”。最后画面呈现一个和谐的状态：部分模块被点亮（已授权），部分仍被锁链锁住（未授权）。</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设计逻辑：</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紧扣教学内容：</w:t>
                  </w:r>
                  <w:r>
                    <w:rPr>
                      <w:rFonts w:ascii="仿宋_GB2312" w:hAnsi="仿宋_GB2312" w:cs="仿宋_GB2312" w:eastAsia="仿宋_GB2312"/>
                      <w:sz w:val="20"/>
                    </w:rPr>
                    <w:t>完全围绕教学内容</w:t>
                  </w:r>
                  <w:r>
                    <w:rPr>
                      <w:rFonts w:ascii="仿宋_GB2312" w:hAnsi="仿宋_GB2312" w:cs="仿宋_GB2312" w:eastAsia="仿宋_GB2312"/>
                      <w:sz w:val="20"/>
                    </w:rPr>
                    <w:t>34-37（系统功能与设备API）中的核心难点——权限申请与硬件调用展开。</w:t>
                  </w:r>
                </w:p>
                <w:p>
                  <w:pPr>
                    <w:pStyle w:val="null3"/>
                    <w:jc w:val="left"/>
                  </w:pPr>
                  <w:r>
                    <w:rPr>
                      <w:rFonts w:ascii="仿宋_GB2312" w:hAnsi="仿宋_GB2312" w:cs="仿宋_GB2312" w:eastAsia="仿宋_GB2312"/>
                      <w:sz w:val="20"/>
                      <w:b/>
                    </w:rPr>
                    <w:t>直观解决痛点：</w:t>
                  </w:r>
                  <w:r>
                    <w:rPr>
                      <w:rFonts w:ascii="仿宋_GB2312" w:hAnsi="仿宋_GB2312" w:cs="仿宋_GB2312" w:eastAsia="仿宋_GB2312"/>
                      <w:sz w:val="20"/>
                    </w:rPr>
                    <w:t>用</w:t>
                  </w:r>
                  <w:r>
                    <w:rPr>
                      <w:rFonts w:ascii="仿宋_GB2312" w:hAnsi="仿宋_GB2312" w:cs="仿宋_GB2312" w:eastAsia="仿宋_GB2312"/>
                      <w:sz w:val="20"/>
                    </w:rPr>
                    <w:t>“锁与钥匙”的强隐喻，直观解释了“为什么App需要用户授权才能调用某些功能”这一常见困惑。</w:t>
                  </w:r>
                </w:p>
                <w:p>
                  <w:pPr>
                    <w:pStyle w:val="null3"/>
                    <w:jc w:val="left"/>
                  </w:pPr>
                  <w:r>
                    <w:rPr>
                      <w:rFonts w:ascii="仿宋_GB2312" w:hAnsi="仿宋_GB2312" w:cs="仿宋_GB2312" w:eastAsia="仿宋_GB2312"/>
                      <w:sz w:val="20"/>
                      <w:b/>
                    </w:rPr>
                    <w:t>空间化展示：</w:t>
                  </w:r>
                  <w:r>
                    <w:rPr>
                      <w:rFonts w:ascii="仿宋_GB2312" w:hAnsi="仿宋_GB2312" w:cs="仿宋_GB2312" w:eastAsia="仿宋_GB2312"/>
                      <w:sz w:val="20"/>
                    </w:rPr>
                    <w:t>将分散的、独立的硬件权限在</w:t>
                  </w:r>
                  <w:r>
                    <w:rPr>
                      <w:rFonts w:ascii="仿宋_GB2312" w:hAnsi="仿宋_GB2312" w:cs="仿宋_GB2312" w:eastAsia="仿宋_GB2312"/>
                      <w:sz w:val="20"/>
                    </w:rPr>
                    <w:t>3D空间中集中展示，强化了“系统权限管理中心”的概念，并清晰展示了App与各个独立硬件模块间的调用关系。</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时长：</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约</w:t>
                  </w:r>
                  <w:r>
                    <w:rPr>
                      <w:rFonts w:ascii="仿宋_GB2312" w:hAnsi="仿宋_GB2312" w:cs="仿宋_GB2312" w:eastAsia="仿宋_GB2312"/>
                      <w:sz w:val="20"/>
                      <w:b/>
                    </w:rPr>
                    <w:t>1分钟</w:t>
                  </w:r>
                </w:p>
              </w:tc>
            </w:tr>
          </w:tbl>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w:t>
            </w:r>
            <w:r>
              <w:rPr>
                <w:rFonts w:ascii="仿宋_GB2312" w:hAnsi="仿宋_GB2312" w:cs="仿宋_GB2312" w:eastAsia="仿宋_GB2312"/>
                <w:sz w:val="20"/>
                <w:b/>
              </w:rPr>
              <w:t>Linux操作系统管理》</w:t>
            </w:r>
          </w:p>
          <w:p>
            <w:pPr>
              <w:pStyle w:val="null3"/>
              <w:ind w:firstLine="400"/>
              <w:jc w:val="both"/>
            </w:pPr>
            <w:r>
              <w:rPr>
                <w:rFonts w:ascii="仿宋_GB2312" w:hAnsi="仿宋_GB2312" w:cs="仿宋_GB2312" w:eastAsia="仿宋_GB2312"/>
                <w:sz w:val="20"/>
              </w:rPr>
              <w:t>（一）</w:t>
            </w:r>
            <w:r>
              <w:rPr>
                <w:rFonts w:ascii="仿宋_GB2312" w:hAnsi="仿宋_GB2312" w:cs="仿宋_GB2312" w:eastAsia="仿宋_GB2312"/>
                <w:sz w:val="20"/>
              </w:rPr>
              <w:t>《</w:t>
            </w:r>
            <w:r>
              <w:rPr>
                <w:rFonts w:ascii="仿宋_GB2312" w:hAnsi="仿宋_GB2312" w:cs="仿宋_GB2312" w:eastAsia="仿宋_GB2312"/>
                <w:sz w:val="20"/>
              </w:rPr>
              <w:t>Linux操作系统管理》课程录制57个微课</w:t>
            </w:r>
          </w:p>
          <w:tbl>
            <w:tblPr>
              <w:tblBorders>
                <w:top w:val="none" w:color="000000" w:sz="4"/>
                <w:left w:val="none" w:color="000000" w:sz="4"/>
                <w:bottom w:val="none" w:color="000000" w:sz="4"/>
                <w:right w:val="none" w:color="000000" w:sz="4"/>
                <w:insideH w:val="none"/>
                <w:insideV w:val="none"/>
              </w:tblBorders>
            </w:tblPr>
            <w:tblGrid>
              <w:gridCol w:w="233"/>
              <w:gridCol w:w="735"/>
              <w:gridCol w:w="839"/>
              <w:gridCol w:w="1000"/>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7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学习情景</w:t>
                  </w:r>
                </w:p>
              </w:tc>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节名</w:t>
                  </w:r>
                </w:p>
              </w:tc>
              <w:tc>
                <w:tcPr>
                  <w:tcW w:type="dxa" w:w="10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知识（技能）点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项目一</w:t>
                  </w:r>
                </w:p>
                <w:p>
                  <w:pPr>
                    <w:pStyle w:val="null3"/>
                    <w:jc w:val="center"/>
                  </w:pPr>
                  <w:r>
                    <w:rPr>
                      <w:rFonts w:ascii="仿宋_GB2312" w:hAnsi="仿宋_GB2312" w:cs="仿宋_GB2312" w:eastAsia="仿宋_GB2312"/>
                      <w:sz w:val="20"/>
                    </w:rPr>
                    <w:t>openEuler环境搭建</w:t>
                  </w:r>
                </w:p>
              </w:tc>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1.1</w:t>
                  </w:r>
                </w:p>
                <w:p>
                  <w:pPr>
                    <w:pStyle w:val="null3"/>
                    <w:jc w:val="center"/>
                  </w:pPr>
                  <w:r>
                    <w:rPr>
                      <w:rFonts w:ascii="仿宋_GB2312" w:hAnsi="仿宋_GB2312" w:cs="仿宋_GB2312" w:eastAsia="仿宋_GB2312"/>
                      <w:sz w:val="20"/>
                    </w:rPr>
                    <w:t>openEuler基础与安装</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ICT行业认知、Linux服务器管理相关岗位认知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35"/>
                  <w:vMerge/>
                  <w:tcBorders>
                    <w:top w:val="none" w:color="000000" w:sz="4"/>
                    <w:left w:val="single" w:color="000000" w:sz="4"/>
                    <w:bottom w:val="single" w:color="000000" w:sz="4"/>
                    <w:right w:val="single" w:color="000000" w:sz="4"/>
                  </w:tcBorders>
                </w:tcPr>
                <w:p/>
              </w:tc>
              <w:tc>
                <w:tcPr>
                  <w:tcW w:type="dxa" w:w="839"/>
                  <w:vMerge/>
                  <w:tcBorders>
                    <w:top w:val="none" w:color="000000" w:sz="4"/>
                    <w:left w:val="single" w:color="000000" w:sz="4"/>
                    <w:bottom w:val="single" w:color="000000" w:sz="4"/>
                    <w:right w:val="single" w:color="000000" w:sz="4"/>
                  </w:tcBorders>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Linux操作系统的发展历程、版本、功能及应用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35"/>
                  <w:vMerge/>
                  <w:tcBorders>
                    <w:top w:val="none" w:color="000000" w:sz="4"/>
                    <w:left w:val="single" w:color="000000" w:sz="4"/>
                    <w:bottom w:val="single" w:color="000000" w:sz="4"/>
                    <w:right w:val="single" w:color="000000" w:sz="4"/>
                  </w:tcBorders>
                </w:tcPr>
                <w:p/>
              </w:tc>
              <w:tc>
                <w:tcPr>
                  <w:tcW w:type="dxa" w:w="839"/>
                  <w:vMerge/>
                  <w:tcBorders>
                    <w:top w:val="none" w:color="000000" w:sz="4"/>
                    <w:left w:val="single" w:color="000000" w:sz="4"/>
                    <w:bottom w:val="single" w:color="000000" w:sz="4"/>
                    <w:right w:val="single" w:color="000000" w:sz="4"/>
                  </w:tcBorders>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openEuler发展历程、版本介绍、应用案例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35"/>
                  <w:vMerge/>
                  <w:tcBorders>
                    <w:top w:val="none" w:color="000000" w:sz="4"/>
                    <w:left w:val="single" w:color="000000" w:sz="4"/>
                    <w:bottom w:val="single" w:color="000000" w:sz="4"/>
                    <w:right w:val="single" w:color="000000" w:sz="4"/>
                  </w:tcBorders>
                </w:tcPr>
                <w:p/>
              </w:tc>
              <w:tc>
                <w:tcPr>
                  <w:tcW w:type="dxa" w:w="839"/>
                  <w:vMerge/>
                  <w:tcBorders>
                    <w:top w:val="none" w:color="000000" w:sz="4"/>
                    <w:left w:val="single" w:color="000000" w:sz="4"/>
                    <w:bottom w:val="single" w:color="000000" w:sz="4"/>
                    <w:right w:val="single" w:color="000000" w:sz="4"/>
                  </w:tcBorders>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X86架构下安装openEuler</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3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1.2</w:t>
                  </w:r>
                </w:p>
                <w:p>
                  <w:pPr>
                    <w:pStyle w:val="null3"/>
                    <w:jc w:val="center"/>
                  </w:pPr>
                  <w:r>
                    <w:rPr>
                      <w:rFonts w:ascii="仿宋_GB2312" w:hAnsi="仿宋_GB2312" w:cs="仿宋_GB2312" w:eastAsia="仿宋_GB2312"/>
                      <w:sz w:val="20"/>
                    </w:rPr>
                    <w:t>系统登录测试、备份</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系统登录测试、备份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p>
                <w:p>
                  <w:pPr>
                    <w:pStyle w:val="null3"/>
                    <w:jc w:val="center"/>
                  </w:pPr>
                  <w:r>
                    <w:rPr>
                      <w:rFonts w:ascii="仿宋_GB2312" w:hAnsi="仿宋_GB2312" w:cs="仿宋_GB2312" w:eastAsia="仿宋_GB2312"/>
                      <w:sz w:val="20"/>
                    </w:rPr>
                    <w:t>openEuler基础操作</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2.1</w:t>
                  </w:r>
                </w:p>
                <w:p>
                  <w:pPr>
                    <w:pStyle w:val="null3"/>
                    <w:jc w:val="center"/>
                  </w:pPr>
                  <w:r>
                    <w:rPr>
                      <w:rFonts w:ascii="仿宋_GB2312" w:hAnsi="仿宋_GB2312" w:cs="仿宋_GB2312" w:eastAsia="仿宋_GB2312"/>
                      <w:sz w:val="20"/>
                    </w:rPr>
                    <w:t>系统基本命令</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命令应用概述、登录命令、电源命令、软件安装命令</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35"/>
                  <w:vMerge/>
                  <w:tcBorders>
                    <w:top w:val="none" w:color="000000" w:sz="4"/>
                    <w:left w:val="single" w:color="000000" w:sz="4"/>
                    <w:bottom w:val="single" w:color="000000" w:sz="4"/>
                    <w:right w:val="single" w:color="000000" w:sz="4"/>
                  </w:tcBorders>
                </w:tcPr>
                <w:p/>
              </w:tc>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2.2</w:t>
                  </w:r>
                </w:p>
                <w:p>
                  <w:pPr>
                    <w:pStyle w:val="null3"/>
                    <w:jc w:val="center"/>
                  </w:pPr>
                  <w:r>
                    <w:rPr>
                      <w:rFonts w:ascii="仿宋_GB2312" w:hAnsi="仿宋_GB2312" w:cs="仿宋_GB2312" w:eastAsia="仿宋_GB2312"/>
                      <w:sz w:val="20"/>
                    </w:rPr>
                    <w:t>文件处理命令</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文件目录、路径、基本操作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35"/>
                  <w:vMerge/>
                  <w:tcBorders>
                    <w:top w:val="none" w:color="000000" w:sz="4"/>
                    <w:left w:val="single" w:color="000000" w:sz="4"/>
                    <w:bottom w:val="single" w:color="000000" w:sz="4"/>
                    <w:right w:val="single" w:color="000000" w:sz="4"/>
                  </w:tcBorders>
                </w:tcPr>
                <w:p/>
              </w:tc>
              <w:tc>
                <w:tcPr>
                  <w:tcW w:type="dxa" w:w="839"/>
                  <w:vMerge/>
                  <w:tcBorders>
                    <w:top w:val="none" w:color="000000" w:sz="4"/>
                    <w:left w:val="single" w:color="000000" w:sz="4"/>
                    <w:bottom w:val="single" w:color="000000" w:sz="4"/>
                    <w:right w:val="single" w:color="000000" w:sz="4"/>
                  </w:tcBorders>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文件打包压缩命令、文本处理命令、帮助命令</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73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2.3</w:t>
                  </w:r>
                </w:p>
                <w:p>
                  <w:pPr>
                    <w:pStyle w:val="null3"/>
                    <w:jc w:val="center"/>
                  </w:pPr>
                  <w:r>
                    <w:rPr>
                      <w:rFonts w:ascii="仿宋_GB2312" w:hAnsi="仿宋_GB2312" w:cs="仿宋_GB2312" w:eastAsia="仿宋_GB2312"/>
                      <w:sz w:val="20"/>
                    </w:rPr>
                    <w:t>Vim编辑器</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Vim概述、工作模式及应用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p>
                <w:p>
                  <w:pPr>
                    <w:pStyle w:val="null3"/>
                    <w:jc w:val="center"/>
                  </w:pPr>
                  <w:r>
                    <w:rPr>
                      <w:rFonts w:ascii="仿宋_GB2312" w:hAnsi="仿宋_GB2312" w:cs="仿宋_GB2312" w:eastAsia="仿宋_GB2312"/>
                      <w:sz w:val="20"/>
                    </w:rPr>
                    <w:t>用户与权限管理</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3.1</w:t>
                  </w:r>
                </w:p>
                <w:p>
                  <w:pPr>
                    <w:pStyle w:val="null3"/>
                    <w:jc w:val="center"/>
                  </w:pPr>
                  <w:r>
                    <w:rPr>
                      <w:rFonts w:ascii="仿宋_GB2312" w:hAnsi="仿宋_GB2312" w:cs="仿宋_GB2312" w:eastAsia="仿宋_GB2312"/>
                      <w:sz w:val="20"/>
                    </w:rPr>
                    <w:t>用户管理</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用户分类、用户管理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3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3.2</w:t>
                  </w:r>
                </w:p>
                <w:p>
                  <w:pPr>
                    <w:pStyle w:val="null3"/>
                    <w:jc w:val="center"/>
                  </w:pPr>
                  <w:r>
                    <w:rPr>
                      <w:rFonts w:ascii="仿宋_GB2312" w:hAnsi="仿宋_GB2312" w:cs="仿宋_GB2312" w:eastAsia="仿宋_GB2312"/>
                      <w:sz w:val="20"/>
                    </w:rPr>
                    <w:t>用户组管理</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用户组分类、用户组管理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735"/>
                  <w:vMerge/>
                  <w:tcBorders>
                    <w:top w:val="none" w:color="000000" w:sz="4"/>
                    <w:left w:val="single" w:color="000000" w:sz="4"/>
                    <w:bottom w:val="single" w:color="000000" w:sz="4"/>
                    <w:right w:val="single" w:color="000000" w:sz="4"/>
                  </w:tcBorders>
                </w:tcPr>
                <w:p/>
              </w:tc>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3.3</w:t>
                  </w:r>
                </w:p>
                <w:p>
                  <w:pPr>
                    <w:pStyle w:val="null3"/>
                    <w:jc w:val="center"/>
                  </w:pPr>
                  <w:r>
                    <w:rPr>
                      <w:rFonts w:ascii="仿宋_GB2312" w:hAnsi="仿宋_GB2312" w:cs="仿宋_GB2312" w:eastAsia="仿宋_GB2312"/>
                      <w:sz w:val="20"/>
                    </w:rPr>
                    <w:t>文件权限管理</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文件权限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735"/>
                  <w:vMerge/>
                  <w:tcBorders>
                    <w:top w:val="none" w:color="000000" w:sz="4"/>
                    <w:left w:val="single" w:color="000000" w:sz="4"/>
                    <w:bottom w:val="single" w:color="000000" w:sz="4"/>
                    <w:right w:val="single" w:color="000000" w:sz="4"/>
                  </w:tcBorders>
                </w:tcPr>
                <w:p/>
              </w:tc>
              <w:tc>
                <w:tcPr>
                  <w:tcW w:type="dxa" w:w="839"/>
                  <w:vMerge/>
                  <w:tcBorders>
                    <w:top w:val="none" w:color="000000" w:sz="4"/>
                    <w:left w:val="single" w:color="000000" w:sz="4"/>
                    <w:bottom w:val="single" w:color="000000" w:sz="4"/>
                    <w:right w:val="single" w:color="000000" w:sz="4"/>
                  </w:tcBorders>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文件管理操作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7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网络配置管理</w:t>
                  </w:r>
                </w:p>
              </w:tc>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4.1</w:t>
                  </w:r>
                </w:p>
                <w:p>
                  <w:pPr>
                    <w:pStyle w:val="null3"/>
                    <w:jc w:val="center"/>
                  </w:pPr>
                  <w:r>
                    <w:rPr>
                      <w:rFonts w:ascii="仿宋_GB2312" w:hAnsi="仿宋_GB2312" w:cs="仿宋_GB2312" w:eastAsia="仿宋_GB2312"/>
                      <w:sz w:val="20"/>
                    </w:rPr>
                    <w:t>主机名、</w:t>
                  </w:r>
                  <w:r>
                    <w:rPr>
                      <w:rFonts w:ascii="仿宋_GB2312" w:hAnsi="仿宋_GB2312" w:cs="仿宋_GB2312" w:eastAsia="仿宋_GB2312"/>
                      <w:sz w:val="20"/>
                    </w:rPr>
                    <w:t>IP地址配置</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主机名配置方式及操作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35"/>
                  <w:vMerge/>
                  <w:tcBorders>
                    <w:top w:val="none" w:color="000000" w:sz="4"/>
                    <w:left w:val="single" w:color="000000" w:sz="4"/>
                    <w:bottom w:val="single" w:color="000000" w:sz="4"/>
                    <w:right w:val="single" w:color="000000" w:sz="4"/>
                  </w:tcBorders>
                </w:tcPr>
                <w:p/>
              </w:tc>
              <w:tc>
                <w:tcPr>
                  <w:tcW w:type="dxa" w:w="839"/>
                  <w:vMerge/>
                  <w:tcBorders>
                    <w:top w:val="none" w:color="000000" w:sz="4"/>
                    <w:left w:val="single" w:color="000000" w:sz="4"/>
                    <w:bottom w:val="single" w:color="000000" w:sz="4"/>
                    <w:right w:val="single" w:color="000000" w:sz="4"/>
                  </w:tcBorders>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IP地址配置方式及操作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73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4.2</w:t>
                  </w:r>
                </w:p>
                <w:p>
                  <w:pPr>
                    <w:pStyle w:val="null3"/>
                    <w:jc w:val="center"/>
                  </w:pPr>
                  <w:r>
                    <w:rPr>
                      <w:rFonts w:ascii="仿宋_GB2312" w:hAnsi="仿宋_GB2312" w:cs="仿宋_GB2312" w:eastAsia="仿宋_GB2312"/>
                      <w:sz w:val="20"/>
                    </w:rPr>
                    <w:t>网络绑定配置</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网络绑定分类、网络绑定配置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73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4.3</w:t>
                  </w:r>
                </w:p>
                <w:p>
                  <w:pPr>
                    <w:pStyle w:val="null3"/>
                    <w:jc w:val="center"/>
                  </w:pPr>
                  <w:r>
                    <w:rPr>
                      <w:rFonts w:ascii="仿宋_GB2312" w:hAnsi="仿宋_GB2312" w:cs="仿宋_GB2312" w:eastAsia="仿宋_GB2312"/>
                      <w:sz w:val="20"/>
                    </w:rPr>
                    <w:t>IPv6配置</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IPv6基础、IPv6配置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73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4.4</w:t>
                  </w:r>
                </w:p>
                <w:p>
                  <w:pPr>
                    <w:pStyle w:val="null3"/>
                    <w:jc w:val="center"/>
                  </w:pPr>
                  <w:r>
                    <w:rPr>
                      <w:rFonts w:ascii="仿宋_GB2312" w:hAnsi="仿宋_GB2312" w:cs="仿宋_GB2312" w:eastAsia="仿宋_GB2312"/>
                      <w:sz w:val="20"/>
                    </w:rPr>
                    <w:t>路由配置</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路由配置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735"/>
                  <w:vMerge/>
                  <w:tcBorders>
                    <w:top w:val="none" w:color="000000" w:sz="4"/>
                    <w:left w:val="single" w:color="000000" w:sz="4"/>
                    <w:bottom w:val="single" w:color="000000" w:sz="4"/>
                    <w:right w:val="single" w:color="000000" w:sz="4"/>
                  </w:tcBorders>
                </w:tcPr>
                <w:p/>
              </w:tc>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4.5</w:t>
                  </w:r>
                </w:p>
                <w:p>
                  <w:pPr>
                    <w:pStyle w:val="null3"/>
                    <w:jc w:val="center"/>
                  </w:pPr>
                  <w:r>
                    <w:rPr>
                      <w:rFonts w:ascii="仿宋_GB2312" w:hAnsi="仿宋_GB2312" w:cs="仿宋_GB2312" w:eastAsia="仿宋_GB2312"/>
                      <w:sz w:val="20"/>
                    </w:rPr>
                    <w:t>网络诊断与远程管理</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ping、traceroute、netstat等网络诊断命令的应用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735"/>
                  <w:vMerge/>
                  <w:tcBorders>
                    <w:top w:val="none" w:color="000000" w:sz="4"/>
                    <w:left w:val="single" w:color="000000" w:sz="4"/>
                    <w:bottom w:val="single" w:color="000000" w:sz="4"/>
                    <w:right w:val="single" w:color="000000" w:sz="4"/>
                  </w:tcBorders>
                </w:tcPr>
                <w:p/>
              </w:tc>
              <w:tc>
                <w:tcPr>
                  <w:tcW w:type="dxa" w:w="839"/>
                  <w:vMerge/>
                  <w:tcBorders>
                    <w:top w:val="none" w:color="000000" w:sz="4"/>
                    <w:left w:val="single" w:color="000000" w:sz="4"/>
                    <w:bottom w:val="single" w:color="000000" w:sz="4"/>
                    <w:right w:val="single" w:color="000000" w:sz="4"/>
                  </w:tcBorders>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SSH远程管理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7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w:t>
                  </w:r>
                </w:p>
                <w:p>
                  <w:pPr>
                    <w:pStyle w:val="null3"/>
                    <w:jc w:val="center"/>
                  </w:pPr>
                  <w:r>
                    <w:rPr>
                      <w:rFonts w:ascii="仿宋_GB2312" w:hAnsi="仿宋_GB2312" w:cs="仿宋_GB2312" w:eastAsia="仿宋_GB2312"/>
                      <w:sz w:val="20"/>
                    </w:rPr>
                    <w:t>任务、服务与进程管理</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5.1</w:t>
                  </w:r>
                </w:p>
                <w:p>
                  <w:pPr>
                    <w:pStyle w:val="null3"/>
                    <w:jc w:val="center"/>
                  </w:pPr>
                  <w:r>
                    <w:rPr>
                      <w:rFonts w:ascii="仿宋_GB2312" w:hAnsi="仿宋_GB2312" w:cs="仿宋_GB2312" w:eastAsia="仿宋_GB2312"/>
                      <w:sz w:val="20"/>
                    </w:rPr>
                    <w:t>任务管理</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任务介绍、任务管理操作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73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5.2</w:t>
                  </w:r>
                </w:p>
                <w:p>
                  <w:pPr>
                    <w:pStyle w:val="null3"/>
                    <w:jc w:val="center"/>
                  </w:pPr>
                  <w:r>
                    <w:rPr>
                      <w:rFonts w:ascii="仿宋_GB2312" w:hAnsi="仿宋_GB2312" w:cs="仿宋_GB2312" w:eastAsia="仿宋_GB2312"/>
                      <w:sz w:val="20"/>
                    </w:rPr>
                    <w:t>服务管理</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服务介绍、服务管理操作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73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5.3</w:t>
                  </w:r>
                </w:p>
                <w:p>
                  <w:pPr>
                    <w:pStyle w:val="null3"/>
                    <w:jc w:val="center"/>
                  </w:pPr>
                  <w:r>
                    <w:rPr>
                      <w:rFonts w:ascii="仿宋_GB2312" w:hAnsi="仿宋_GB2312" w:cs="仿宋_GB2312" w:eastAsia="仿宋_GB2312"/>
                      <w:sz w:val="20"/>
                    </w:rPr>
                    <w:t>进程管理</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进程基础、进程管理操作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7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项目六</w:t>
                  </w:r>
                </w:p>
                <w:p>
                  <w:pPr>
                    <w:pStyle w:val="null3"/>
                    <w:jc w:val="center"/>
                  </w:pPr>
                  <w:r>
                    <w:rPr>
                      <w:rFonts w:ascii="仿宋_GB2312" w:hAnsi="仿宋_GB2312" w:cs="仿宋_GB2312" w:eastAsia="仿宋_GB2312"/>
                      <w:sz w:val="20"/>
                    </w:rPr>
                    <w:t>磁盘管理</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6.1</w:t>
                  </w:r>
                </w:p>
                <w:p>
                  <w:pPr>
                    <w:pStyle w:val="null3"/>
                    <w:jc w:val="center"/>
                  </w:pPr>
                  <w:r>
                    <w:rPr>
                      <w:rFonts w:ascii="仿宋_GB2312" w:hAnsi="仿宋_GB2312" w:cs="仿宋_GB2312" w:eastAsia="仿宋_GB2312"/>
                      <w:sz w:val="20"/>
                    </w:rPr>
                    <w:t>LVM安装</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LVM概述、LVM安装操作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73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6.2</w:t>
                  </w:r>
                </w:p>
                <w:p>
                  <w:pPr>
                    <w:pStyle w:val="null3"/>
                    <w:jc w:val="center"/>
                  </w:pPr>
                  <w:r>
                    <w:rPr>
                      <w:rFonts w:ascii="仿宋_GB2312" w:hAnsi="仿宋_GB2312" w:cs="仿宋_GB2312" w:eastAsia="仿宋_GB2312"/>
                      <w:sz w:val="20"/>
                    </w:rPr>
                    <w:t>管理物理卷</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物理卷的创建、查看、修改、删除</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73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6.3</w:t>
                  </w:r>
                </w:p>
                <w:p>
                  <w:pPr>
                    <w:pStyle w:val="null3"/>
                    <w:jc w:val="center"/>
                  </w:pPr>
                  <w:r>
                    <w:rPr>
                      <w:rFonts w:ascii="仿宋_GB2312" w:hAnsi="仿宋_GB2312" w:cs="仿宋_GB2312" w:eastAsia="仿宋_GB2312"/>
                      <w:sz w:val="20"/>
                    </w:rPr>
                    <w:t>管理卷组</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卷组的创建、查看、修改、删除、扩容、缩容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73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6.4</w:t>
                  </w:r>
                </w:p>
                <w:p>
                  <w:pPr>
                    <w:pStyle w:val="null3"/>
                    <w:jc w:val="center"/>
                  </w:pPr>
                  <w:r>
                    <w:rPr>
                      <w:rFonts w:ascii="仿宋_GB2312" w:hAnsi="仿宋_GB2312" w:cs="仿宋_GB2312" w:eastAsia="仿宋_GB2312"/>
                      <w:sz w:val="20"/>
                    </w:rPr>
                    <w:t>管理逻辑卷</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逻辑卷的创建、查看、修改、删除、扩容、缩容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73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6.5</w:t>
                  </w:r>
                </w:p>
                <w:p>
                  <w:pPr>
                    <w:pStyle w:val="null3"/>
                    <w:jc w:val="center"/>
                  </w:pPr>
                  <w:r>
                    <w:rPr>
                      <w:rFonts w:ascii="仿宋_GB2312" w:hAnsi="仿宋_GB2312" w:cs="仿宋_GB2312" w:eastAsia="仿宋_GB2312"/>
                      <w:sz w:val="20"/>
                    </w:rPr>
                    <w:t>磁盘存储</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磁盘存储基础、磁盘分区方式及操作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73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6.6</w:t>
                  </w:r>
                </w:p>
                <w:p>
                  <w:pPr>
                    <w:pStyle w:val="null3"/>
                    <w:jc w:val="center"/>
                  </w:pPr>
                  <w:r>
                    <w:rPr>
                      <w:rFonts w:ascii="仿宋_GB2312" w:hAnsi="仿宋_GB2312" w:cs="仿宋_GB2312" w:eastAsia="仿宋_GB2312"/>
                      <w:sz w:val="20"/>
                    </w:rPr>
                    <w:t>创建和挂载文件系统</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创建文件系统、挂载文件系统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7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项目七</w:t>
                  </w:r>
                </w:p>
                <w:p>
                  <w:pPr>
                    <w:pStyle w:val="null3"/>
                    <w:jc w:val="center"/>
                  </w:pPr>
                  <w:r>
                    <w:rPr>
                      <w:rFonts w:ascii="仿宋_GB2312" w:hAnsi="仿宋_GB2312" w:cs="仿宋_GB2312" w:eastAsia="仿宋_GB2312"/>
                      <w:sz w:val="20"/>
                    </w:rPr>
                    <w:t>服务器配置管理</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7.1</w:t>
                  </w:r>
                </w:p>
                <w:p>
                  <w:pPr>
                    <w:pStyle w:val="null3"/>
                    <w:jc w:val="center"/>
                  </w:pPr>
                  <w:r>
                    <w:rPr>
                      <w:rFonts w:ascii="仿宋_GB2312" w:hAnsi="仿宋_GB2312" w:cs="仿宋_GB2312" w:eastAsia="仿宋_GB2312"/>
                      <w:sz w:val="20"/>
                    </w:rPr>
                    <w:t>软件包管理</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软件包管理方式、软件包管理操作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73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7.2</w:t>
                  </w:r>
                </w:p>
                <w:p>
                  <w:pPr>
                    <w:pStyle w:val="null3"/>
                    <w:jc w:val="center"/>
                  </w:pPr>
                  <w:r>
                    <w:rPr>
                      <w:rFonts w:ascii="仿宋_GB2312" w:hAnsi="仿宋_GB2312" w:cs="仿宋_GB2312" w:eastAsia="仿宋_GB2312"/>
                      <w:sz w:val="20"/>
                    </w:rPr>
                    <w:t>Repo服务器安装与配置</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Repo服务器安装、配置操作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73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7.3</w:t>
                  </w:r>
                </w:p>
                <w:p>
                  <w:pPr>
                    <w:pStyle w:val="null3"/>
                    <w:jc w:val="center"/>
                  </w:pPr>
                  <w:r>
                    <w:rPr>
                      <w:rFonts w:ascii="仿宋_GB2312" w:hAnsi="仿宋_GB2312" w:cs="仿宋_GB2312" w:eastAsia="仿宋_GB2312"/>
                      <w:sz w:val="20"/>
                    </w:rPr>
                    <w:t>Web服务器安装与配置</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Web服务器安装、配置操作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73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7.4</w:t>
                  </w:r>
                </w:p>
                <w:p>
                  <w:pPr>
                    <w:pStyle w:val="null3"/>
                    <w:jc w:val="center"/>
                  </w:pPr>
                  <w:r>
                    <w:rPr>
                      <w:rFonts w:ascii="仿宋_GB2312" w:hAnsi="仿宋_GB2312" w:cs="仿宋_GB2312" w:eastAsia="仿宋_GB2312"/>
                      <w:sz w:val="20"/>
                    </w:rPr>
                    <w:t>FTP服务器安装与配置</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FTP服务器安装、配置操作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73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7.5</w:t>
                  </w:r>
                </w:p>
                <w:p>
                  <w:pPr>
                    <w:pStyle w:val="null3"/>
                    <w:jc w:val="center"/>
                  </w:pPr>
                  <w:r>
                    <w:rPr>
                      <w:rFonts w:ascii="仿宋_GB2312" w:hAnsi="仿宋_GB2312" w:cs="仿宋_GB2312" w:eastAsia="仿宋_GB2312"/>
                      <w:sz w:val="20"/>
                    </w:rPr>
                    <w:t>数据库服务器安装与配置</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openGauss数据库服务器安装、配置操作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7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项目八</w:t>
                  </w:r>
                </w:p>
                <w:p>
                  <w:pPr>
                    <w:pStyle w:val="null3"/>
                    <w:jc w:val="center"/>
                  </w:pPr>
                  <w:r>
                    <w:rPr>
                      <w:rFonts w:ascii="仿宋_GB2312" w:hAnsi="仿宋_GB2312" w:cs="仿宋_GB2312" w:eastAsia="仿宋_GB2312"/>
                      <w:sz w:val="20"/>
                    </w:rPr>
                    <w:t>Shell编程实战</w:t>
                  </w:r>
                </w:p>
              </w:tc>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8.1</w:t>
                  </w:r>
                </w:p>
                <w:p>
                  <w:pPr>
                    <w:pStyle w:val="null3"/>
                    <w:jc w:val="center"/>
                  </w:pPr>
                  <w:r>
                    <w:rPr>
                      <w:rFonts w:ascii="仿宋_GB2312" w:hAnsi="仿宋_GB2312" w:cs="仿宋_GB2312" w:eastAsia="仿宋_GB2312"/>
                      <w:sz w:val="20"/>
                    </w:rPr>
                    <w:t>Shell脚本规范</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Shell简介、基本功能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735"/>
                  <w:vMerge/>
                  <w:tcBorders>
                    <w:top w:val="none" w:color="000000" w:sz="4"/>
                    <w:left w:val="single" w:color="000000" w:sz="4"/>
                    <w:bottom w:val="single" w:color="000000" w:sz="4"/>
                    <w:right w:val="single" w:color="000000" w:sz="4"/>
                  </w:tcBorders>
                </w:tcPr>
                <w:p/>
              </w:tc>
              <w:tc>
                <w:tcPr>
                  <w:tcW w:type="dxa" w:w="839"/>
                  <w:vMerge/>
                  <w:tcBorders>
                    <w:top w:val="none" w:color="000000" w:sz="4"/>
                    <w:left w:val="single" w:color="000000" w:sz="4"/>
                    <w:bottom w:val="single" w:color="000000" w:sz="4"/>
                    <w:right w:val="single" w:color="000000" w:sz="4"/>
                  </w:tcBorders>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变量类型、编程基础</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735"/>
                  <w:vMerge/>
                  <w:tcBorders>
                    <w:top w:val="none" w:color="000000" w:sz="4"/>
                    <w:left w:val="single" w:color="000000" w:sz="4"/>
                    <w:bottom w:val="single" w:color="000000" w:sz="4"/>
                    <w:right w:val="single" w:color="000000" w:sz="4"/>
                  </w:tcBorders>
                </w:tcPr>
                <w:p/>
              </w:tc>
              <w:tc>
                <w:tcPr>
                  <w:tcW w:type="dxa" w:w="839"/>
                  <w:vMerge/>
                  <w:tcBorders>
                    <w:top w:val="none" w:color="000000" w:sz="4"/>
                    <w:left w:val="single" w:color="000000" w:sz="4"/>
                    <w:bottom w:val="single" w:color="000000" w:sz="4"/>
                    <w:right w:val="single" w:color="000000" w:sz="4"/>
                  </w:tcBorders>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控制语句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735"/>
                  <w:vMerge/>
                  <w:tcBorders>
                    <w:top w:val="none" w:color="000000" w:sz="4"/>
                    <w:left w:val="single" w:color="000000" w:sz="4"/>
                    <w:bottom w:val="single" w:color="000000" w:sz="4"/>
                    <w:right w:val="single" w:color="000000" w:sz="4"/>
                  </w:tcBorders>
                </w:tcPr>
                <w:p/>
              </w:tc>
              <w:tc>
                <w:tcPr>
                  <w:tcW w:type="dxa" w:w="839"/>
                  <w:vMerge/>
                  <w:tcBorders>
                    <w:top w:val="none" w:color="000000" w:sz="4"/>
                    <w:left w:val="single" w:color="000000" w:sz="4"/>
                    <w:bottom w:val="single" w:color="000000" w:sz="4"/>
                    <w:right w:val="single" w:color="000000" w:sz="4"/>
                  </w:tcBorders>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函数</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735"/>
                  <w:vMerge/>
                  <w:tcBorders>
                    <w:top w:val="none" w:color="000000" w:sz="4"/>
                    <w:left w:val="single" w:color="000000" w:sz="4"/>
                    <w:bottom w:val="single" w:color="000000" w:sz="4"/>
                    <w:right w:val="single" w:color="000000" w:sz="4"/>
                  </w:tcBorders>
                </w:tcPr>
                <w:p/>
              </w:tc>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8.2</w:t>
                  </w:r>
                </w:p>
                <w:p>
                  <w:pPr>
                    <w:pStyle w:val="null3"/>
                    <w:jc w:val="center"/>
                  </w:pPr>
                  <w:r>
                    <w:rPr>
                      <w:rFonts w:ascii="仿宋_GB2312" w:hAnsi="仿宋_GB2312" w:cs="仿宋_GB2312" w:eastAsia="仿宋_GB2312"/>
                      <w:sz w:val="20"/>
                    </w:rPr>
                    <w:t>系统信息获取</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系统信息分类、获取方式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735"/>
                  <w:vMerge/>
                  <w:tcBorders>
                    <w:top w:val="none" w:color="000000" w:sz="4"/>
                    <w:left w:val="single" w:color="000000" w:sz="4"/>
                    <w:bottom w:val="single" w:color="000000" w:sz="4"/>
                    <w:right w:val="single" w:color="000000" w:sz="4"/>
                  </w:tcBorders>
                </w:tcPr>
                <w:p/>
              </w:tc>
              <w:tc>
                <w:tcPr>
                  <w:tcW w:type="dxa" w:w="839"/>
                  <w:vMerge/>
                  <w:tcBorders>
                    <w:top w:val="none" w:color="000000" w:sz="4"/>
                    <w:left w:val="single" w:color="000000" w:sz="4"/>
                    <w:bottom w:val="single" w:color="000000" w:sz="4"/>
                    <w:right w:val="single" w:color="000000" w:sz="4"/>
                  </w:tcBorders>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获取操作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735"/>
                  <w:vMerge/>
                  <w:tcBorders>
                    <w:top w:val="none" w:color="000000" w:sz="4"/>
                    <w:left w:val="single" w:color="000000" w:sz="4"/>
                    <w:bottom w:val="single" w:color="000000" w:sz="4"/>
                    <w:right w:val="single" w:color="000000" w:sz="4"/>
                  </w:tcBorders>
                </w:tcPr>
                <w:p/>
              </w:tc>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8.3</w:t>
                  </w:r>
                </w:p>
                <w:p>
                  <w:pPr>
                    <w:pStyle w:val="null3"/>
                    <w:jc w:val="center"/>
                  </w:pPr>
                  <w:r>
                    <w:rPr>
                      <w:rFonts w:ascii="仿宋_GB2312" w:hAnsi="仿宋_GB2312" w:cs="仿宋_GB2312" w:eastAsia="仿宋_GB2312"/>
                      <w:sz w:val="20"/>
                    </w:rPr>
                    <w:t>系统运行分析</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系统运行内容分析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735"/>
                  <w:vMerge/>
                  <w:tcBorders>
                    <w:top w:val="none" w:color="000000" w:sz="4"/>
                    <w:left w:val="single" w:color="000000" w:sz="4"/>
                    <w:bottom w:val="single" w:color="000000" w:sz="4"/>
                    <w:right w:val="single" w:color="000000" w:sz="4"/>
                  </w:tcBorders>
                </w:tcPr>
                <w:p/>
              </w:tc>
              <w:tc>
                <w:tcPr>
                  <w:tcW w:type="dxa" w:w="839"/>
                  <w:vMerge/>
                  <w:tcBorders>
                    <w:top w:val="none" w:color="000000" w:sz="4"/>
                    <w:left w:val="single" w:color="000000" w:sz="4"/>
                    <w:bottom w:val="single" w:color="000000" w:sz="4"/>
                    <w:right w:val="single" w:color="000000" w:sz="4"/>
                  </w:tcBorders>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常见故障问题及对策</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735"/>
                  <w:vMerge/>
                  <w:tcBorders>
                    <w:top w:val="none" w:color="000000" w:sz="4"/>
                    <w:left w:val="single" w:color="000000" w:sz="4"/>
                    <w:bottom w:val="single" w:color="000000" w:sz="4"/>
                    <w:right w:val="single" w:color="000000" w:sz="4"/>
                  </w:tcBorders>
                </w:tcPr>
                <w:p/>
              </w:tc>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8.4</w:t>
                  </w:r>
                </w:p>
                <w:p>
                  <w:pPr>
                    <w:pStyle w:val="null3"/>
                    <w:jc w:val="center"/>
                  </w:pPr>
                  <w:r>
                    <w:rPr>
                      <w:rFonts w:ascii="仿宋_GB2312" w:hAnsi="仿宋_GB2312" w:cs="仿宋_GB2312" w:eastAsia="仿宋_GB2312"/>
                      <w:sz w:val="20"/>
                    </w:rPr>
                    <w:t>DDoS攻击防御</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DDoS介绍、攻击原理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735"/>
                  <w:vMerge/>
                  <w:tcBorders>
                    <w:top w:val="none" w:color="000000" w:sz="4"/>
                    <w:left w:val="single" w:color="000000" w:sz="4"/>
                    <w:bottom w:val="single" w:color="000000" w:sz="4"/>
                    <w:right w:val="single" w:color="000000" w:sz="4"/>
                  </w:tcBorders>
                </w:tcPr>
                <w:p/>
              </w:tc>
              <w:tc>
                <w:tcPr>
                  <w:tcW w:type="dxa" w:w="839"/>
                  <w:vMerge/>
                  <w:tcBorders>
                    <w:top w:val="none" w:color="000000" w:sz="4"/>
                    <w:left w:val="single" w:color="000000" w:sz="4"/>
                    <w:bottom w:val="single" w:color="000000" w:sz="4"/>
                    <w:right w:val="single" w:color="000000" w:sz="4"/>
                  </w:tcBorders>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DDoS防御措施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7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项目九</w:t>
                  </w:r>
                </w:p>
                <w:p>
                  <w:pPr>
                    <w:pStyle w:val="null3"/>
                    <w:jc w:val="center"/>
                  </w:pPr>
                  <w:r>
                    <w:rPr>
                      <w:rFonts w:ascii="仿宋_GB2312" w:hAnsi="仿宋_GB2312" w:cs="仿宋_GB2312" w:eastAsia="仿宋_GB2312"/>
                      <w:sz w:val="20"/>
                    </w:rPr>
                    <w:t>虚拟化与容器部署</w:t>
                  </w:r>
                </w:p>
              </w:tc>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9.1</w:t>
                  </w:r>
                </w:p>
                <w:p>
                  <w:pPr>
                    <w:pStyle w:val="null3"/>
                    <w:jc w:val="center"/>
                  </w:pPr>
                  <w:r>
                    <w:rPr>
                      <w:rFonts w:ascii="仿宋_GB2312" w:hAnsi="仿宋_GB2312" w:cs="仿宋_GB2312" w:eastAsia="仿宋_GB2312"/>
                      <w:sz w:val="20"/>
                    </w:rPr>
                    <w:t>虚拟化环境搭建</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虚拟化环境简介及其搭建步骤</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735"/>
                  <w:vMerge/>
                  <w:tcBorders>
                    <w:top w:val="none" w:color="000000" w:sz="4"/>
                    <w:left w:val="single" w:color="000000" w:sz="4"/>
                    <w:bottom w:val="single" w:color="000000" w:sz="4"/>
                    <w:right w:val="single" w:color="000000" w:sz="4"/>
                  </w:tcBorders>
                </w:tcPr>
                <w:p/>
              </w:tc>
              <w:tc>
                <w:tcPr>
                  <w:tcW w:type="dxa" w:w="839"/>
                  <w:vMerge/>
                  <w:tcBorders>
                    <w:top w:val="none" w:color="000000" w:sz="4"/>
                    <w:left w:val="single" w:color="000000" w:sz="4"/>
                    <w:bottom w:val="single" w:color="000000" w:sz="4"/>
                    <w:right w:val="single" w:color="000000" w:sz="4"/>
                  </w:tcBorders>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搭建虚拟化环境操作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735"/>
                  <w:vMerge/>
                  <w:tcBorders>
                    <w:top w:val="none" w:color="000000" w:sz="4"/>
                    <w:left w:val="single" w:color="000000" w:sz="4"/>
                    <w:bottom w:val="single" w:color="000000" w:sz="4"/>
                    <w:right w:val="single" w:color="000000" w:sz="4"/>
                  </w:tcBorders>
                </w:tcPr>
                <w:p/>
              </w:tc>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9.2</w:t>
                  </w:r>
                </w:p>
                <w:p>
                  <w:pPr>
                    <w:pStyle w:val="null3"/>
                    <w:jc w:val="center"/>
                  </w:pPr>
                  <w:r>
                    <w:rPr>
                      <w:rFonts w:ascii="仿宋_GB2312" w:hAnsi="仿宋_GB2312" w:cs="仿宋_GB2312" w:eastAsia="仿宋_GB2312"/>
                      <w:sz w:val="20"/>
                    </w:rPr>
                    <w:t>虚拟机配置</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虚拟机配置内容及方法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735"/>
                  <w:vMerge/>
                  <w:tcBorders>
                    <w:top w:val="none" w:color="000000" w:sz="4"/>
                    <w:left w:val="single" w:color="000000" w:sz="4"/>
                    <w:bottom w:val="single" w:color="000000" w:sz="4"/>
                    <w:right w:val="single" w:color="000000" w:sz="4"/>
                  </w:tcBorders>
                </w:tcPr>
                <w:p/>
              </w:tc>
              <w:tc>
                <w:tcPr>
                  <w:tcW w:type="dxa" w:w="839"/>
                  <w:vMerge/>
                  <w:tcBorders>
                    <w:top w:val="none" w:color="000000" w:sz="4"/>
                    <w:left w:val="single" w:color="000000" w:sz="4"/>
                    <w:bottom w:val="single" w:color="000000" w:sz="4"/>
                    <w:right w:val="single" w:color="000000" w:sz="4"/>
                  </w:tcBorders>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虚拟机配置操作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735"/>
                  <w:vMerge/>
                  <w:tcBorders>
                    <w:top w:val="none" w:color="000000" w:sz="4"/>
                    <w:left w:val="single" w:color="000000" w:sz="4"/>
                    <w:bottom w:val="single" w:color="000000" w:sz="4"/>
                    <w:right w:val="single" w:color="000000" w:sz="4"/>
                  </w:tcBorders>
                </w:tcPr>
                <w:p/>
              </w:tc>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9.3</w:t>
                  </w:r>
                </w:p>
                <w:p>
                  <w:pPr>
                    <w:pStyle w:val="null3"/>
                    <w:jc w:val="center"/>
                  </w:pPr>
                  <w:r>
                    <w:rPr>
                      <w:rFonts w:ascii="仿宋_GB2312" w:hAnsi="仿宋_GB2312" w:cs="仿宋_GB2312" w:eastAsia="仿宋_GB2312"/>
                      <w:sz w:val="20"/>
                    </w:rPr>
                    <w:t>虚拟机管理</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虚拟机管理内容、方法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735"/>
                  <w:vMerge/>
                  <w:tcBorders>
                    <w:top w:val="none" w:color="000000" w:sz="4"/>
                    <w:left w:val="single" w:color="000000" w:sz="4"/>
                    <w:bottom w:val="single" w:color="000000" w:sz="4"/>
                    <w:right w:val="single" w:color="000000" w:sz="4"/>
                  </w:tcBorders>
                </w:tcPr>
                <w:p/>
              </w:tc>
              <w:tc>
                <w:tcPr>
                  <w:tcW w:type="dxa" w:w="839"/>
                  <w:vMerge/>
                  <w:tcBorders>
                    <w:top w:val="none" w:color="000000" w:sz="4"/>
                    <w:left w:val="single" w:color="000000" w:sz="4"/>
                    <w:bottom w:val="single" w:color="000000" w:sz="4"/>
                    <w:right w:val="single" w:color="000000" w:sz="4"/>
                  </w:tcBorders>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虚拟机管理操作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735"/>
                  <w:vMerge/>
                  <w:tcBorders>
                    <w:top w:val="none" w:color="000000" w:sz="4"/>
                    <w:left w:val="single" w:color="000000" w:sz="4"/>
                    <w:bottom w:val="single" w:color="000000" w:sz="4"/>
                    <w:right w:val="single" w:color="000000" w:sz="4"/>
                  </w:tcBorders>
                </w:tcPr>
                <w:p/>
              </w:tc>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9.4</w:t>
                  </w:r>
                </w:p>
                <w:p>
                  <w:pPr>
                    <w:pStyle w:val="null3"/>
                    <w:jc w:val="center"/>
                  </w:pPr>
                  <w:r>
                    <w:rPr>
                      <w:rFonts w:ascii="仿宋_GB2312" w:hAnsi="仿宋_GB2312" w:cs="仿宋_GB2312" w:eastAsia="仿宋_GB2312"/>
                      <w:sz w:val="20"/>
                    </w:rPr>
                    <w:t>容器部署</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容器部署方式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735"/>
                  <w:vMerge/>
                  <w:tcBorders>
                    <w:top w:val="none" w:color="000000" w:sz="4"/>
                    <w:left w:val="single" w:color="000000" w:sz="4"/>
                    <w:bottom w:val="single" w:color="000000" w:sz="4"/>
                    <w:right w:val="single" w:color="000000" w:sz="4"/>
                  </w:tcBorders>
                </w:tcPr>
                <w:p/>
              </w:tc>
              <w:tc>
                <w:tcPr>
                  <w:tcW w:type="dxa" w:w="839"/>
                  <w:vMerge/>
                  <w:tcBorders>
                    <w:top w:val="none" w:color="000000" w:sz="4"/>
                    <w:left w:val="single" w:color="000000" w:sz="4"/>
                    <w:bottom w:val="single" w:color="000000" w:sz="4"/>
                    <w:right w:val="single" w:color="000000" w:sz="4"/>
                  </w:tcBorders>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容器部署操作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735"/>
                  <w:vMerge/>
                  <w:tcBorders>
                    <w:top w:val="none" w:color="000000" w:sz="4"/>
                    <w:left w:val="single" w:color="000000" w:sz="4"/>
                    <w:bottom w:val="single" w:color="000000" w:sz="4"/>
                    <w:right w:val="single" w:color="000000" w:sz="4"/>
                  </w:tcBorders>
                </w:tcPr>
                <w:p/>
              </w:tc>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9.5</w:t>
                  </w:r>
                </w:p>
                <w:p>
                  <w:pPr>
                    <w:pStyle w:val="null3"/>
                    <w:jc w:val="center"/>
                  </w:pPr>
                  <w:r>
                    <w:rPr>
                      <w:rFonts w:ascii="仿宋_GB2312" w:hAnsi="仿宋_GB2312" w:cs="仿宋_GB2312" w:eastAsia="仿宋_GB2312"/>
                      <w:sz w:val="20"/>
                    </w:rPr>
                    <w:t>容器管理</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容器管理方式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735"/>
                  <w:vMerge/>
                  <w:tcBorders>
                    <w:top w:val="none" w:color="000000" w:sz="4"/>
                    <w:left w:val="single" w:color="000000" w:sz="4"/>
                    <w:bottom w:val="single" w:color="000000" w:sz="4"/>
                    <w:right w:val="single" w:color="000000" w:sz="4"/>
                  </w:tcBorders>
                </w:tcPr>
                <w:p/>
              </w:tc>
              <w:tc>
                <w:tcPr>
                  <w:tcW w:type="dxa" w:w="839"/>
                  <w:vMerge/>
                  <w:tcBorders>
                    <w:top w:val="none" w:color="000000" w:sz="4"/>
                    <w:left w:val="single" w:color="000000" w:sz="4"/>
                    <w:bottom w:val="single" w:color="000000" w:sz="4"/>
                    <w:right w:val="single" w:color="000000" w:sz="4"/>
                  </w:tcBorders>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容器管理操作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7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项目十</w:t>
                  </w:r>
                </w:p>
                <w:p>
                  <w:pPr>
                    <w:pStyle w:val="null3"/>
                    <w:jc w:val="center"/>
                  </w:pPr>
                  <w:r>
                    <w:rPr>
                      <w:rFonts w:ascii="仿宋_GB2312" w:hAnsi="仿宋_GB2312" w:cs="仿宋_GB2312" w:eastAsia="仿宋_GB2312"/>
                      <w:sz w:val="20"/>
                    </w:rPr>
                    <w:t>系统安全加固</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10.1</w:t>
                  </w:r>
                </w:p>
                <w:p>
                  <w:pPr>
                    <w:pStyle w:val="null3"/>
                    <w:jc w:val="center"/>
                  </w:pPr>
                  <w:r>
                    <w:rPr>
                      <w:rFonts w:ascii="仿宋_GB2312" w:hAnsi="仿宋_GB2312" w:cs="仿宋_GB2312" w:eastAsia="仿宋_GB2312"/>
                      <w:sz w:val="20"/>
                    </w:rPr>
                    <w:t>操作系统安全加固准备</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系统安全加固介绍及内容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73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10.2</w:t>
                  </w:r>
                </w:p>
                <w:p>
                  <w:pPr>
                    <w:pStyle w:val="null3"/>
                    <w:jc w:val="center"/>
                  </w:pPr>
                  <w:r>
                    <w:rPr>
                      <w:rFonts w:ascii="仿宋_GB2312" w:hAnsi="仿宋_GB2312" w:cs="仿宋_GB2312" w:eastAsia="仿宋_GB2312"/>
                      <w:sz w:val="20"/>
                    </w:rPr>
                    <w:t>操作系统安全加固策略</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系统安全加固方式及过程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73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10.3</w:t>
                  </w:r>
                </w:p>
                <w:p>
                  <w:pPr>
                    <w:pStyle w:val="null3"/>
                    <w:jc w:val="center"/>
                  </w:pPr>
                  <w:r>
                    <w:rPr>
                      <w:rFonts w:ascii="仿宋_GB2312" w:hAnsi="仿宋_GB2312" w:cs="仿宋_GB2312" w:eastAsia="仿宋_GB2312"/>
                      <w:sz w:val="20"/>
                    </w:rPr>
                    <w:t>操作系统安全加固配置</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系统安全加固工具及操作</w:t>
                  </w:r>
                </w:p>
              </w:tc>
            </w:tr>
          </w:tbl>
          <w:p>
            <w:pPr>
              <w:pStyle w:val="null3"/>
              <w:jc w:val="left"/>
            </w:pPr>
            <w:r>
              <w:rPr>
                <w:rFonts w:ascii="仿宋_GB2312" w:hAnsi="仿宋_GB2312" w:cs="仿宋_GB2312" w:eastAsia="仿宋_GB2312"/>
                <w:sz w:val="20"/>
                <w:b/>
                <w:color w:val="000000"/>
              </w:rPr>
              <w:t>三、</w:t>
            </w:r>
            <w:r>
              <w:rPr>
                <w:rFonts w:ascii="仿宋_GB2312" w:hAnsi="仿宋_GB2312" w:cs="仿宋_GB2312" w:eastAsia="仿宋_GB2312"/>
                <w:sz w:val="20"/>
                <w:b/>
                <w:color w:val="000000"/>
              </w:rPr>
              <w:t>《无人机巡检技术》</w:t>
            </w:r>
          </w:p>
          <w:p>
            <w:pPr>
              <w:pStyle w:val="null3"/>
              <w:ind w:firstLine="400"/>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《无人机巡检技术》课程录制</w:t>
            </w:r>
            <w:r>
              <w:rPr>
                <w:rFonts w:ascii="仿宋_GB2312" w:hAnsi="仿宋_GB2312" w:cs="仿宋_GB2312" w:eastAsia="仿宋_GB2312"/>
                <w:sz w:val="20"/>
                <w:color w:val="000000"/>
              </w:rPr>
              <w:t>55个微课</w:t>
            </w:r>
          </w:p>
          <w:tbl>
            <w:tblPr>
              <w:tblBorders>
                <w:top w:val="none" w:color="000000" w:sz="4"/>
                <w:left w:val="none" w:color="000000" w:sz="4"/>
                <w:bottom w:val="none" w:color="000000" w:sz="4"/>
                <w:right w:val="none" w:color="000000" w:sz="4"/>
                <w:insideH w:val="none"/>
                <w:insideV w:val="none"/>
              </w:tblBorders>
            </w:tblPr>
            <w:tblGrid>
              <w:gridCol w:w="233"/>
              <w:gridCol w:w="556"/>
              <w:gridCol w:w="973"/>
              <w:gridCol w:w="1045"/>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学习情景</w:t>
                  </w:r>
                </w:p>
              </w:tc>
              <w:tc>
                <w:tcPr>
                  <w:tcW w:type="dxa" w:w="9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节名</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知识</w:t>
                  </w:r>
                  <w:r>
                    <w:rPr>
                      <w:rFonts w:ascii="仿宋_GB2312" w:hAnsi="仿宋_GB2312" w:cs="仿宋_GB2312" w:eastAsia="仿宋_GB2312"/>
                      <w:sz w:val="20"/>
                      <w:b/>
                    </w:rPr>
                    <w:t>（技能）</w:t>
                  </w:r>
                  <w:r>
                    <w:rPr>
                      <w:rFonts w:ascii="仿宋_GB2312" w:hAnsi="仿宋_GB2312" w:cs="仿宋_GB2312" w:eastAsia="仿宋_GB2312"/>
                      <w:sz w:val="20"/>
                      <w:b/>
                    </w:rPr>
                    <w:t>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认知奠基</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无人机巡检技术基础</w:t>
                  </w:r>
                </w:p>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无人机巡检技术概述</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无人机分类与飞行原理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无人机巡检系统组成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行业法规与安全飞行守则</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巡检人员职责与技能要求</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常见任务载荷（一）：可见光与红外相机</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常见任务载荷（二）：激光雷达与其他传感器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安全风险评估与应急预案制定</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平台掌控</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大疆机场系统详解</w:t>
                  </w:r>
                </w:p>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大疆机场产品系列与核心功能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机场硬件结构解析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安装场地选择与基础准备</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固定式安装流程详解</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移动部署方法与注意事项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网络连接方案：有线、</w:t>
                  </w:r>
                  <w:r>
                    <w:rPr>
                      <w:rFonts w:ascii="仿宋_GB2312" w:hAnsi="仿宋_GB2312" w:cs="仿宋_GB2312" w:eastAsia="仿宋_GB2312"/>
                      <w:sz w:val="20"/>
                    </w:rPr>
                    <w:t>4G/5G与增强图传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机场激活与初次配置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飞行器对频与</w:t>
                  </w:r>
                  <w:r>
                    <w:rPr>
                      <w:rFonts w:ascii="仿宋_GB2312" w:hAnsi="仿宋_GB2312" w:cs="仿宋_GB2312" w:eastAsia="仿宋_GB2312"/>
                      <w:sz w:val="20"/>
                    </w:rPr>
                    <w:t>RTK标定</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备降点设置与飞行安全策略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云端平台接入与组织管理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机场日常维护与保养规范</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常见故障诊断与排除方法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任务规划</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巡检任务规划与执行</w:t>
                  </w:r>
                </w:p>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巡检任务规划基础</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航线规划原则与方法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航线规划软件操作详解</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自动化任务设置与计划编排</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任务模拟与验证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无人机危情巡检虚拟仿真软件入门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飞行控制与</w:t>
                  </w:r>
                  <w:r>
                    <w:rPr>
                      <w:rFonts w:ascii="仿宋_GB2312" w:hAnsi="仿宋_GB2312" w:cs="仿宋_GB2312" w:eastAsia="仿宋_GB2312"/>
                      <w:sz w:val="20"/>
                    </w:rPr>
                    <w:t>PID算法虚拟实验</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巡检实战演练：从准备到执行</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专业应用</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专业领域巡检应用</w:t>
                  </w:r>
                </w:p>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电力巡检概述与作业标准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输电线路杆塔精细化巡检</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电力巡检典型案例分析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数字孪生与水利巡检应用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环保与生态监测巡检</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应急巡检与灾害响应</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公共安全领域巡检应用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基础设施巡检与测绘</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可见光巡检数据采集规范</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红外热像巡检技术与数据分析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数据分析</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巡检数据处理与分析</w:t>
                  </w:r>
                </w:p>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巡检媒体文件管理与备份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可见光影像分析与缺陷识别</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红外热图分析与故障诊断</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点云数据处理与模型重建</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智能变化检测技术应用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深度学习在缺陷识别中的应用</w:t>
                  </w:r>
                  <w:r>
                    <w:rPr>
                      <w:rFonts w:ascii="仿宋_GB2312" w:hAnsi="仿宋_GB2312" w:cs="仿宋_GB2312" w:eastAsia="仿宋_GB2312"/>
                      <w:sz w:val="20"/>
                    </w:rPr>
                    <w:t xml:space="preserve">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巡检报告撰写与成果提交</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巡检数据可视化展示</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数据归档与知识管理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运维与安全</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设备运维与飞行安全</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飞行器日常维护与保养</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任务设备校准与测试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电池管理与存储规范</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飞行前检查标准流程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巡检作业中的安全操作规范</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异常情况应急处理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飞行数据解读与分析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课程总结与职业发展展望</w:t>
                  </w:r>
                </w:p>
              </w:tc>
            </w:tr>
          </w:tbl>
          <w:p>
            <w:pPr>
              <w:pStyle w:val="null3"/>
              <w:jc w:val="left"/>
            </w:pP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《智能网联新能源汽车技术》</w:t>
            </w:r>
          </w:p>
          <w:p>
            <w:pPr>
              <w:pStyle w:val="null3"/>
              <w:ind w:firstLine="400"/>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w:t>
            </w:r>
            <w:r>
              <w:rPr>
                <w:rFonts w:ascii="仿宋_GB2312" w:hAnsi="仿宋_GB2312" w:cs="仿宋_GB2312" w:eastAsia="仿宋_GB2312"/>
                <w:sz w:val="20"/>
                <w:color w:val="000000"/>
              </w:rPr>
              <w:t>智能网联新能源汽车技术</w:t>
            </w:r>
            <w:r>
              <w:rPr>
                <w:rFonts w:ascii="仿宋_GB2312" w:hAnsi="仿宋_GB2312" w:cs="仿宋_GB2312" w:eastAsia="仿宋_GB2312"/>
                <w:sz w:val="20"/>
                <w:color w:val="000000"/>
              </w:rPr>
              <w:t>》课程录制</w:t>
            </w:r>
            <w:r>
              <w:rPr>
                <w:rFonts w:ascii="仿宋_GB2312" w:hAnsi="仿宋_GB2312" w:cs="仿宋_GB2312" w:eastAsia="仿宋_GB2312"/>
                <w:sz w:val="20"/>
                <w:color w:val="000000"/>
              </w:rPr>
              <w:t>72个微课</w:t>
            </w:r>
          </w:p>
          <w:tbl>
            <w:tblPr>
              <w:tblBorders>
                <w:top w:val="none" w:color="000000" w:sz="4"/>
                <w:left w:val="none" w:color="000000" w:sz="4"/>
                <w:bottom w:val="none" w:color="000000" w:sz="4"/>
                <w:right w:val="none" w:color="000000" w:sz="4"/>
                <w:insideH w:val="none"/>
                <w:insideV w:val="none"/>
              </w:tblBorders>
            </w:tblPr>
            <w:tblGrid>
              <w:gridCol w:w="208"/>
              <w:gridCol w:w="469"/>
              <w:gridCol w:w="611"/>
              <w:gridCol w:w="1264"/>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学习情景</w:t>
                  </w:r>
                </w:p>
              </w:tc>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节名</w:t>
                  </w:r>
                </w:p>
              </w:tc>
              <w:tc>
                <w:tcPr>
                  <w:tcW w:type="dxa" w:w="1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知识</w:t>
                  </w:r>
                  <w:r>
                    <w:rPr>
                      <w:rFonts w:ascii="仿宋_GB2312" w:hAnsi="仿宋_GB2312" w:cs="仿宋_GB2312" w:eastAsia="仿宋_GB2312"/>
                      <w:sz w:val="20"/>
                      <w:b/>
                    </w:rPr>
                    <w:t>（技能）</w:t>
                  </w:r>
                  <w:r>
                    <w:rPr>
                      <w:rFonts w:ascii="仿宋_GB2312" w:hAnsi="仿宋_GB2312" w:cs="仿宋_GB2312" w:eastAsia="仿宋_GB2312"/>
                      <w:sz w:val="20"/>
                      <w:b/>
                    </w:rPr>
                    <w:t>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r>
                    <w:rPr>
                      <w:rFonts w:ascii="仿宋_GB2312" w:hAnsi="仿宋_GB2312" w:cs="仿宋_GB2312" w:eastAsia="仿宋_GB2312"/>
                      <w:sz w:val="20"/>
                    </w:rPr>
                    <w:t>一智能网联系能源汽车概论</w:t>
                  </w:r>
                </w:p>
              </w:tc>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智能网联新能源汽车内涵认知</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智能网联新能源汽车相关概念</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智能网联新能源汽车相关术语</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69"/>
                  <w:vMerge/>
                  <w:tcBorders>
                    <w:top w:val="none" w:color="000000" w:sz="4"/>
                    <w:left w:val="single" w:color="000000" w:sz="4"/>
                    <w:bottom w:val="single" w:color="000000" w:sz="4"/>
                    <w:right w:val="single" w:color="000000" w:sz="4"/>
                  </w:tcBorders>
                </w:tcPr>
                <w:p/>
              </w:tc>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智能网新能源汽车技术体系认知</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智能网联新能源汽车结构层次</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智能网联新能源汽车技术架构</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智能网联新能源汽车逻辑结构</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智能网联新能源汽车发展趋势</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智能网联新能源汽车分级标准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69"/>
                  <w:vMerge/>
                  <w:tcBorders>
                    <w:top w:val="none" w:color="000000" w:sz="4"/>
                    <w:left w:val="single" w:color="000000" w:sz="4"/>
                    <w:bottom w:val="single" w:color="000000" w:sz="4"/>
                    <w:right w:val="single" w:color="000000" w:sz="4"/>
                  </w:tcBorders>
                </w:tcP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智能网联新能源汽车发展及现状</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智能网联新能源汽车现状、前景</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项目</w:t>
                  </w:r>
                  <w:r>
                    <w:rPr>
                      <w:rFonts w:ascii="仿宋_GB2312" w:hAnsi="仿宋_GB2312" w:cs="仿宋_GB2312" w:eastAsia="仿宋_GB2312"/>
                      <w:sz w:val="20"/>
                    </w:rPr>
                    <w:t>二新能源汽车环境感知技术</w:t>
                  </w:r>
                </w:p>
              </w:tc>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环境感知技术整体认知</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环境感知定义、组成</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环境感知感知对象及方法</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环境感知传感器类型</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69"/>
                  <w:vMerge/>
                  <w:tcBorders>
                    <w:top w:val="none" w:color="000000" w:sz="4"/>
                    <w:left w:val="single" w:color="000000" w:sz="4"/>
                    <w:bottom w:val="single" w:color="000000" w:sz="4"/>
                    <w:right w:val="single" w:color="000000" w:sz="4"/>
                  </w:tcBorders>
                </w:tcPr>
                <w:p/>
              </w:tc>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激光雷达技术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激光雷达概念、分类、应用场景</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激光雷达工作原理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69"/>
                  <w:vMerge/>
                  <w:tcBorders>
                    <w:top w:val="none" w:color="000000" w:sz="4"/>
                    <w:left w:val="single" w:color="000000" w:sz="4"/>
                    <w:bottom w:val="single" w:color="000000" w:sz="4"/>
                    <w:right w:val="single" w:color="000000" w:sz="4"/>
                  </w:tcBorders>
                </w:tcPr>
                <w:p/>
              </w:tc>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毫米波雷达技术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毫米波雷概念、分类、应用场景</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毫米波雷工作原理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69"/>
                  <w:vMerge/>
                  <w:tcBorders>
                    <w:top w:val="none" w:color="000000" w:sz="4"/>
                    <w:left w:val="single" w:color="000000" w:sz="4"/>
                    <w:bottom w:val="single" w:color="000000" w:sz="4"/>
                    <w:right w:val="single" w:color="000000" w:sz="4"/>
                  </w:tcBorders>
                </w:tcPr>
                <w:p/>
              </w:tc>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超声波雷达技术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超声波雷达概念、分类、应用场景</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超声波雷达工作原理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69"/>
                  <w:vMerge/>
                  <w:tcBorders>
                    <w:top w:val="none" w:color="000000" w:sz="4"/>
                    <w:left w:val="single" w:color="000000" w:sz="4"/>
                    <w:bottom w:val="single" w:color="000000" w:sz="4"/>
                    <w:right w:val="single" w:color="000000" w:sz="4"/>
                  </w:tcBorders>
                </w:tcPr>
                <w:p/>
              </w:tc>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视觉传感器技术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视觉传感器概念、分类、应用场景</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视觉传感器的工作原理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69"/>
                  <w:vMerge/>
                  <w:tcBorders>
                    <w:top w:val="none" w:color="000000" w:sz="4"/>
                    <w:left w:val="single" w:color="000000" w:sz="4"/>
                    <w:bottom w:val="single" w:color="000000" w:sz="4"/>
                    <w:right w:val="single" w:color="000000" w:sz="4"/>
                  </w:tcBorders>
                </w:tcPr>
                <w:p/>
              </w:tc>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其他传感器</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光敏、热敏感、红外等传感器概念、应用场景工作原理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光敏、热敏感、红外等传感器工作原理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69"/>
                  <w:vMerge/>
                  <w:tcBorders>
                    <w:top w:val="none" w:color="000000" w:sz="4"/>
                    <w:left w:val="single" w:color="000000" w:sz="4"/>
                    <w:bottom w:val="single" w:color="000000" w:sz="4"/>
                    <w:right w:val="single" w:color="000000" w:sz="4"/>
                  </w:tcBorders>
                </w:tcP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多传感器融合技术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多传感器融合概念、方法、应用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r>
                    <w:rPr>
                      <w:rFonts w:ascii="仿宋_GB2312" w:hAnsi="仿宋_GB2312" w:cs="仿宋_GB2312" w:eastAsia="仿宋_GB2312"/>
                      <w:sz w:val="20"/>
                    </w:rPr>
                    <w:t>三智能网联新能源汽车决策规划技术</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决策规划整体认知</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决策规划概念、方法、一般步骤</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69"/>
                  <w:vMerge/>
                  <w:tcBorders>
                    <w:top w:val="none" w:color="000000" w:sz="4"/>
                    <w:left w:val="single" w:color="000000" w:sz="4"/>
                    <w:bottom w:val="single" w:color="000000" w:sz="4"/>
                    <w:right w:val="single" w:color="000000" w:sz="4"/>
                  </w:tcBorders>
                </w:tcP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决策规划方法</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目标状态预测常用方法、常用算法、一般步骤</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r>
                    <w:rPr>
                      <w:rFonts w:ascii="仿宋_GB2312" w:hAnsi="仿宋_GB2312" w:cs="仿宋_GB2312" w:eastAsia="仿宋_GB2312"/>
                      <w:sz w:val="20"/>
                    </w:rPr>
                    <w:t>四智能网联新能源汽车高精度定位技术</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高精度定位技术整体认知</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定位系统的作用、组成、基本要求、常见定位方法</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69"/>
                  <w:vMerge/>
                  <w:tcBorders>
                    <w:top w:val="none" w:color="000000" w:sz="4"/>
                    <w:left w:val="single" w:color="000000" w:sz="4"/>
                    <w:bottom w:val="single" w:color="000000" w:sz="4"/>
                    <w:right w:val="single" w:color="000000" w:sz="4"/>
                  </w:tcBorders>
                </w:tcP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全球定位系统关键技术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全球定位系统的分类、组成、原理、应用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69"/>
                  <w:vMerge/>
                  <w:tcBorders>
                    <w:top w:val="none" w:color="000000" w:sz="4"/>
                    <w:left w:val="single" w:color="000000" w:sz="4"/>
                    <w:bottom w:val="single" w:color="000000" w:sz="4"/>
                    <w:right w:val="single" w:color="000000" w:sz="4"/>
                  </w:tcBorders>
                </w:tcP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惯性定位关键技术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惯性定位系统的分类、组成、原理、应用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69"/>
                  <w:vMerge/>
                  <w:tcBorders>
                    <w:top w:val="none" w:color="000000" w:sz="4"/>
                    <w:left w:val="single" w:color="000000" w:sz="4"/>
                    <w:bottom w:val="single" w:color="000000" w:sz="4"/>
                    <w:right w:val="single" w:color="000000" w:sz="4"/>
                  </w:tcBorders>
                </w:tcP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SLAM定位关键技术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SLAM技术的分类、组成、原理、应用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69"/>
                  <w:vMerge/>
                  <w:tcBorders>
                    <w:top w:val="none" w:color="000000" w:sz="4"/>
                    <w:left w:val="single" w:color="000000" w:sz="4"/>
                    <w:bottom w:val="single" w:color="000000" w:sz="4"/>
                    <w:right w:val="single" w:color="000000" w:sz="4"/>
                  </w:tcBorders>
                </w:tcP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蜂窝网定位关键技术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蜂窝网定位的分类、组成、原理、应用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69"/>
                  <w:vMerge/>
                  <w:tcBorders>
                    <w:top w:val="none" w:color="000000" w:sz="4"/>
                    <w:left w:val="single" w:color="000000" w:sz="4"/>
                    <w:bottom w:val="single" w:color="000000" w:sz="4"/>
                    <w:right w:val="single" w:color="000000" w:sz="4"/>
                  </w:tcBorders>
                </w:tcP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高精度地图制作与应用技术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高精度地图的概念、制作流程等。</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r>
                    <w:rPr>
                      <w:rFonts w:ascii="仿宋_GB2312" w:hAnsi="仿宋_GB2312" w:cs="仿宋_GB2312" w:eastAsia="仿宋_GB2312"/>
                      <w:sz w:val="20"/>
                    </w:rPr>
                    <w:t>五智能网联新能源汽车车联网及通信技术</w:t>
                  </w:r>
                </w:p>
              </w:tc>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近距离通信技术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RFID概念及工作原理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NFC概念及工作原理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WIFI概念及工作原理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蓝牙概念及工作原理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69"/>
                  <w:vMerge/>
                  <w:tcBorders>
                    <w:top w:val="none" w:color="000000" w:sz="4"/>
                    <w:left w:val="single" w:color="000000" w:sz="4"/>
                    <w:bottom w:val="single" w:color="000000" w:sz="4"/>
                    <w:right w:val="single" w:color="000000" w:sz="4"/>
                  </w:tcBorders>
                </w:tcPr>
                <w:p/>
              </w:tc>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中短距离通信技术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DSRC概念及工作原理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LTE-V概念及工作原理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69"/>
                  <w:vMerge/>
                  <w:tcBorders>
                    <w:top w:val="none" w:color="000000" w:sz="4"/>
                    <w:left w:val="single" w:color="000000" w:sz="4"/>
                    <w:bottom w:val="single" w:color="000000" w:sz="4"/>
                    <w:right w:val="single" w:color="000000" w:sz="4"/>
                  </w:tcBorders>
                </w:tcPr>
                <w:p/>
              </w:tc>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远距离通信技术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卫星通信的概念、组成、特点等</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5G通信的概念、组成、特点等</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469"/>
                  <w:vMerge/>
                  <w:tcBorders>
                    <w:top w:val="none" w:color="000000" w:sz="4"/>
                    <w:left w:val="single" w:color="000000" w:sz="4"/>
                    <w:bottom w:val="single" w:color="000000" w:sz="4"/>
                    <w:right w:val="single" w:color="000000" w:sz="4"/>
                  </w:tcBorders>
                </w:tcPr>
                <w:p/>
              </w:tc>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车用</w:t>
                  </w:r>
                  <w:r>
                    <w:rPr>
                      <w:rFonts w:ascii="仿宋_GB2312" w:hAnsi="仿宋_GB2312" w:cs="仿宋_GB2312" w:eastAsia="仿宋_GB2312"/>
                      <w:sz w:val="20"/>
                    </w:rPr>
                    <w:t>CAN通信技术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CAN通信的概念、组成、应用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CAN通信的原理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69"/>
                  <w:vMerge/>
                  <w:tcBorders>
                    <w:top w:val="none" w:color="000000" w:sz="4"/>
                    <w:left w:val="single" w:color="000000" w:sz="4"/>
                    <w:bottom w:val="single" w:color="000000" w:sz="4"/>
                    <w:right w:val="single" w:color="000000" w:sz="4"/>
                  </w:tcBorders>
                </w:tcP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车联网及通信技术认知</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车路协同、多车列队系统概念、实现方式、典型场景等</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r>
                    <w:rPr>
                      <w:rFonts w:ascii="仿宋_GB2312" w:hAnsi="仿宋_GB2312" w:cs="仿宋_GB2312" w:eastAsia="仿宋_GB2312"/>
                      <w:sz w:val="20"/>
                    </w:rPr>
                    <w:t>六智能网联新能源汽车控制执行技术</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控制执行技术整体认知</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三电技术概念、组成、特点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469"/>
                  <w:vMerge/>
                  <w:tcBorders>
                    <w:top w:val="none" w:color="000000" w:sz="4"/>
                    <w:left w:val="single" w:color="000000" w:sz="4"/>
                    <w:bottom w:val="single" w:color="000000" w:sz="4"/>
                    <w:right w:val="single" w:color="000000" w:sz="4"/>
                  </w:tcBorders>
                </w:tcPr>
                <w:p/>
              </w:tc>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驱动电机技术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交流异步电机的构造、特点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交流异步电机的原理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永磁同步电机的构造、特点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永磁同步电机的原理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469"/>
                  <w:vMerge/>
                  <w:tcBorders>
                    <w:top w:val="none" w:color="000000" w:sz="4"/>
                    <w:left w:val="single" w:color="000000" w:sz="4"/>
                    <w:bottom w:val="single" w:color="000000" w:sz="4"/>
                    <w:right w:val="single" w:color="000000" w:sz="4"/>
                  </w:tcBorders>
                </w:tcPr>
                <w:p/>
              </w:tc>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动力电池技术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磷酸铁锂电池的构造、特点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磷酸铁锂电池的原理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三元锂离子电池的构造、特点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三元锂离子电池原理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刀片电池的构造、特点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刀片电池的原理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固态电池的构造、特点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固态电池的原理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469"/>
                  <w:vMerge/>
                  <w:tcBorders>
                    <w:top w:val="none" w:color="000000" w:sz="4"/>
                    <w:left w:val="single" w:color="000000" w:sz="4"/>
                    <w:bottom w:val="single" w:color="000000" w:sz="4"/>
                    <w:right w:val="single" w:color="000000" w:sz="4"/>
                  </w:tcBorders>
                </w:tcPr>
                <w:p/>
              </w:tc>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整车电控技术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整车控制系统</w:t>
                  </w:r>
                  <w:r>
                    <w:rPr>
                      <w:rFonts w:ascii="仿宋_GB2312" w:hAnsi="仿宋_GB2312" w:cs="仿宋_GB2312" w:eastAsia="仿宋_GB2312"/>
                      <w:sz w:val="20"/>
                    </w:rPr>
                    <w:t>VCU的构造、控制逻辑</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整车控制系统电路分析</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整车控制系统典型车型举例</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r>
                    <w:rPr>
                      <w:rFonts w:ascii="仿宋_GB2312" w:hAnsi="仿宋_GB2312" w:cs="仿宋_GB2312" w:eastAsia="仿宋_GB2312"/>
                      <w:sz w:val="20"/>
                    </w:rPr>
                    <w:t>七智能网联新能源汽车线控技术</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线控技术整体认知</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线控技术的定义、组成、对象及方法、类型等</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469"/>
                  <w:vMerge/>
                  <w:tcBorders>
                    <w:top w:val="none" w:color="000000" w:sz="4"/>
                    <w:left w:val="single" w:color="000000" w:sz="4"/>
                    <w:bottom w:val="single" w:color="000000" w:sz="4"/>
                    <w:right w:val="single" w:color="000000" w:sz="4"/>
                  </w:tcBorders>
                </w:tcP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线控转向技术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线控转向的概念、结构、工作原理等</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469"/>
                  <w:vMerge/>
                  <w:tcBorders>
                    <w:top w:val="none" w:color="000000" w:sz="4"/>
                    <w:left w:val="single" w:color="000000" w:sz="4"/>
                    <w:bottom w:val="single" w:color="000000" w:sz="4"/>
                    <w:right w:val="single" w:color="000000" w:sz="4"/>
                  </w:tcBorders>
                </w:tcP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线控制动技术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线控制动的概念、结构、工作原理等</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469"/>
                  <w:vMerge/>
                  <w:tcBorders>
                    <w:top w:val="none" w:color="000000" w:sz="4"/>
                    <w:left w:val="single" w:color="000000" w:sz="4"/>
                    <w:bottom w:val="single" w:color="000000" w:sz="4"/>
                    <w:right w:val="single" w:color="000000" w:sz="4"/>
                  </w:tcBorders>
                </w:tcP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线控换挡技术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线控换挡的概念、结构、工作原理等</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469"/>
                  <w:vMerge/>
                  <w:tcBorders>
                    <w:top w:val="none" w:color="000000" w:sz="4"/>
                    <w:left w:val="single" w:color="000000" w:sz="4"/>
                    <w:bottom w:val="single" w:color="000000" w:sz="4"/>
                    <w:right w:val="single" w:color="000000" w:sz="4"/>
                  </w:tcBorders>
                </w:tcP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线控悬架技术</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线控悬架的概念、结构、工作原理等</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r>
                    <w:rPr>
                      <w:rFonts w:ascii="仿宋_GB2312" w:hAnsi="仿宋_GB2312" w:cs="仿宋_GB2312" w:eastAsia="仿宋_GB2312"/>
                      <w:sz w:val="20"/>
                    </w:rPr>
                    <w:t>八智能网联新能源汽车人机交互技术</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人机交互技术现状及未来</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人机交互技术发展背景、特点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469"/>
                  <w:vMerge/>
                  <w:tcBorders>
                    <w:top w:val="none" w:color="000000" w:sz="4"/>
                    <w:left w:val="single" w:color="000000" w:sz="4"/>
                    <w:bottom w:val="single" w:color="000000" w:sz="4"/>
                    <w:right w:val="single" w:color="000000" w:sz="4"/>
                  </w:tcBorders>
                </w:tcPr>
                <w:p/>
              </w:tc>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人机交互技术的应用</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人机交互技术对汽车发展的作用、典型应用场景等</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人机交互技术对机器人发展的作用、典型应用场景等</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人机交互技术对医疗、军事等领域发展的作用、典型应用场景等</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r>
                    <w:rPr>
                      <w:rFonts w:ascii="仿宋_GB2312" w:hAnsi="仿宋_GB2312" w:cs="仿宋_GB2312" w:eastAsia="仿宋_GB2312"/>
                      <w:sz w:val="20"/>
                    </w:rPr>
                    <w:t>九智能网联新能源汽车信息交互技术</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信息交互技术认知</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信息交互技术概念、组成、发展趋势</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469"/>
                  <w:vMerge/>
                  <w:tcBorders>
                    <w:top w:val="none" w:color="000000" w:sz="4"/>
                    <w:left w:val="single" w:color="000000" w:sz="4"/>
                    <w:bottom w:val="single" w:color="000000" w:sz="4"/>
                    <w:right w:val="single" w:color="000000" w:sz="4"/>
                  </w:tcBorders>
                </w:tcPr>
                <w:p/>
              </w:tc>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信息交互技术的应用</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智能网联新能源汽车的</w:t>
                  </w:r>
                  <w:r>
                    <w:rPr>
                      <w:rFonts w:ascii="仿宋_GB2312" w:hAnsi="仿宋_GB2312" w:cs="仿宋_GB2312" w:eastAsia="仿宋_GB2312"/>
                      <w:sz w:val="20"/>
                    </w:rPr>
                    <w:t>V2X技术的基础概念、应用场景</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469"/>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智能机器人的</w:t>
                  </w:r>
                  <w:r>
                    <w:rPr>
                      <w:rFonts w:ascii="仿宋_GB2312" w:hAnsi="仿宋_GB2312" w:cs="仿宋_GB2312" w:eastAsia="仿宋_GB2312"/>
                      <w:sz w:val="20"/>
                    </w:rPr>
                    <w:t>V2X技术的基础概念、应用场景</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469"/>
                  <w:vMerge/>
                  <w:tcBorders>
                    <w:top w:val="none" w:color="000000" w:sz="4"/>
                    <w:left w:val="single" w:color="000000" w:sz="4"/>
                    <w:bottom w:val="single" w:color="000000" w:sz="4"/>
                    <w:right w:val="single" w:color="000000" w:sz="4"/>
                  </w:tcBorders>
                </w:tcP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数据云平台的应用</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智能网联新能源汽车大数据的特征、数据云平台的应用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469"/>
                  <w:vMerge/>
                  <w:tcBorders>
                    <w:top w:val="none" w:color="000000" w:sz="4"/>
                    <w:left w:val="single" w:color="000000" w:sz="4"/>
                    <w:bottom w:val="single" w:color="000000" w:sz="4"/>
                    <w:right w:val="single" w:color="000000" w:sz="4"/>
                  </w:tcBorders>
                </w:tcP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信息安全概述</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信息安全的技术概念、防范重点、预防措施</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469"/>
                  <w:vMerge/>
                  <w:tcBorders>
                    <w:top w:val="none" w:color="000000" w:sz="4"/>
                    <w:left w:val="single" w:color="000000" w:sz="4"/>
                    <w:bottom w:val="single" w:color="000000" w:sz="4"/>
                    <w:right w:val="single" w:color="000000" w:sz="4"/>
                  </w:tcBorders>
                </w:tcP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信息安全相关法规</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信息安全技术领域涉及的国家相关法律法规</w:t>
                  </w:r>
                </w:p>
              </w:tc>
            </w:tr>
          </w:tbl>
          <w:p>
            <w:pPr>
              <w:pStyle w:val="null3"/>
              <w:jc w:val="left"/>
            </w:pPr>
            <w:r>
              <w:rPr>
                <w:rFonts w:ascii="仿宋_GB2312" w:hAnsi="仿宋_GB2312" w:cs="仿宋_GB2312" w:eastAsia="仿宋_GB2312"/>
                <w:sz w:val="20"/>
                <w:b/>
                <w:color w:val="000000"/>
              </w:rPr>
              <w:t>五、《汽车线控技术》</w:t>
            </w:r>
          </w:p>
          <w:p>
            <w:pPr>
              <w:pStyle w:val="null3"/>
              <w:ind w:firstLine="400"/>
              <w:jc w:val="left"/>
            </w:pPr>
            <w:r>
              <w:rPr>
                <w:rFonts w:ascii="仿宋_GB2312" w:hAnsi="仿宋_GB2312" w:cs="仿宋_GB2312" w:eastAsia="仿宋_GB2312"/>
                <w:sz w:val="20"/>
                <w:color w:val="000000"/>
              </w:rPr>
              <w:t>（一）《汽车线控技术》课程录制</w:t>
            </w:r>
            <w:r>
              <w:rPr>
                <w:rFonts w:ascii="仿宋_GB2312" w:hAnsi="仿宋_GB2312" w:cs="仿宋_GB2312" w:eastAsia="仿宋_GB2312"/>
                <w:sz w:val="20"/>
                <w:color w:val="000000"/>
              </w:rPr>
              <w:t>55个微课</w:t>
            </w:r>
          </w:p>
          <w:tbl>
            <w:tblPr>
              <w:tblBorders>
                <w:top w:val="none" w:color="000000" w:sz="4"/>
                <w:left w:val="none" w:color="000000" w:sz="4"/>
                <w:bottom w:val="none" w:color="000000" w:sz="4"/>
                <w:right w:val="none" w:color="000000" w:sz="4"/>
                <w:insideH w:val="none"/>
                <w:insideV w:val="none"/>
              </w:tblBorders>
            </w:tblPr>
            <w:tblGrid>
              <w:gridCol w:w="233"/>
              <w:gridCol w:w="740"/>
              <w:gridCol w:w="888"/>
              <w:gridCol w:w="951"/>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序号</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学习情景</w:t>
                  </w:r>
                </w:p>
              </w:tc>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节名</w:t>
                  </w:r>
                </w:p>
              </w:tc>
              <w:tc>
                <w:tcPr>
                  <w:tcW w:type="dxa" w:w="9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知识</w:t>
                  </w:r>
                  <w:r>
                    <w:rPr>
                      <w:rFonts w:ascii="仿宋_GB2312" w:hAnsi="仿宋_GB2312" w:cs="仿宋_GB2312" w:eastAsia="仿宋_GB2312"/>
                      <w:sz w:val="20"/>
                      <w:b/>
                    </w:rPr>
                    <w:t>（技能）</w:t>
                  </w:r>
                  <w:r>
                    <w:rPr>
                      <w:rFonts w:ascii="仿宋_GB2312" w:hAnsi="仿宋_GB2312" w:cs="仿宋_GB2312" w:eastAsia="仿宋_GB2312"/>
                      <w:sz w:val="20"/>
                      <w:b/>
                    </w:rPr>
                    <w:t>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w:t>
                  </w:r>
                  <w:r>
                    <w:rPr>
                      <w:rFonts w:ascii="仿宋_GB2312" w:hAnsi="仿宋_GB2312" w:cs="仿宋_GB2312" w:eastAsia="仿宋_GB2312"/>
                      <w:sz w:val="20"/>
                    </w:rPr>
                    <w:t>系统认知</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w:t>
                  </w:r>
                  <w:r>
                    <w:rPr>
                      <w:rFonts w:ascii="仿宋_GB2312" w:hAnsi="仿宋_GB2312" w:cs="仿宋_GB2312" w:eastAsia="仿宋_GB2312"/>
                      <w:sz w:val="20"/>
                    </w:rPr>
                    <w:t>线控系统发展</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国内外汽车底盘线控系统的发展现状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40"/>
                  <w:vMerge/>
                  <w:tcBorders>
                    <w:top w:val="none" w:color="000000" w:sz="4"/>
                    <w:left w:val="single" w:color="000000" w:sz="4"/>
                    <w:bottom w:val="single" w:color="000000" w:sz="4"/>
                    <w:right w:val="single" w:color="000000" w:sz="4"/>
                  </w:tcBorders>
                </w:tcPr>
                <w:p/>
              </w:tc>
              <w:tc>
                <w:tcPr>
                  <w:tcW w:type="dxa" w:w="8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w:t>
                  </w:r>
                  <w:r>
                    <w:rPr>
                      <w:rFonts w:ascii="仿宋_GB2312" w:hAnsi="仿宋_GB2312" w:cs="仿宋_GB2312" w:eastAsia="仿宋_GB2312"/>
                      <w:sz w:val="20"/>
                    </w:rPr>
                    <w:t>线控系统</w:t>
                  </w:r>
                  <w:r>
                    <w:rPr>
                      <w:rFonts w:ascii="仿宋_GB2312" w:hAnsi="仿宋_GB2312" w:cs="仿宋_GB2312" w:eastAsia="仿宋_GB2312"/>
                      <w:sz w:val="20"/>
                    </w:rPr>
                    <w:t>认知</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汽车线控系统功能、基本组成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汽车线控系统工作原理、特点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汽车线控系统</w:t>
                  </w:r>
                  <w:r>
                    <w:rPr>
                      <w:rFonts w:ascii="仿宋_GB2312" w:hAnsi="仿宋_GB2312" w:cs="仿宋_GB2312" w:eastAsia="仿宋_GB2312"/>
                      <w:sz w:val="20"/>
                    </w:rPr>
                    <w:t>CAN总线组成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CAN总线网络通信原理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CAN总线数据格式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CAN分析仪介绍与使用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w:t>
                  </w:r>
                  <w:r>
                    <w:rPr>
                      <w:rFonts w:ascii="仿宋_GB2312" w:hAnsi="仿宋_GB2312" w:cs="仿宋_GB2312" w:eastAsia="仿宋_GB2312"/>
                      <w:sz w:val="20"/>
                    </w:rPr>
                    <w:t>驱动</w:t>
                  </w:r>
                  <w:r>
                    <w:rPr>
                      <w:rFonts w:ascii="仿宋_GB2312" w:hAnsi="仿宋_GB2312" w:cs="仿宋_GB2312" w:eastAsia="仿宋_GB2312"/>
                      <w:sz w:val="20"/>
                    </w:rPr>
                    <w:t>系统</w:t>
                  </w:r>
                </w:p>
              </w:tc>
              <w:tc>
                <w:tcPr>
                  <w:tcW w:type="dxa" w:w="8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汽车线控驱动系统</w:t>
                  </w:r>
                  <w:r>
                    <w:rPr>
                      <w:rFonts w:ascii="仿宋_GB2312" w:hAnsi="仿宋_GB2312" w:cs="仿宋_GB2312" w:eastAsia="仿宋_GB2312"/>
                      <w:sz w:val="20"/>
                    </w:rPr>
                    <w:t>认知</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线控驱动系统结构与工作原理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线控油门系统结构与工作原理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线控换挡系统结构与工作原理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线控驱动电机及控制器结构与工作原理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线控油门系统单踏板模式介绍</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线控驱动系统拆装</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740"/>
                  <w:vMerge/>
                  <w:tcBorders>
                    <w:top w:val="none" w:color="000000" w:sz="4"/>
                    <w:left w:val="single" w:color="000000" w:sz="4"/>
                    <w:bottom w:val="single" w:color="000000" w:sz="4"/>
                    <w:right w:val="single" w:color="000000" w:sz="4"/>
                  </w:tcBorders>
                </w:tcPr>
                <w:p/>
              </w:tc>
              <w:tc>
                <w:tcPr>
                  <w:tcW w:type="dxa" w:w="8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汽车线控驱动系统</w:t>
                  </w:r>
                  <w:r>
                    <w:rPr>
                      <w:rFonts w:ascii="仿宋_GB2312" w:hAnsi="仿宋_GB2312" w:cs="仿宋_GB2312" w:eastAsia="仿宋_GB2312"/>
                      <w:sz w:val="20"/>
                    </w:rPr>
                    <w:t>调试</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线控驱动系统通信原理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线控驱动系统调试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740"/>
                  <w:vMerge/>
                  <w:tcBorders>
                    <w:top w:val="none" w:color="000000" w:sz="4"/>
                    <w:left w:val="single" w:color="000000" w:sz="4"/>
                    <w:bottom w:val="single" w:color="000000" w:sz="4"/>
                    <w:right w:val="single" w:color="000000" w:sz="4"/>
                  </w:tcBorders>
                </w:tcPr>
                <w:p/>
              </w:tc>
              <w:tc>
                <w:tcPr>
                  <w:tcW w:type="dxa" w:w="8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汽车线控驱动系统故障检修</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线控驱动系统电路图分析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线控驱动系统部件插接器针脚介绍</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线控驱动系统</w:t>
                  </w:r>
                  <w:r>
                    <w:rPr>
                      <w:rFonts w:ascii="仿宋_GB2312" w:hAnsi="仿宋_GB2312" w:cs="仿宋_GB2312" w:eastAsia="仿宋_GB2312"/>
                      <w:sz w:val="20"/>
                    </w:rPr>
                    <w:t>CAN 通信故障检修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整车控制器</w:t>
                  </w:r>
                  <w:r>
                    <w:rPr>
                      <w:rFonts w:ascii="仿宋_GB2312" w:hAnsi="仿宋_GB2312" w:cs="仿宋_GB2312" w:eastAsia="仿宋_GB2312"/>
                      <w:sz w:val="20"/>
                    </w:rPr>
                    <w:t>CAN 通信故障检修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线控驱动电机温度传感器故障检修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7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w:t>
                  </w:r>
                  <w:r>
                    <w:rPr>
                      <w:rFonts w:ascii="仿宋_GB2312" w:hAnsi="仿宋_GB2312" w:cs="仿宋_GB2312" w:eastAsia="仿宋_GB2312"/>
                      <w:sz w:val="20"/>
                    </w:rPr>
                    <w:t>制动</w:t>
                  </w:r>
                  <w:r>
                    <w:rPr>
                      <w:rFonts w:ascii="仿宋_GB2312" w:hAnsi="仿宋_GB2312" w:cs="仿宋_GB2312" w:eastAsia="仿宋_GB2312"/>
                      <w:sz w:val="20"/>
                    </w:rPr>
                    <w:t>系统</w:t>
                  </w:r>
                </w:p>
              </w:tc>
              <w:tc>
                <w:tcPr>
                  <w:tcW w:type="dxa" w:w="8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w:t>
                  </w:r>
                  <w:r>
                    <w:rPr>
                      <w:rFonts w:ascii="仿宋_GB2312" w:hAnsi="仿宋_GB2312" w:cs="仿宋_GB2312" w:eastAsia="仿宋_GB2312"/>
                      <w:sz w:val="20"/>
                    </w:rPr>
                    <w:t>制动</w:t>
                  </w:r>
                  <w:r>
                    <w:rPr>
                      <w:rFonts w:ascii="仿宋_GB2312" w:hAnsi="仿宋_GB2312" w:cs="仿宋_GB2312" w:eastAsia="仿宋_GB2312"/>
                      <w:sz w:val="20"/>
                    </w:rPr>
                    <w:t>系统</w:t>
                  </w:r>
                  <w:r>
                    <w:rPr>
                      <w:rFonts w:ascii="仿宋_GB2312" w:hAnsi="仿宋_GB2312" w:cs="仿宋_GB2312" w:eastAsia="仿宋_GB2312"/>
                      <w:sz w:val="20"/>
                    </w:rPr>
                    <w:t>认知</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线控制动系统功能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线控制动系统结构与工作原理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典型线控制动系统应用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线控制动系统发展趋势</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线控制动系统拆装</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基于</w:t>
                  </w:r>
                  <w:r>
                    <w:rPr>
                      <w:rFonts w:ascii="仿宋_GB2312" w:hAnsi="仿宋_GB2312" w:cs="仿宋_GB2312" w:eastAsia="仿宋_GB2312"/>
                      <w:sz w:val="20"/>
                    </w:rPr>
                    <w:t>ESC系统的线控制动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电子液压制动系统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电子机械制动系统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740"/>
                  <w:vMerge/>
                  <w:tcBorders>
                    <w:top w:val="none" w:color="000000" w:sz="4"/>
                    <w:left w:val="single" w:color="000000" w:sz="4"/>
                    <w:bottom w:val="single" w:color="000000" w:sz="4"/>
                    <w:right w:val="single" w:color="000000" w:sz="4"/>
                  </w:tcBorders>
                </w:tcPr>
                <w:p/>
              </w:tc>
              <w:tc>
                <w:tcPr>
                  <w:tcW w:type="dxa" w:w="8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w:t>
                  </w:r>
                  <w:r>
                    <w:rPr>
                      <w:rFonts w:ascii="仿宋_GB2312" w:hAnsi="仿宋_GB2312" w:cs="仿宋_GB2312" w:eastAsia="仿宋_GB2312"/>
                      <w:sz w:val="20"/>
                    </w:rPr>
                    <w:t>制动</w:t>
                  </w:r>
                  <w:r>
                    <w:rPr>
                      <w:rFonts w:ascii="仿宋_GB2312" w:hAnsi="仿宋_GB2312" w:cs="仿宋_GB2312" w:eastAsia="仿宋_GB2312"/>
                      <w:sz w:val="20"/>
                    </w:rPr>
                    <w:t>系统</w:t>
                  </w:r>
                  <w:r>
                    <w:rPr>
                      <w:rFonts w:ascii="仿宋_GB2312" w:hAnsi="仿宋_GB2312" w:cs="仿宋_GB2312" w:eastAsia="仿宋_GB2312"/>
                      <w:sz w:val="20"/>
                    </w:rPr>
                    <w:t>调试</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线控制动系统通讯原理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线控制动系统调试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740"/>
                  <w:vMerge/>
                  <w:tcBorders>
                    <w:top w:val="none" w:color="000000" w:sz="4"/>
                    <w:left w:val="single" w:color="000000" w:sz="4"/>
                    <w:bottom w:val="single" w:color="000000" w:sz="4"/>
                    <w:right w:val="single" w:color="000000" w:sz="4"/>
                  </w:tcBorders>
                </w:tcPr>
                <w:p/>
              </w:tc>
              <w:tc>
                <w:tcPr>
                  <w:tcW w:type="dxa" w:w="8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w:t>
                  </w:r>
                  <w:r>
                    <w:rPr>
                      <w:rFonts w:ascii="仿宋_GB2312" w:hAnsi="仿宋_GB2312" w:cs="仿宋_GB2312" w:eastAsia="仿宋_GB2312"/>
                      <w:sz w:val="20"/>
                    </w:rPr>
                    <w:t>制动</w:t>
                  </w:r>
                  <w:r>
                    <w:rPr>
                      <w:rFonts w:ascii="仿宋_GB2312" w:hAnsi="仿宋_GB2312" w:cs="仿宋_GB2312" w:eastAsia="仿宋_GB2312"/>
                      <w:sz w:val="20"/>
                    </w:rPr>
                    <w:t>系统故障检修</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线控制动系统关键技术</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线控制动系统电路图分析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线控制动系统部件插接器针脚介绍</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线控制动系统供电电源故障检修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线控制动系统</w:t>
                  </w:r>
                  <w:r>
                    <w:rPr>
                      <w:rFonts w:ascii="仿宋_GB2312" w:hAnsi="仿宋_GB2312" w:cs="仿宋_GB2312" w:eastAsia="仿宋_GB2312"/>
                      <w:sz w:val="20"/>
                    </w:rPr>
                    <w:t>CAN 通信故障检修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线控制动系统旋变编码器故障检修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7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w:t>
                  </w:r>
                  <w:r>
                    <w:rPr>
                      <w:rFonts w:ascii="仿宋_GB2312" w:hAnsi="仿宋_GB2312" w:cs="仿宋_GB2312" w:eastAsia="仿宋_GB2312"/>
                      <w:sz w:val="20"/>
                    </w:rPr>
                    <w:t>转向</w:t>
                  </w:r>
                  <w:r>
                    <w:rPr>
                      <w:rFonts w:ascii="仿宋_GB2312" w:hAnsi="仿宋_GB2312" w:cs="仿宋_GB2312" w:eastAsia="仿宋_GB2312"/>
                      <w:sz w:val="20"/>
                    </w:rPr>
                    <w:t>系统</w:t>
                  </w:r>
                </w:p>
              </w:tc>
              <w:tc>
                <w:tcPr>
                  <w:tcW w:type="dxa" w:w="8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w:t>
                  </w:r>
                  <w:r>
                    <w:rPr>
                      <w:rFonts w:ascii="仿宋_GB2312" w:hAnsi="仿宋_GB2312" w:cs="仿宋_GB2312" w:eastAsia="仿宋_GB2312"/>
                      <w:sz w:val="20"/>
                    </w:rPr>
                    <w:t>转向</w:t>
                  </w:r>
                  <w:r>
                    <w:rPr>
                      <w:rFonts w:ascii="仿宋_GB2312" w:hAnsi="仿宋_GB2312" w:cs="仿宋_GB2312" w:eastAsia="仿宋_GB2312"/>
                      <w:sz w:val="20"/>
                    </w:rPr>
                    <w:t>系统</w:t>
                  </w:r>
                  <w:r>
                    <w:rPr>
                      <w:rFonts w:ascii="仿宋_GB2312" w:hAnsi="仿宋_GB2312" w:cs="仿宋_GB2312" w:eastAsia="仿宋_GB2312"/>
                      <w:sz w:val="20"/>
                    </w:rPr>
                    <w:t>认知</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线控转向系统功能与分类</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线控转向系统结构与工作原理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线控转向系统特点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线控转向系统典型车型应用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线控四轮转向系统介绍</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线控转向系统拆装</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740"/>
                  <w:vMerge/>
                  <w:tcBorders>
                    <w:top w:val="none" w:color="000000" w:sz="4"/>
                    <w:left w:val="single" w:color="000000" w:sz="4"/>
                    <w:bottom w:val="single" w:color="000000" w:sz="4"/>
                    <w:right w:val="single" w:color="000000" w:sz="4"/>
                  </w:tcBorders>
                </w:tcPr>
                <w:p/>
              </w:tc>
              <w:tc>
                <w:tcPr>
                  <w:tcW w:type="dxa" w:w="8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w:t>
                  </w:r>
                  <w:r>
                    <w:rPr>
                      <w:rFonts w:ascii="仿宋_GB2312" w:hAnsi="仿宋_GB2312" w:cs="仿宋_GB2312" w:eastAsia="仿宋_GB2312"/>
                      <w:sz w:val="20"/>
                    </w:rPr>
                    <w:t>转向</w:t>
                  </w:r>
                  <w:r>
                    <w:rPr>
                      <w:rFonts w:ascii="仿宋_GB2312" w:hAnsi="仿宋_GB2312" w:cs="仿宋_GB2312" w:eastAsia="仿宋_GB2312"/>
                      <w:sz w:val="20"/>
                    </w:rPr>
                    <w:t>系统</w:t>
                  </w:r>
                  <w:r>
                    <w:rPr>
                      <w:rFonts w:ascii="仿宋_GB2312" w:hAnsi="仿宋_GB2312" w:cs="仿宋_GB2312" w:eastAsia="仿宋_GB2312"/>
                      <w:sz w:val="20"/>
                    </w:rPr>
                    <w:t>调试</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线控转向系统通讯原理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线控转向系统通讯调试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740"/>
                  <w:vMerge/>
                  <w:tcBorders>
                    <w:top w:val="none" w:color="000000" w:sz="4"/>
                    <w:left w:val="single" w:color="000000" w:sz="4"/>
                    <w:bottom w:val="single" w:color="000000" w:sz="4"/>
                    <w:right w:val="single" w:color="000000" w:sz="4"/>
                  </w:tcBorders>
                </w:tcPr>
                <w:p/>
              </w:tc>
              <w:tc>
                <w:tcPr>
                  <w:tcW w:type="dxa" w:w="8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w:t>
                  </w:r>
                  <w:r>
                    <w:rPr>
                      <w:rFonts w:ascii="仿宋_GB2312" w:hAnsi="仿宋_GB2312" w:cs="仿宋_GB2312" w:eastAsia="仿宋_GB2312"/>
                      <w:sz w:val="20"/>
                    </w:rPr>
                    <w:t>转向</w:t>
                  </w:r>
                  <w:r>
                    <w:rPr>
                      <w:rFonts w:ascii="仿宋_GB2312" w:hAnsi="仿宋_GB2312" w:cs="仿宋_GB2312" w:eastAsia="仿宋_GB2312"/>
                      <w:sz w:val="20"/>
                    </w:rPr>
                    <w:t>系统故障检修</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线控转向系统关键技术</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线控转向系统电路图分析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线控转向系统部件插接器针脚介绍</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线控转向系统供电电源故障检修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线控转向系统</w:t>
                  </w:r>
                  <w:r>
                    <w:rPr>
                      <w:rFonts w:ascii="仿宋_GB2312" w:hAnsi="仿宋_GB2312" w:cs="仿宋_GB2312" w:eastAsia="仿宋_GB2312"/>
                      <w:sz w:val="20"/>
                    </w:rPr>
                    <w:t>CAN 通信故障检修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线控转向系统转矩转角传感器故障检修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7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w:t>
                  </w:r>
                  <w:r>
                    <w:rPr>
                      <w:rFonts w:ascii="仿宋_GB2312" w:hAnsi="仿宋_GB2312" w:cs="仿宋_GB2312" w:eastAsia="仿宋_GB2312"/>
                      <w:sz w:val="20"/>
                    </w:rPr>
                    <w:t>悬架</w:t>
                  </w:r>
                  <w:r>
                    <w:rPr>
                      <w:rFonts w:ascii="仿宋_GB2312" w:hAnsi="仿宋_GB2312" w:cs="仿宋_GB2312" w:eastAsia="仿宋_GB2312"/>
                      <w:sz w:val="20"/>
                    </w:rPr>
                    <w:t>系统</w:t>
                  </w:r>
                </w:p>
              </w:tc>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w:t>
                  </w:r>
                  <w:r>
                    <w:rPr>
                      <w:rFonts w:ascii="仿宋_GB2312" w:hAnsi="仿宋_GB2312" w:cs="仿宋_GB2312" w:eastAsia="仿宋_GB2312"/>
                      <w:sz w:val="20"/>
                    </w:rPr>
                    <w:t>悬架</w:t>
                  </w:r>
                  <w:r>
                    <w:rPr>
                      <w:rFonts w:ascii="仿宋_GB2312" w:hAnsi="仿宋_GB2312" w:cs="仿宋_GB2312" w:eastAsia="仿宋_GB2312"/>
                      <w:sz w:val="20"/>
                    </w:rPr>
                    <w:t>系统</w:t>
                  </w:r>
                  <w:r>
                    <w:rPr>
                      <w:rFonts w:ascii="仿宋_GB2312" w:hAnsi="仿宋_GB2312" w:cs="仿宋_GB2312" w:eastAsia="仿宋_GB2312"/>
                      <w:sz w:val="20"/>
                    </w:rPr>
                    <w:t>认知</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线控悬架系统定义</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740"/>
                  <w:vMerge/>
                  <w:tcBorders>
                    <w:top w:val="none" w:color="000000" w:sz="4"/>
                    <w:left w:val="single" w:color="000000" w:sz="4"/>
                    <w:bottom w:val="single" w:color="000000" w:sz="4"/>
                    <w:right w:val="single" w:color="000000" w:sz="4"/>
                  </w:tcBorders>
                </w:tcPr>
                <w:p/>
              </w:tc>
              <w:tc>
                <w:tcPr>
                  <w:tcW w:type="dxa" w:w="8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w:t>
                  </w:r>
                  <w:r>
                    <w:rPr>
                      <w:rFonts w:ascii="仿宋_GB2312" w:hAnsi="仿宋_GB2312" w:cs="仿宋_GB2312" w:eastAsia="仿宋_GB2312"/>
                      <w:sz w:val="20"/>
                    </w:rPr>
                    <w:t>悬架</w:t>
                  </w:r>
                  <w:r>
                    <w:rPr>
                      <w:rFonts w:ascii="仿宋_GB2312" w:hAnsi="仿宋_GB2312" w:cs="仿宋_GB2312" w:eastAsia="仿宋_GB2312"/>
                      <w:sz w:val="20"/>
                    </w:rPr>
                    <w:t>系统</w:t>
                  </w:r>
                  <w:r>
                    <w:rPr>
                      <w:rFonts w:ascii="仿宋_GB2312" w:hAnsi="仿宋_GB2312" w:cs="仿宋_GB2312" w:eastAsia="仿宋_GB2312"/>
                      <w:sz w:val="20"/>
                    </w:rPr>
                    <w:t>分类与结构</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线控悬架系统分类</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线控悬架系统结构</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740"/>
                  <w:vMerge/>
                  <w:tcBorders>
                    <w:top w:val="none" w:color="000000" w:sz="4"/>
                    <w:left w:val="single" w:color="000000" w:sz="4"/>
                    <w:bottom w:val="single" w:color="000000" w:sz="4"/>
                    <w:right w:val="single" w:color="000000" w:sz="4"/>
                  </w:tcBorders>
                </w:tcPr>
                <w:p/>
              </w:tc>
              <w:tc>
                <w:tcPr>
                  <w:tcW w:type="dxa" w:w="8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线控悬架系统工作原理与特点</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线控悬架系统工作原理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740"/>
                  <w:vMerge/>
                  <w:tcBorders>
                    <w:top w:val="none" w:color="000000" w:sz="4"/>
                    <w:left w:val="single" w:color="000000" w:sz="4"/>
                    <w:bottom w:val="single" w:color="000000" w:sz="4"/>
                    <w:right w:val="single" w:color="000000" w:sz="4"/>
                  </w:tcBorders>
                </w:tcPr>
                <w:p/>
              </w:tc>
              <w:tc>
                <w:tcPr>
                  <w:tcW w:type="dxa" w:w="888"/>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线控悬架系统特点</w:t>
                  </w:r>
                </w:p>
              </w:tc>
            </w:tr>
          </w:tbl>
          <w:p>
            <w:pPr>
              <w:pStyle w:val="null3"/>
              <w:ind w:firstLine="400"/>
              <w:jc w:val="left"/>
            </w:pPr>
            <w:r>
              <w:rPr>
                <w:rFonts w:ascii="仿宋_GB2312" w:hAnsi="仿宋_GB2312" w:cs="仿宋_GB2312" w:eastAsia="仿宋_GB2312"/>
                <w:sz w:val="20"/>
              </w:rPr>
              <w:t>（二）《汽车线控技术》课程建设</w:t>
            </w:r>
            <w:r>
              <w:rPr>
                <w:rFonts w:ascii="仿宋_GB2312" w:hAnsi="仿宋_GB2312" w:cs="仿宋_GB2312" w:eastAsia="仿宋_GB2312"/>
                <w:sz w:val="20"/>
              </w:rPr>
              <w:t>20个参考资料资源</w:t>
            </w:r>
          </w:p>
          <w:tbl>
            <w:tblPr>
              <w:tblBorders>
                <w:top w:val="none" w:color="000000" w:sz="4"/>
                <w:left w:val="none" w:color="000000" w:sz="4"/>
                <w:bottom w:val="none" w:color="000000" w:sz="4"/>
                <w:right w:val="none" w:color="000000" w:sz="4"/>
                <w:insideH w:val="none"/>
                <w:insideV w:val="none"/>
              </w:tblBorders>
            </w:tblPr>
            <w:tblGrid>
              <w:gridCol w:w="339"/>
              <w:gridCol w:w="1650"/>
              <w:gridCol w:w="563"/>
            </w:tblGrid>
            <w:tr>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6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参考资料名称</w:t>
                  </w:r>
                </w:p>
              </w:tc>
              <w:tc>
                <w:tcPr>
                  <w:tcW w:type="dxa" w:w="5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类别</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《汽车线控技术》（高职规划教材）</w:t>
                  </w:r>
                </w:p>
              </w:tc>
              <w:tc>
                <w:tcPr>
                  <w:tcW w:type="dxa" w:w="5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基础教材类</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《智能网联汽车线控技术》（高职专用教材）</w:t>
                  </w:r>
                </w:p>
              </w:tc>
              <w:tc>
                <w:tcPr>
                  <w:tcW w:type="dxa" w:w="563"/>
                  <w:vMerge/>
                  <w:tcBorders>
                    <w:top w:val="none" w:color="000000" w:sz="4"/>
                    <w:left w:val="single" w:color="000000" w:sz="4"/>
                    <w:bottom w:val="single" w:color="000000" w:sz="4"/>
                    <w:right w:val="single" w:color="000000" w:sz="4"/>
                  </w:tcBorders>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《汽车线控系统核心部件原理与应用》</w:t>
                  </w:r>
                </w:p>
              </w:tc>
              <w:tc>
                <w:tcPr>
                  <w:tcW w:type="dxa" w:w="563"/>
                  <w:vMerge/>
                  <w:tcBorders>
                    <w:top w:val="none" w:color="000000" w:sz="4"/>
                    <w:left w:val="single" w:color="000000" w:sz="4"/>
                    <w:bottom w:val="single" w:color="000000" w:sz="4"/>
                    <w:right w:val="single" w:color="000000" w:sz="4"/>
                  </w:tcBorders>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《线控底盘实训指导书》</w:t>
                  </w:r>
                </w:p>
              </w:tc>
              <w:tc>
                <w:tcPr>
                  <w:tcW w:type="dxa" w:w="563"/>
                  <w:vMerge/>
                  <w:tcBorders>
                    <w:top w:val="none" w:color="000000" w:sz="4"/>
                    <w:left w:val="single" w:color="000000" w:sz="4"/>
                    <w:bottom w:val="single" w:color="000000" w:sz="4"/>
                    <w:right w:val="single" w:color="000000" w:sz="4"/>
                  </w:tcBorders>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《汽车线控技术配套习题集》</w:t>
                  </w:r>
                </w:p>
              </w:tc>
              <w:tc>
                <w:tcPr>
                  <w:tcW w:type="dxa" w:w="563"/>
                  <w:vMerge/>
                  <w:tcBorders>
                    <w:top w:val="none" w:color="000000" w:sz="4"/>
                    <w:left w:val="single" w:color="000000" w:sz="4"/>
                    <w:bottom w:val="single" w:color="000000" w:sz="4"/>
                    <w:right w:val="single" w:color="000000" w:sz="4"/>
                  </w:tcBorders>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《线控转向与制动系统教学案例集》</w:t>
                  </w:r>
                </w:p>
              </w:tc>
              <w:tc>
                <w:tcPr>
                  <w:tcW w:type="dxa" w:w="563"/>
                  <w:vMerge/>
                  <w:tcBorders>
                    <w:top w:val="none" w:color="000000" w:sz="4"/>
                    <w:left w:val="single" w:color="000000" w:sz="4"/>
                    <w:bottom w:val="single" w:color="000000" w:sz="4"/>
                    <w:right w:val="single" w:color="000000" w:sz="4"/>
                  </w:tcBorders>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《博世线控转向系统实操规范手册》</w:t>
                  </w:r>
                </w:p>
              </w:tc>
              <w:tc>
                <w:tcPr>
                  <w:tcW w:type="dxa" w:w="5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企业资源类</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《耐世特</w:t>
                  </w:r>
                  <w:r>
                    <w:rPr>
                      <w:rFonts w:ascii="仿宋_GB2312" w:hAnsi="仿宋_GB2312" w:cs="仿宋_GB2312" w:eastAsia="仿宋_GB2312"/>
                      <w:sz w:val="20"/>
                    </w:rPr>
                    <w:t>SBW 线控转向系统故障案例集》</w:t>
                  </w:r>
                </w:p>
              </w:tc>
              <w:tc>
                <w:tcPr>
                  <w:tcW w:type="dxa" w:w="563"/>
                  <w:vMerge/>
                  <w:tcBorders>
                    <w:top w:val="none" w:color="000000" w:sz="4"/>
                    <w:left w:val="single" w:color="000000" w:sz="4"/>
                    <w:bottom w:val="single" w:color="000000" w:sz="4"/>
                    <w:right w:val="single" w:color="000000" w:sz="4"/>
                  </w:tcBorders>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《智己线控数字底盘装配与调试技术文档》</w:t>
                  </w:r>
                </w:p>
              </w:tc>
              <w:tc>
                <w:tcPr>
                  <w:tcW w:type="dxa" w:w="563"/>
                  <w:vMerge/>
                  <w:tcBorders>
                    <w:top w:val="none" w:color="000000" w:sz="4"/>
                    <w:left w:val="single" w:color="000000" w:sz="4"/>
                    <w:bottom w:val="single" w:color="000000" w:sz="4"/>
                    <w:right w:val="single" w:color="000000" w:sz="4"/>
                  </w:tcBorders>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《南京线控机器人大负载场景应用横向课题报告》</w:t>
                  </w:r>
                </w:p>
              </w:tc>
              <w:tc>
                <w:tcPr>
                  <w:tcW w:type="dxa" w:w="563"/>
                  <w:vMerge/>
                  <w:tcBorders>
                    <w:top w:val="none" w:color="000000" w:sz="4"/>
                    <w:left w:val="single" w:color="000000" w:sz="4"/>
                    <w:bottom w:val="single" w:color="000000" w:sz="4"/>
                    <w:right w:val="single" w:color="000000" w:sz="4"/>
                  </w:tcBorders>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《新能源汽车线控驱动系统维护保养手册》</w:t>
                  </w:r>
                </w:p>
              </w:tc>
              <w:tc>
                <w:tcPr>
                  <w:tcW w:type="dxa" w:w="563"/>
                  <w:vMerge/>
                  <w:tcBorders>
                    <w:top w:val="none" w:color="000000" w:sz="4"/>
                    <w:left w:val="single" w:color="000000" w:sz="4"/>
                    <w:bottom w:val="single" w:color="000000" w:sz="4"/>
                    <w:right w:val="single" w:color="000000" w:sz="4"/>
                  </w:tcBorders>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《线控底盘</w:t>
                  </w:r>
                  <w:r>
                    <w:rPr>
                      <w:rFonts w:ascii="仿宋_GB2312" w:hAnsi="仿宋_GB2312" w:cs="仿宋_GB2312" w:eastAsia="仿宋_GB2312"/>
                      <w:sz w:val="20"/>
                    </w:rPr>
                    <w:t>ECU 故障诊断企业工单模板集》</w:t>
                  </w:r>
                </w:p>
              </w:tc>
              <w:tc>
                <w:tcPr>
                  <w:tcW w:type="dxa" w:w="563"/>
                  <w:vMerge/>
                  <w:tcBorders>
                    <w:top w:val="none" w:color="000000" w:sz="4"/>
                    <w:left w:val="single" w:color="000000" w:sz="4"/>
                    <w:bottom w:val="single" w:color="000000" w:sz="4"/>
                    <w:right w:val="single" w:color="000000" w:sz="4"/>
                  </w:tcBorders>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《汽车线控技术企业新员工岗前培训教材》</w:t>
                  </w:r>
                </w:p>
              </w:tc>
              <w:tc>
                <w:tcPr>
                  <w:tcW w:type="dxa" w:w="563"/>
                  <w:vMerge/>
                  <w:tcBorders>
                    <w:top w:val="none" w:color="000000" w:sz="4"/>
                    <w:left w:val="single" w:color="000000" w:sz="4"/>
                    <w:bottom w:val="single" w:color="000000" w:sz="4"/>
                    <w:right w:val="single" w:color="000000" w:sz="4"/>
                  </w:tcBorders>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《线控转向系统技术要求》（行业标准）</w:t>
                  </w:r>
                </w:p>
              </w:tc>
              <w:tc>
                <w:tcPr>
                  <w:tcW w:type="dxa" w:w="5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行业标准类</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《汽车转向系</w:t>
                  </w:r>
                  <w:r>
                    <w:rPr>
                      <w:rFonts w:ascii="仿宋_GB2312" w:hAnsi="仿宋_GB2312" w:cs="仿宋_GB2312" w:eastAsia="仿宋_GB2312"/>
                      <w:sz w:val="20"/>
                    </w:rPr>
                    <w:t>GB 17675-2021》（国家标准）</w:t>
                  </w:r>
                </w:p>
              </w:tc>
              <w:tc>
                <w:tcPr>
                  <w:tcW w:type="dxa" w:w="563"/>
                  <w:vMerge/>
                  <w:tcBorders>
                    <w:top w:val="none" w:color="000000" w:sz="4"/>
                    <w:left w:val="single" w:color="000000" w:sz="4"/>
                    <w:bottom w:val="single" w:color="000000" w:sz="4"/>
                    <w:right w:val="single" w:color="000000" w:sz="4"/>
                  </w:tcBorders>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《电子液压制动系统（</w:t>
                  </w:r>
                  <w:r>
                    <w:rPr>
                      <w:rFonts w:ascii="仿宋_GB2312" w:hAnsi="仿宋_GB2312" w:cs="仿宋_GB2312" w:eastAsia="仿宋_GB2312"/>
                      <w:sz w:val="20"/>
                    </w:rPr>
                    <w:t>EHB）技术条件》（行业标准）</w:t>
                  </w:r>
                </w:p>
              </w:tc>
              <w:tc>
                <w:tcPr>
                  <w:tcW w:type="dxa" w:w="563"/>
                  <w:vMerge/>
                  <w:tcBorders>
                    <w:top w:val="none" w:color="000000" w:sz="4"/>
                    <w:left w:val="single" w:color="000000" w:sz="4"/>
                    <w:bottom w:val="single" w:color="000000" w:sz="4"/>
                    <w:right w:val="single" w:color="000000" w:sz="4"/>
                  </w:tcBorders>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《智能网联汽车线控底盘产业发展白皮书》</w:t>
                  </w:r>
                </w:p>
              </w:tc>
              <w:tc>
                <w:tcPr>
                  <w:tcW w:type="dxa" w:w="5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扩展前沿类</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《线控转向技术落地应用与趋势报告》</w:t>
                  </w:r>
                </w:p>
              </w:tc>
              <w:tc>
                <w:tcPr>
                  <w:tcW w:type="dxa" w:w="563"/>
                  <w:vMerge/>
                  <w:tcBorders>
                    <w:top w:val="none" w:color="000000" w:sz="4"/>
                    <w:left w:val="single" w:color="000000" w:sz="4"/>
                    <w:bottom w:val="single" w:color="000000" w:sz="4"/>
                    <w:right w:val="single" w:color="000000" w:sz="4"/>
                  </w:tcBorders>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百度</w:t>
                  </w:r>
                  <w:r>
                    <w:rPr>
                      <w:rFonts w:ascii="仿宋_GB2312" w:hAnsi="仿宋_GB2312" w:cs="仿宋_GB2312" w:eastAsia="仿宋_GB2312"/>
                      <w:sz w:val="20"/>
                    </w:rPr>
                    <w:t>Apollo线控底盘技术公开课视频合集</w:t>
                  </w:r>
                </w:p>
              </w:tc>
              <w:tc>
                <w:tcPr>
                  <w:tcW w:type="dxa" w:w="563"/>
                  <w:vMerge/>
                  <w:tcBorders>
                    <w:top w:val="none" w:color="000000" w:sz="4"/>
                    <w:left w:val="single" w:color="000000" w:sz="4"/>
                    <w:bottom w:val="single" w:color="000000" w:sz="4"/>
                    <w:right w:val="single" w:color="000000" w:sz="4"/>
                  </w:tcBorders>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《线控底盘与高阶自动驾驶协同技术专题报告》</w:t>
                  </w:r>
                </w:p>
              </w:tc>
              <w:tc>
                <w:tcPr>
                  <w:tcW w:type="dxa" w:w="563"/>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20"/>
                <w:b/>
              </w:rPr>
              <w:t>六、</w:t>
            </w:r>
            <w:r>
              <w:rPr>
                <w:rFonts w:ascii="仿宋_GB2312" w:hAnsi="仿宋_GB2312" w:cs="仿宋_GB2312" w:eastAsia="仿宋_GB2312"/>
                <w:sz w:val="20"/>
                <w:b/>
              </w:rPr>
              <w:t>《新能源汽车动力蓄电池及管理技术》</w:t>
            </w:r>
          </w:p>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w:t>
            </w:r>
            <w:r>
              <w:rPr>
                <w:rFonts w:ascii="仿宋_GB2312" w:hAnsi="仿宋_GB2312" w:cs="仿宋_GB2312" w:eastAsia="仿宋_GB2312"/>
                <w:sz w:val="20"/>
              </w:rPr>
              <w:t>新能源汽车动力蓄电池及管理技术</w:t>
            </w:r>
            <w:r>
              <w:rPr>
                <w:rFonts w:ascii="仿宋_GB2312" w:hAnsi="仿宋_GB2312" w:cs="仿宋_GB2312" w:eastAsia="仿宋_GB2312"/>
                <w:sz w:val="20"/>
              </w:rPr>
              <w:t>》课程录制</w:t>
            </w:r>
            <w:r>
              <w:rPr>
                <w:rFonts w:ascii="仿宋_GB2312" w:hAnsi="仿宋_GB2312" w:cs="仿宋_GB2312" w:eastAsia="仿宋_GB2312"/>
                <w:sz w:val="20"/>
              </w:rPr>
              <w:t>56个微课</w:t>
            </w:r>
          </w:p>
          <w:tbl>
            <w:tblPr>
              <w:tblBorders>
                <w:top w:val="none" w:color="000000" w:sz="4"/>
                <w:left w:val="none" w:color="000000" w:sz="4"/>
                <w:bottom w:val="none" w:color="000000" w:sz="4"/>
                <w:right w:val="none" w:color="000000" w:sz="4"/>
                <w:insideH w:val="none"/>
                <w:insideV w:val="none"/>
              </w:tblBorders>
            </w:tblPr>
            <w:tblGrid>
              <w:gridCol w:w="282"/>
              <w:gridCol w:w="498"/>
              <w:gridCol w:w="768"/>
              <w:gridCol w:w="944"/>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学习情景</w:t>
                  </w:r>
                </w:p>
              </w:tc>
              <w:tc>
                <w:tcPr>
                  <w:tcW w:type="dxa" w:w="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节名</w:t>
                  </w:r>
                </w:p>
              </w:tc>
              <w:tc>
                <w:tcPr>
                  <w:tcW w:type="dxa" w:w="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知识（技能）点</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项目一</w:t>
                  </w:r>
                  <w:r>
                    <w:rPr>
                      <w:rFonts w:ascii="仿宋_GB2312" w:hAnsi="仿宋_GB2312" w:cs="仿宋_GB2312" w:eastAsia="仿宋_GB2312"/>
                      <w:sz w:val="20"/>
                    </w:rPr>
                    <w:t>新能源汽车作业安全与准备</w:t>
                  </w:r>
                </w:p>
              </w:tc>
              <w:tc>
                <w:tcPr>
                  <w:tcW w:type="dxa" w:w="7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1.维修作业安全规范和注意事项</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1.高压基础知识和高压触电危害</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2.常用维修、检测工具和仪器</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98"/>
                  <w:vMerge/>
                  <w:tcBorders>
                    <w:top w:val="none" w:color="000000" w:sz="4"/>
                    <w:left w:val="single" w:color="000000" w:sz="4"/>
                    <w:bottom w:val="single" w:color="000000" w:sz="4"/>
                    <w:right w:val="single" w:color="000000" w:sz="4"/>
                  </w:tcBorders>
                </w:tcPr>
                <w:p/>
              </w:tc>
              <w:tc>
                <w:tcPr>
                  <w:tcW w:type="dxa" w:w="7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2.新能源汽车维修工具、仪器的正确检查与使用</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3.维修作业安全规范和注意事项</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4.新能源汽车维修工具、仪器的正确检查与使用</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r>
                    <w:rPr>
                      <w:rFonts w:ascii="仿宋_GB2312" w:hAnsi="仿宋_GB2312" w:cs="仿宋_GB2312" w:eastAsia="仿宋_GB2312"/>
                      <w:sz w:val="20"/>
                    </w:rPr>
                    <w:t>新能源汽车对动力电池的性能要求</w:t>
                  </w:r>
                </w:p>
              </w:tc>
              <w:tc>
                <w:tcPr>
                  <w:tcW w:type="dxa" w:w="7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1.动力电池发展趋势</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1.新能源汽车的发展现状</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2.动力电池的发展现状与目标</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98"/>
                  <w:vMerge/>
                  <w:tcBorders>
                    <w:top w:val="none" w:color="000000" w:sz="4"/>
                    <w:left w:val="single" w:color="000000" w:sz="4"/>
                    <w:bottom w:val="single" w:color="000000" w:sz="4"/>
                    <w:right w:val="single" w:color="000000" w:sz="4"/>
                  </w:tcBorders>
                </w:tcPr>
                <w:p/>
              </w:tc>
              <w:tc>
                <w:tcPr>
                  <w:tcW w:type="dxa" w:w="7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2.新能源汽车对动力电池性能要求及相关参数</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3.动力电池的性能指标</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4.新能源汽车对动力电池的要求</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r>
                    <w:rPr>
                      <w:rFonts w:ascii="仿宋_GB2312" w:hAnsi="仿宋_GB2312" w:cs="仿宋_GB2312" w:eastAsia="仿宋_GB2312"/>
                      <w:sz w:val="20"/>
                    </w:rPr>
                    <w:t>新能源汽车电池认知与检修</w:t>
                  </w:r>
                </w:p>
              </w:tc>
              <w:tc>
                <w:tcPr>
                  <w:tcW w:type="dxa" w:w="7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1.新能源汽车动力电池结构与组成</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1.动力电池系统的作用、组成及结构</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2.动力蓄电池箱结构与认知</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3.比亚迪秦EV动力蓄电池结构认知</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4.吉利EV450动力蓄电池结构认知</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5.动力蓄电池信息采集器作用</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98"/>
                  <w:vMerge/>
                  <w:tcBorders>
                    <w:top w:val="none" w:color="000000" w:sz="4"/>
                    <w:left w:val="single" w:color="000000" w:sz="4"/>
                    <w:bottom w:val="single" w:color="000000" w:sz="4"/>
                    <w:right w:val="single" w:color="000000" w:sz="4"/>
                  </w:tcBorders>
                </w:tcPr>
                <w:p/>
              </w:tc>
              <w:tc>
                <w:tcPr>
                  <w:tcW w:type="dxa" w:w="7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2.常见单体蓄电池认知</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6.蓄电池辨识分类</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7.锂离子电池认知与检修</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8.铅酸蓄电池认知与检修</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9.镍氢电池认知</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10.燃料电池认知</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11.其他储能装置认知</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98"/>
                  <w:vMerge/>
                  <w:tcBorders>
                    <w:top w:val="none" w:color="000000" w:sz="4"/>
                    <w:left w:val="single" w:color="000000" w:sz="4"/>
                    <w:bottom w:val="single" w:color="000000" w:sz="4"/>
                    <w:right w:val="single" w:color="000000" w:sz="4"/>
                  </w:tcBorders>
                </w:tcPr>
                <w:p/>
              </w:tc>
              <w:tc>
                <w:tcPr>
                  <w:tcW w:type="dxa" w:w="7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3.新能源汽车动力电池模块认知与检测</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12.动力电池模块认知</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13.动力电池成组方式与优缺点</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98"/>
                  <w:vMerge/>
                  <w:tcBorders>
                    <w:top w:val="none" w:color="000000" w:sz="4"/>
                    <w:left w:val="single" w:color="000000" w:sz="4"/>
                    <w:bottom w:val="single" w:color="000000" w:sz="4"/>
                    <w:right w:val="single" w:color="000000" w:sz="4"/>
                  </w:tcBorders>
                </w:tcPr>
                <w:p/>
              </w:tc>
              <w:tc>
                <w:tcPr>
                  <w:tcW w:type="dxa" w:w="7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4.新能源汽车动力电池控制器认知检测</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14.动力电池控制器认知与工作原理</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15.新能源汽车动力电池控制器典型故障诊断--预充接触器故障检修</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98"/>
                  <w:vMerge/>
                  <w:tcBorders>
                    <w:top w:val="none" w:color="000000" w:sz="4"/>
                    <w:left w:val="single" w:color="000000" w:sz="4"/>
                    <w:bottom w:val="single" w:color="000000" w:sz="4"/>
                    <w:right w:val="single" w:color="000000" w:sz="4"/>
                  </w:tcBorders>
                </w:tcPr>
                <w:p/>
              </w:tc>
              <w:tc>
                <w:tcPr>
                  <w:tcW w:type="dxa" w:w="7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5.新能源汽车辅助电源认知与检测</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16.新能源汽车低压供电系统电源（12V电源系统）认知</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17.新能源汽车低压供电系统电源检修</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新能源汽车动力电池管理系统检修</w:t>
                  </w:r>
                </w:p>
              </w:tc>
              <w:tc>
                <w:tcPr>
                  <w:tcW w:type="dxa" w:w="7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1.新能源汽车动力电池管理系统认知</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1.电池管理系统功能、基本结构</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2.动力电池管理系统数据流读取</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98"/>
                  <w:vMerge/>
                  <w:tcBorders>
                    <w:top w:val="none" w:color="000000" w:sz="4"/>
                    <w:left w:val="single" w:color="000000" w:sz="4"/>
                    <w:bottom w:val="single" w:color="000000" w:sz="4"/>
                    <w:right w:val="single" w:color="000000" w:sz="4"/>
                  </w:tcBorders>
                </w:tcPr>
                <w:p/>
              </w:tc>
              <w:tc>
                <w:tcPr>
                  <w:tcW w:type="dxa" w:w="7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2.新能源汽车动力电池管理系统检修</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3.动力电池的电压、温度和电流采集；动力电池均衡管理</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4.动力电池通信网络架构；动力电池CAN总线故障检测</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5.动力电池上下电控制逻辑分析</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6.比亚迪秦EV动力电池上下电控制逻辑</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7.比亚迪秦EV动力电池常见故障案例分析</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8.比亚迪秦EV动力电池管理系统故障检修--CAN通讯故障检修</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98"/>
                  <w:vMerge/>
                  <w:tcBorders>
                    <w:top w:val="none" w:color="000000" w:sz="4"/>
                    <w:left w:val="single" w:color="000000" w:sz="4"/>
                    <w:bottom w:val="single" w:color="000000" w:sz="4"/>
                    <w:right w:val="single" w:color="000000" w:sz="4"/>
                  </w:tcBorders>
                </w:tcPr>
                <w:p/>
              </w:tc>
              <w:tc>
                <w:tcPr>
                  <w:tcW w:type="dxa" w:w="7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3.新能源汽车动力电池热管理系统认知与检修</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9.新能源汽车动力电池热管理系统概述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10.新能源汽车动力电池热管理系统控制原理与检修</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11.比亚迪秦EV动力电池热管理系统故障检修</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98"/>
                  <w:vMerge/>
                  <w:tcBorders>
                    <w:top w:val="none" w:color="000000" w:sz="4"/>
                    <w:left w:val="single" w:color="000000" w:sz="4"/>
                    <w:bottom w:val="single" w:color="000000" w:sz="4"/>
                    <w:right w:val="single" w:color="000000" w:sz="4"/>
                  </w:tcBorders>
                </w:tcPr>
                <w:p/>
              </w:tc>
              <w:tc>
                <w:tcPr>
                  <w:tcW w:type="dxa" w:w="7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4.新能源汽车高压系统认知与检测</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12.新能源汽车高压系统认知与检测</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13.新能源汽车绝缘系统原理与检修</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4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w:t>
                  </w:r>
                  <w:r>
                    <w:rPr>
                      <w:rFonts w:ascii="仿宋_GB2312" w:hAnsi="仿宋_GB2312" w:cs="仿宋_GB2312" w:eastAsia="仿宋_GB2312"/>
                      <w:sz w:val="20"/>
                    </w:rPr>
                    <w:t xml:space="preserve">  </w:t>
                  </w:r>
                  <w:r>
                    <w:rPr>
                      <w:rFonts w:ascii="仿宋_GB2312" w:hAnsi="仿宋_GB2312" w:cs="仿宋_GB2312" w:eastAsia="仿宋_GB2312"/>
                      <w:sz w:val="20"/>
                    </w:rPr>
                    <w:t>新能源汽车充电系统</w:t>
                  </w:r>
                </w:p>
              </w:tc>
              <w:tc>
                <w:tcPr>
                  <w:tcW w:type="dxa" w:w="7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1.充电系统的认知与使用</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1.汽车充电系统概述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2.慢充系统</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3.快充系统</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4.电动汽车常用充电方式的操作流程及注意事项</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5.充电设备的检查与维护</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498"/>
                  <w:vMerge/>
                  <w:tcBorders>
                    <w:top w:val="none" w:color="000000" w:sz="4"/>
                    <w:left w:val="single" w:color="000000" w:sz="4"/>
                    <w:bottom w:val="single" w:color="000000" w:sz="4"/>
                    <w:right w:val="single" w:color="000000" w:sz="4"/>
                  </w:tcBorders>
                </w:tcP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2.车载充电机的原理与检修</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6.车载充电机的原理与检修</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498"/>
                  <w:vMerge/>
                  <w:tcBorders>
                    <w:top w:val="none" w:color="000000" w:sz="4"/>
                    <w:left w:val="single" w:color="000000" w:sz="4"/>
                    <w:bottom w:val="single" w:color="000000" w:sz="4"/>
                    <w:right w:val="single" w:color="000000" w:sz="4"/>
                  </w:tcBorders>
                </w:tcP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3.DC/DC的原理与检测</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7.DC/DC的原理与检测</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498"/>
                  <w:vMerge/>
                  <w:tcBorders>
                    <w:top w:val="none" w:color="000000" w:sz="4"/>
                    <w:left w:val="single" w:color="000000" w:sz="4"/>
                    <w:bottom w:val="single" w:color="000000" w:sz="4"/>
                    <w:right w:val="single" w:color="000000" w:sz="4"/>
                  </w:tcBorders>
                </w:tcP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4.交流慢充系统故障检修</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8.慢充系统原理与检修</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498"/>
                  <w:vMerge/>
                  <w:tcBorders>
                    <w:top w:val="none" w:color="000000" w:sz="4"/>
                    <w:left w:val="single" w:color="000000" w:sz="4"/>
                    <w:bottom w:val="single" w:color="000000" w:sz="4"/>
                    <w:right w:val="single" w:color="000000" w:sz="4"/>
                  </w:tcBorders>
                </w:tcP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5.直流快充系统故障检修</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9.快充系统原理与检修</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498"/>
                  <w:vMerge/>
                  <w:tcBorders>
                    <w:top w:val="none" w:color="000000" w:sz="4"/>
                    <w:left w:val="single" w:color="000000" w:sz="4"/>
                    <w:bottom w:val="single" w:color="000000" w:sz="4"/>
                    <w:right w:val="single" w:color="000000" w:sz="4"/>
                  </w:tcBorders>
                </w:tcPr>
                <w:p/>
              </w:tc>
              <w:tc>
                <w:tcPr>
                  <w:tcW w:type="dxa" w:w="7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6.典型车型充电系统故障检修</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10.慢充系统故障检修--比亚迪秦EV车型CC故障诊断</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11.慢充系统故障检修--比亚迪秦EV车型CP故障诊断</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12.快充系统故障检修--吉利帝豪EV300车型CC故障诊断</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4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项目六</w:t>
                  </w:r>
                  <w:r>
                    <w:rPr>
                      <w:rFonts w:ascii="仿宋_GB2312" w:hAnsi="仿宋_GB2312" w:cs="仿宋_GB2312" w:eastAsia="仿宋_GB2312"/>
                      <w:sz w:val="20"/>
                    </w:rPr>
                    <w:t>动力电池的日常维护与梯次利用</w:t>
                  </w:r>
                </w:p>
              </w:tc>
              <w:tc>
                <w:tcPr>
                  <w:tcW w:type="dxa" w:w="7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1.动力电池日常维护</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1.动力电池日常维护的基础认知</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2.动力电池日常维护的基本流程</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3.动力电池日常维护的行业标准与实操案例</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498"/>
                  <w:vMerge/>
                  <w:tcBorders>
                    <w:top w:val="none" w:color="000000" w:sz="4"/>
                    <w:left w:val="single" w:color="000000" w:sz="4"/>
                    <w:bottom w:val="single" w:color="000000" w:sz="4"/>
                    <w:right w:val="single" w:color="000000" w:sz="4"/>
                  </w:tcBorders>
                </w:tcPr>
                <w:p/>
              </w:tc>
              <w:tc>
                <w:tcPr>
                  <w:tcW w:type="dxa" w:w="7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2.动力电池的梯次利用</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4.动力电池阶次利用的核心逻辑与市场定位</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5.动力电池回收拆解流程与政策规范</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498"/>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6.动力电池阶次利用的技术前沿与行业挑战</w:t>
                  </w:r>
                </w:p>
              </w:tc>
            </w:tr>
          </w:tbl>
          <w:p>
            <w:pPr>
              <w:pStyle w:val="null3"/>
              <w:jc w:val="both"/>
            </w:pPr>
            <w:r>
              <w:rPr>
                <w:rFonts w:ascii="仿宋_GB2312" w:hAnsi="仿宋_GB2312" w:cs="仿宋_GB2312" w:eastAsia="仿宋_GB2312"/>
                <w:sz w:val="20"/>
                <w:color w:val="000000"/>
              </w:rPr>
              <w:t>（二）</w:t>
            </w:r>
            <w:r>
              <w:rPr>
                <w:rFonts w:ascii="仿宋_GB2312" w:hAnsi="仿宋_GB2312" w:cs="仿宋_GB2312" w:eastAsia="仿宋_GB2312"/>
                <w:sz w:val="20"/>
              </w:rPr>
              <w:t>《</w:t>
            </w:r>
            <w:r>
              <w:rPr>
                <w:rFonts w:ascii="仿宋_GB2312" w:hAnsi="仿宋_GB2312" w:cs="仿宋_GB2312" w:eastAsia="仿宋_GB2312"/>
                <w:sz w:val="20"/>
              </w:rPr>
              <w:t>新能源汽车动力蓄电池及管理技术</w:t>
            </w:r>
            <w:r>
              <w:rPr>
                <w:rFonts w:ascii="仿宋_GB2312" w:hAnsi="仿宋_GB2312" w:cs="仿宋_GB2312" w:eastAsia="仿宋_GB2312"/>
                <w:sz w:val="20"/>
              </w:rPr>
              <w:t>》课程制作</w:t>
            </w:r>
            <w:r>
              <w:rPr>
                <w:rFonts w:ascii="仿宋_GB2312" w:hAnsi="仿宋_GB2312" w:cs="仿宋_GB2312" w:eastAsia="仿宋_GB2312"/>
                <w:sz w:val="20"/>
              </w:rPr>
              <w:t>5个动画</w:t>
            </w:r>
          </w:p>
          <w:tbl>
            <w:tblPr>
              <w:tblBorders>
                <w:top w:val="none" w:color="000000" w:sz="4"/>
                <w:left w:val="none" w:color="000000" w:sz="4"/>
                <w:bottom w:val="none" w:color="000000" w:sz="4"/>
                <w:right w:val="none" w:color="000000" w:sz="4"/>
                <w:insideH w:val="none"/>
                <w:insideV w:val="none"/>
              </w:tblBorders>
            </w:tblPr>
            <w:tblGrid>
              <w:gridCol w:w="638"/>
              <w:gridCol w:w="217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动画名称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电池的基本结构展示（展示某主流车型电池的内部结构，含冷却系统、高压回路、低压回路、动力电池模组成组方式等）</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锂电池的工作原理（锂离子充放电脱嵌与嵌入过程、典型锂电池工作原理：磷酸铁锂电池、三元锂电池等）</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动力电池的充放电原理（详细展示动力电池包与整车进行能量交换过程）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动力电池均衡原理（详细展示均衡的必要性、主动均衡和被动均衡过程以及原理）</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充电系统的工作原理（直流、交流充电原理）</w:t>
                  </w:r>
                </w:p>
              </w:tc>
            </w:tr>
          </w:tbl>
          <w:p>
            <w:pPr>
              <w:pStyle w:val="null3"/>
              <w:jc w:val="left"/>
            </w:pPr>
            <w:r>
              <w:rPr>
                <w:rFonts w:ascii="仿宋_GB2312" w:hAnsi="仿宋_GB2312" w:cs="仿宋_GB2312" w:eastAsia="仿宋_GB2312"/>
                <w:sz w:val="20"/>
                <w:b/>
              </w:rPr>
              <w:t>七、</w:t>
            </w:r>
            <w:r>
              <w:rPr>
                <w:rFonts w:ascii="仿宋_GB2312" w:hAnsi="仿宋_GB2312" w:cs="仿宋_GB2312" w:eastAsia="仿宋_GB2312"/>
                <w:sz w:val="20"/>
                <w:b/>
              </w:rPr>
              <w:t>《新能源汽车故障诊断技术》</w:t>
            </w:r>
          </w:p>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w:t>
            </w:r>
            <w:r>
              <w:rPr>
                <w:rFonts w:ascii="仿宋_GB2312" w:hAnsi="仿宋_GB2312" w:cs="仿宋_GB2312" w:eastAsia="仿宋_GB2312"/>
                <w:sz w:val="20"/>
              </w:rPr>
              <w:t>新能源汽车故障诊断技术</w:t>
            </w:r>
            <w:r>
              <w:rPr>
                <w:rFonts w:ascii="仿宋_GB2312" w:hAnsi="仿宋_GB2312" w:cs="仿宋_GB2312" w:eastAsia="仿宋_GB2312"/>
                <w:sz w:val="20"/>
              </w:rPr>
              <w:t>》课程录制</w:t>
            </w:r>
            <w:r>
              <w:rPr>
                <w:rFonts w:ascii="仿宋_GB2312" w:hAnsi="仿宋_GB2312" w:cs="仿宋_GB2312" w:eastAsia="仿宋_GB2312"/>
                <w:sz w:val="20"/>
              </w:rPr>
              <w:t>58个微课</w:t>
            </w:r>
          </w:p>
          <w:tbl>
            <w:tblPr>
              <w:tblBorders>
                <w:top w:val="none" w:color="000000" w:sz="4"/>
                <w:left w:val="none" w:color="000000" w:sz="4"/>
                <w:bottom w:val="none" w:color="000000" w:sz="4"/>
                <w:right w:val="none" w:color="000000" w:sz="4"/>
                <w:insideH w:val="none"/>
                <w:insideV w:val="none"/>
              </w:tblBorders>
            </w:tblPr>
            <w:tblGrid>
              <w:gridCol w:w="290"/>
              <w:gridCol w:w="511"/>
              <w:gridCol w:w="785"/>
              <w:gridCol w:w="966"/>
            </w:tblGrid>
            <w:tr>
              <w:tc>
                <w:tcPr>
                  <w:tcW w:type="dxa" w:w="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学习情景</w:t>
                  </w: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节名</w:t>
                  </w:r>
                </w:p>
              </w:tc>
              <w:tc>
                <w:tcPr>
                  <w:tcW w:type="dxa" w:w="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知识</w:t>
                  </w:r>
                  <w:r>
                    <w:rPr>
                      <w:rFonts w:ascii="仿宋_GB2312" w:hAnsi="仿宋_GB2312" w:cs="仿宋_GB2312" w:eastAsia="仿宋_GB2312"/>
                      <w:sz w:val="20"/>
                      <w:b/>
                    </w:rPr>
                    <w:t>（技能）</w:t>
                  </w:r>
                  <w:r>
                    <w:rPr>
                      <w:rFonts w:ascii="仿宋_GB2312" w:hAnsi="仿宋_GB2312" w:cs="仿宋_GB2312" w:eastAsia="仿宋_GB2312"/>
                      <w:sz w:val="20"/>
                      <w:b/>
                    </w:rPr>
                    <w:t>点</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维修准备工作与安全知识</w:t>
                  </w: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高压安全与应急处理</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新能源汽车高压电的基本概念</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新能源汽车高压电与人体伤害</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新能源汽车高压触电急救</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新能源汽车高压系统认知</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11"/>
                  <w:vMerge/>
                  <w:tcBorders>
                    <w:top w:val="none" w:color="000000" w:sz="4"/>
                    <w:left w:val="single" w:color="000000" w:sz="4"/>
                    <w:bottom w:val="single" w:color="000000" w:sz="4"/>
                    <w:right w:val="single" w:color="000000" w:sz="4"/>
                  </w:tcBorders>
                </w:tcP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安全防护与工具设备认知</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新能源汽车高压作业安全防护</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新能源汽车维修工具及使用方法</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新能源汽车故障诊断仪的使用</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新能源汽车整车控制系统故障诊断及检修</w:t>
                  </w: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1.低压不上电故障诊断与检修</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低压上电策略认知</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低压不上电故障诊断与检修－启动信号异常</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低压不上电故障诊断与检修</w:t>
                  </w:r>
                  <w:r>
                    <w:rPr>
                      <w:rFonts w:ascii="仿宋_GB2312" w:hAnsi="仿宋_GB2312" w:cs="仿宋_GB2312" w:eastAsia="仿宋_GB2312"/>
                      <w:sz w:val="20"/>
                    </w:rPr>
                    <w:t>-制动信号异常</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低压不上电故障诊断与检修</w:t>
                  </w:r>
                  <w:r>
                    <w:rPr>
                      <w:rFonts w:ascii="仿宋_GB2312" w:hAnsi="仿宋_GB2312" w:cs="仿宋_GB2312" w:eastAsia="仿宋_GB2312"/>
                      <w:sz w:val="20"/>
                    </w:rPr>
                    <w:t>-启动子网异常</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低压不上电故障诊断与检修</w:t>
                  </w:r>
                  <w:r>
                    <w:rPr>
                      <w:rFonts w:ascii="仿宋_GB2312" w:hAnsi="仿宋_GB2312" w:cs="仿宋_GB2312" w:eastAsia="仿宋_GB2312"/>
                      <w:sz w:val="20"/>
                    </w:rPr>
                    <w:t>--比亚迪秦EV启动子网异常故障检修</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11"/>
                  <w:vMerge/>
                  <w:tcBorders>
                    <w:top w:val="none" w:color="000000" w:sz="4"/>
                    <w:left w:val="single" w:color="000000" w:sz="4"/>
                    <w:bottom w:val="single" w:color="000000" w:sz="4"/>
                    <w:right w:val="single" w:color="000000" w:sz="4"/>
                  </w:tcBorders>
                </w:tcP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2.高压上电失败故障诊断与检修</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高压上下电策略认知</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高压上电失败故障诊断与检修</w:t>
                  </w:r>
                  <w:r>
                    <w:rPr>
                      <w:rFonts w:ascii="仿宋_GB2312" w:hAnsi="仿宋_GB2312" w:cs="仿宋_GB2312" w:eastAsia="仿宋_GB2312"/>
                      <w:sz w:val="20"/>
                    </w:rPr>
                    <w:t>-IG3继电器</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高压上电失败故障诊断与检修－整车控制系统故障</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高压上电失败故障诊断与检修－电池管理系统故障</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高压上电失败故障诊断与检修－预充、总正、总负接触器故障</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高压上电失败故障诊断与检修－高压互锁故障</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新能源汽车动力电池系统故障诊断与检修</w:t>
                  </w: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1.动力电池管理系统故障诊断与检修</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动力电池管理系统（</w:t>
                  </w:r>
                  <w:r>
                    <w:rPr>
                      <w:rFonts w:ascii="仿宋_GB2312" w:hAnsi="仿宋_GB2312" w:cs="仿宋_GB2312" w:eastAsia="仿宋_GB2312"/>
                      <w:sz w:val="20"/>
                    </w:rPr>
                    <w:t>BMS）的组成和功能</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动力电池管理系统故障诊断与检修</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11"/>
                  <w:vMerge/>
                  <w:tcBorders>
                    <w:top w:val="none" w:color="000000" w:sz="4"/>
                    <w:left w:val="single" w:color="000000" w:sz="4"/>
                    <w:bottom w:val="single" w:color="000000" w:sz="4"/>
                    <w:right w:val="single" w:color="000000" w:sz="4"/>
                  </w:tcBorders>
                </w:tcP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2.动力电池绝缘故障诊断与检修</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电池包拆卸和密封检查</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动力电池绝缘故障诊断与检修</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11"/>
                  <w:vMerge/>
                  <w:tcBorders>
                    <w:top w:val="none" w:color="000000" w:sz="4"/>
                    <w:left w:val="single" w:color="000000" w:sz="4"/>
                    <w:bottom w:val="single" w:color="000000" w:sz="4"/>
                    <w:right w:val="single" w:color="000000" w:sz="4"/>
                  </w:tcBorders>
                </w:tcP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3.动力电池热管理系统故障诊断与检修</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动力电池热管理系统认知</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动力电池加热系统故障诊断与检修</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动力电池冷却系统故障诊断与检修</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新能源汽车驱动电机系统故障诊断与检修</w:t>
                  </w: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1.驱动电机故障诊断与检修</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驱动电机认知</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驱动电机异响故障诊断与检修</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511"/>
                  <w:vMerge/>
                  <w:tcBorders>
                    <w:top w:val="none" w:color="000000" w:sz="4"/>
                    <w:left w:val="single" w:color="000000" w:sz="4"/>
                    <w:bottom w:val="single" w:color="000000" w:sz="4"/>
                    <w:right w:val="single" w:color="000000" w:sz="4"/>
                  </w:tcBorders>
                </w:tcP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2.驱动电机控制器故障诊断与检修</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驱动电机控制系统认知</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驱动电机控制器故障诊断与检修</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驱动电机控制器故障诊断与检修</w:t>
                  </w:r>
                  <w:r>
                    <w:rPr>
                      <w:rFonts w:ascii="仿宋_GB2312" w:hAnsi="仿宋_GB2312" w:cs="仿宋_GB2312" w:eastAsia="仿宋_GB2312"/>
                      <w:sz w:val="20"/>
                    </w:rPr>
                    <w:t>-比亚迪秦EV驱动电机控制器电源系统故障</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511"/>
                  <w:vMerge/>
                  <w:tcBorders>
                    <w:top w:val="none" w:color="000000" w:sz="4"/>
                    <w:left w:val="single" w:color="000000" w:sz="4"/>
                    <w:bottom w:val="single" w:color="000000" w:sz="4"/>
                    <w:right w:val="single" w:color="000000" w:sz="4"/>
                  </w:tcBorders>
                </w:tcP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3.驱动电机传感器故障诊断与检修</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驱动电机传感器故障诊断与检修</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511"/>
                  <w:vMerge/>
                  <w:tcBorders>
                    <w:top w:val="none" w:color="000000" w:sz="4"/>
                    <w:left w:val="single" w:color="000000" w:sz="4"/>
                    <w:bottom w:val="single" w:color="000000" w:sz="4"/>
                    <w:right w:val="single" w:color="000000" w:sz="4"/>
                  </w:tcBorders>
                </w:tcP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4.驱动电机冷却系统故障诊断与检修</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驱动电机过热故障诊断与检修</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新能源汽车充电系统故障诊断与检修</w:t>
                  </w: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1.充电口总成故障诊断与检修</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慢充充电口及检测</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慢充充电口的更换</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511"/>
                  <w:vMerge/>
                  <w:tcBorders>
                    <w:top w:val="none" w:color="000000" w:sz="4"/>
                    <w:left w:val="single" w:color="000000" w:sz="4"/>
                    <w:bottom w:val="single" w:color="000000" w:sz="4"/>
                    <w:right w:val="single" w:color="000000" w:sz="4"/>
                  </w:tcBorders>
                </w:tcP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2.车载充电机故障诊断与检修</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车载充电机的结构原理及功能</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车载充电机的更换</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车载充电机故障诊断与检修</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511"/>
                  <w:vMerge/>
                  <w:tcBorders>
                    <w:top w:val="none" w:color="000000" w:sz="4"/>
                    <w:left w:val="single" w:color="000000" w:sz="4"/>
                    <w:bottom w:val="single" w:color="000000" w:sz="4"/>
                    <w:right w:val="single" w:color="000000" w:sz="4"/>
                  </w:tcBorders>
                </w:tcP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3.DC-DC变换器故障诊断与检修</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DC-DC变换器的结构原理</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DC-DC变换器故障诊断与检修</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511"/>
                  <w:vMerge/>
                  <w:tcBorders>
                    <w:top w:val="none" w:color="000000" w:sz="4"/>
                    <w:left w:val="single" w:color="000000" w:sz="4"/>
                    <w:bottom w:val="single" w:color="000000" w:sz="4"/>
                    <w:right w:val="single" w:color="000000" w:sz="4"/>
                  </w:tcBorders>
                </w:tcP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4.交流慢充系统故障诊断与检修</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交流充电系统工作原理</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交流慢充系统故障诊断与检修</w:t>
                  </w:r>
                  <w:r>
                    <w:rPr>
                      <w:rFonts w:ascii="仿宋_GB2312" w:hAnsi="仿宋_GB2312" w:cs="仿宋_GB2312" w:eastAsia="仿宋_GB2312"/>
                      <w:sz w:val="20"/>
                    </w:rPr>
                    <w:t>-CC信号故障</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交流慢充系统故障诊断与检修</w:t>
                  </w:r>
                  <w:r>
                    <w:rPr>
                      <w:rFonts w:ascii="仿宋_GB2312" w:hAnsi="仿宋_GB2312" w:cs="仿宋_GB2312" w:eastAsia="仿宋_GB2312"/>
                      <w:sz w:val="20"/>
                    </w:rPr>
                    <w:t>-CP信号故障</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511"/>
                  <w:vMerge/>
                  <w:tcBorders>
                    <w:top w:val="none" w:color="000000" w:sz="4"/>
                    <w:left w:val="single" w:color="000000" w:sz="4"/>
                    <w:bottom w:val="single" w:color="000000" w:sz="4"/>
                    <w:right w:val="single" w:color="000000" w:sz="4"/>
                  </w:tcBorders>
                </w:tcP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5.直流快充系统故障诊断与检修</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直流充电系统工作原理</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直流慢充系统故障诊断与检修</w:t>
                  </w:r>
                  <w:r>
                    <w:rPr>
                      <w:rFonts w:ascii="仿宋_GB2312" w:hAnsi="仿宋_GB2312" w:cs="仿宋_GB2312" w:eastAsia="仿宋_GB2312"/>
                      <w:sz w:val="20"/>
                    </w:rPr>
                    <w:t>-CC信号故障</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新能源汽车辅助系统障诊断与检修</w:t>
                  </w: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1.转向系统故障诊断与检修</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电动助力转向（</w:t>
                  </w:r>
                  <w:r>
                    <w:rPr>
                      <w:rFonts w:ascii="仿宋_GB2312" w:hAnsi="仿宋_GB2312" w:cs="仿宋_GB2312" w:eastAsia="仿宋_GB2312"/>
                      <w:sz w:val="20"/>
                    </w:rPr>
                    <w:t>EPS）系统原理</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转向系统故障诊断与检修</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511"/>
                  <w:vMerge/>
                  <w:tcBorders>
                    <w:top w:val="none" w:color="000000" w:sz="4"/>
                    <w:left w:val="single" w:color="000000" w:sz="4"/>
                    <w:bottom w:val="single" w:color="000000" w:sz="4"/>
                    <w:right w:val="single" w:color="000000" w:sz="4"/>
                  </w:tcBorders>
                </w:tcP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2.制动系统故障诊断与检修</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电动真空泵和液压制动系统原理</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制动系统故障诊断与检修</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511"/>
                  <w:vMerge/>
                  <w:tcBorders>
                    <w:top w:val="none" w:color="000000" w:sz="4"/>
                    <w:left w:val="single" w:color="000000" w:sz="4"/>
                    <w:bottom w:val="single" w:color="000000" w:sz="4"/>
                    <w:right w:val="single" w:color="000000" w:sz="4"/>
                  </w:tcBorders>
                </w:tcP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3.悬架系统故障诊断与检修</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悬架系统组成及特点</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悬架系统故障诊断与检修</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511"/>
                  <w:vMerge/>
                  <w:tcBorders>
                    <w:top w:val="none" w:color="000000" w:sz="4"/>
                    <w:left w:val="single" w:color="000000" w:sz="4"/>
                    <w:bottom w:val="single" w:color="000000" w:sz="4"/>
                    <w:right w:val="single" w:color="000000" w:sz="4"/>
                  </w:tcBorders>
                </w:tcP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4.空调系统故障诊断与检修</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空调制冷系统组成及原理</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空调制冷系统故障诊断与检修</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新能源汽车主流车型故障诊断与检修案例</w:t>
                  </w: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1.比亚迪车型故障诊断与检修案例</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比亚迪</w:t>
                  </w:r>
                  <w:r>
                    <w:rPr>
                      <w:rFonts w:ascii="仿宋_GB2312" w:hAnsi="仿宋_GB2312" w:cs="仿宋_GB2312" w:eastAsia="仿宋_GB2312"/>
                      <w:sz w:val="20"/>
                    </w:rPr>
                    <w:t>E5高压电控总成故障诊断与检修</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比亚迪秦</w:t>
                  </w:r>
                  <w:r>
                    <w:rPr>
                      <w:rFonts w:ascii="仿宋_GB2312" w:hAnsi="仿宋_GB2312" w:cs="仿宋_GB2312" w:eastAsia="仿宋_GB2312"/>
                      <w:sz w:val="20"/>
                    </w:rPr>
                    <w:t>E5无法启动故障诊断与检修</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比亚迪</w:t>
                  </w:r>
                  <w:r>
                    <w:rPr>
                      <w:rFonts w:ascii="仿宋_GB2312" w:hAnsi="仿宋_GB2312" w:cs="仿宋_GB2312" w:eastAsia="仿宋_GB2312"/>
                      <w:sz w:val="20"/>
                    </w:rPr>
                    <w:t>E5充电故障诊断</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511"/>
                  <w:vMerge/>
                  <w:tcBorders>
                    <w:top w:val="none" w:color="000000" w:sz="4"/>
                    <w:left w:val="single" w:color="000000" w:sz="4"/>
                    <w:bottom w:val="single" w:color="000000" w:sz="4"/>
                    <w:right w:val="single" w:color="000000" w:sz="4"/>
                  </w:tcBorders>
                </w:tcPr>
                <w:p/>
              </w:tc>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2.吉利车型故障诊断与检修案例</w:t>
                  </w: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吉利</w:t>
                  </w:r>
                  <w:r>
                    <w:rPr>
                      <w:rFonts w:ascii="仿宋_GB2312" w:hAnsi="仿宋_GB2312" w:cs="仿宋_GB2312" w:eastAsia="仿宋_GB2312"/>
                      <w:sz w:val="20"/>
                    </w:rPr>
                    <w:t>EV300无法上电故障</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吉利</w:t>
                  </w:r>
                  <w:r>
                    <w:rPr>
                      <w:rFonts w:ascii="仿宋_GB2312" w:hAnsi="仿宋_GB2312" w:cs="仿宋_GB2312" w:eastAsia="仿宋_GB2312"/>
                      <w:sz w:val="20"/>
                    </w:rPr>
                    <w:t>EV300高压互锁故障</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511"/>
                  <w:vMerge/>
                  <w:tcBorders>
                    <w:top w:val="none" w:color="000000" w:sz="4"/>
                    <w:left w:val="single" w:color="000000" w:sz="4"/>
                    <w:bottom w:val="single" w:color="000000" w:sz="4"/>
                    <w:right w:val="single" w:color="000000" w:sz="4"/>
                  </w:tcBorders>
                </w:tcPr>
                <w:p/>
              </w:tc>
              <w:tc>
                <w:tcPr>
                  <w:tcW w:type="dxa" w:w="785"/>
                  <w:vMerge/>
                  <w:tcBorders>
                    <w:top w:val="none" w:color="000000" w:sz="4"/>
                    <w:left w:val="single" w:color="000000" w:sz="4"/>
                    <w:bottom w:val="single" w:color="000000" w:sz="4"/>
                    <w:right w:val="single" w:color="000000" w:sz="4"/>
                  </w:tcBorders>
                </w:tcPr>
                <w:p/>
              </w:tc>
              <w:tc>
                <w:tcPr>
                  <w:tcW w:type="dxa" w:w="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吉利</w:t>
                  </w:r>
                  <w:r>
                    <w:rPr>
                      <w:rFonts w:ascii="仿宋_GB2312" w:hAnsi="仿宋_GB2312" w:cs="仿宋_GB2312" w:eastAsia="仿宋_GB2312"/>
                      <w:sz w:val="20"/>
                    </w:rPr>
                    <w:t>EV300无法充电故障</w:t>
                  </w:r>
                </w:p>
              </w:tc>
            </w:tr>
          </w:tbl>
          <w:p>
            <w:pPr>
              <w:pStyle w:val="null3"/>
              <w:jc w:val="both"/>
            </w:pPr>
            <w:r>
              <w:rPr>
                <w:rFonts w:ascii="仿宋_GB2312" w:hAnsi="仿宋_GB2312" w:cs="仿宋_GB2312" w:eastAsia="仿宋_GB2312"/>
                <w:sz w:val="20"/>
                <w:color w:val="000000"/>
              </w:rPr>
              <w:t>（二）</w:t>
            </w:r>
            <w:r>
              <w:rPr>
                <w:rFonts w:ascii="仿宋_GB2312" w:hAnsi="仿宋_GB2312" w:cs="仿宋_GB2312" w:eastAsia="仿宋_GB2312"/>
                <w:sz w:val="20"/>
              </w:rPr>
              <w:t>《新能源汽车故障诊断技术》课程制作</w:t>
            </w:r>
            <w:r>
              <w:rPr>
                <w:rFonts w:ascii="仿宋_GB2312" w:hAnsi="仿宋_GB2312" w:cs="仿宋_GB2312" w:eastAsia="仿宋_GB2312"/>
                <w:sz w:val="20"/>
              </w:rPr>
              <w:t>5个动画</w:t>
            </w:r>
          </w:p>
          <w:tbl>
            <w:tblPr>
              <w:tblBorders>
                <w:top w:val="none" w:color="000000" w:sz="4"/>
                <w:left w:val="none" w:color="000000" w:sz="4"/>
                <w:bottom w:val="none" w:color="000000" w:sz="4"/>
                <w:right w:val="none" w:color="000000" w:sz="4"/>
                <w:insideH w:val="none"/>
                <w:insideV w:val="none"/>
              </w:tblBorders>
            </w:tblPr>
            <w:tblGrid>
              <w:gridCol w:w="644"/>
              <w:gridCol w:w="1909"/>
            </w:tblGrid>
            <w:tr>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9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动画名称</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动力电池组内部结构与</w:t>
                  </w:r>
                  <w:r>
                    <w:rPr>
                      <w:rFonts w:ascii="仿宋_GB2312" w:hAnsi="仿宋_GB2312" w:cs="仿宋_GB2312" w:eastAsia="仿宋_GB2312"/>
                      <w:sz w:val="20"/>
                    </w:rPr>
                    <w:t>BMS管理逻辑</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驱动电机与能量回收工作流程</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整车热管理系统冷却</w:t>
                  </w:r>
                  <w:r>
                    <w:rPr>
                      <w:rFonts w:ascii="仿宋_GB2312" w:hAnsi="仿宋_GB2312" w:cs="仿宋_GB2312" w:eastAsia="仿宋_GB2312"/>
                      <w:sz w:val="20"/>
                    </w:rPr>
                    <w:t>/加热循环路径</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高压互锁回路原理</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CAN总线网络通信</w:t>
                  </w:r>
                </w:p>
              </w:tc>
            </w:tr>
          </w:tbl>
          <w:p>
            <w:pPr>
              <w:pStyle w:val="null3"/>
              <w:jc w:val="left"/>
            </w:pPr>
            <w:r>
              <w:rPr>
                <w:rFonts w:ascii="仿宋_GB2312" w:hAnsi="仿宋_GB2312" w:cs="仿宋_GB2312" w:eastAsia="仿宋_GB2312"/>
                <w:sz w:val="20"/>
                <w:b/>
              </w:rPr>
              <w:t>八、</w:t>
            </w:r>
            <w:r>
              <w:rPr>
                <w:rFonts w:ascii="仿宋_GB2312" w:hAnsi="仿宋_GB2312" w:cs="仿宋_GB2312" w:eastAsia="仿宋_GB2312"/>
                <w:sz w:val="20"/>
                <w:b/>
              </w:rPr>
              <w:t>《</w:t>
            </w:r>
            <w:r>
              <w:rPr>
                <w:rFonts w:ascii="仿宋_GB2312" w:hAnsi="仿宋_GB2312" w:cs="仿宋_GB2312" w:eastAsia="仿宋_GB2312"/>
                <w:sz w:val="20"/>
                <w:b/>
              </w:rPr>
              <w:t>LED显示屏系统工程》</w:t>
            </w:r>
          </w:p>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w:t>
            </w:r>
            <w:r>
              <w:rPr>
                <w:rFonts w:ascii="仿宋_GB2312" w:hAnsi="仿宋_GB2312" w:cs="仿宋_GB2312" w:eastAsia="仿宋_GB2312"/>
                <w:sz w:val="20"/>
              </w:rPr>
              <w:t>LED显示屏系统工程</w:t>
            </w:r>
            <w:r>
              <w:rPr>
                <w:rFonts w:ascii="仿宋_GB2312" w:hAnsi="仿宋_GB2312" w:cs="仿宋_GB2312" w:eastAsia="仿宋_GB2312"/>
                <w:sz w:val="20"/>
              </w:rPr>
              <w:t>》课程录制</w:t>
            </w:r>
            <w:r>
              <w:rPr>
                <w:rFonts w:ascii="仿宋_GB2312" w:hAnsi="仿宋_GB2312" w:cs="仿宋_GB2312" w:eastAsia="仿宋_GB2312"/>
                <w:sz w:val="20"/>
              </w:rPr>
              <w:t>60个微课</w:t>
            </w:r>
          </w:p>
          <w:tbl>
            <w:tblPr>
              <w:tblBorders>
                <w:top w:val="none" w:color="000000" w:sz="4"/>
                <w:left w:val="none" w:color="000000" w:sz="4"/>
                <w:bottom w:val="none" w:color="000000" w:sz="4"/>
                <w:right w:val="none" w:color="000000" w:sz="4"/>
                <w:insideH w:val="none"/>
                <w:insideV w:val="none"/>
              </w:tblBorders>
            </w:tblPr>
            <w:tblGrid>
              <w:gridCol w:w="233"/>
              <w:gridCol w:w="556"/>
              <w:gridCol w:w="973"/>
              <w:gridCol w:w="1045"/>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序号</w:t>
                  </w:r>
                </w:p>
              </w:tc>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学习情景</w:t>
                  </w:r>
                </w:p>
              </w:tc>
              <w:tc>
                <w:tcPr>
                  <w:tcW w:type="dxa" w:w="9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节名</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知识</w:t>
                  </w:r>
                  <w:r>
                    <w:rPr>
                      <w:rFonts w:ascii="仿宋_GB2312" w:hAnsi="仿宋_GB2312" w:cs="仿宋_GB2312" w:eastAsia="仿宋_GB2312"/>
                      <w:sz w:val="20"/>
                      <w:b/>
                    </w:rPr>
                    <w:t>（技能）</w:t>
                  </w:r>
                  <w:r>
                    <w:rPr>
                      <w:rFonts w:ascii="仿宋_GB2312" w:hAnsi="仿宋_GB2312" w:cs="仿宋_GB2312" w:eastAsia="仿宋_GB2312"/>
                      <w:sz w:val="20"/>
                      <w:b/>
                    </w:rPr>
                    <w:t>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课程体系</w:t>
                  </w:r>
                </w:p>
                <w:p>
                  <w:pPr>
                    <w:pStyle w:val="null3"/>
                    <w:jc w:val="center"/>
                  </w:pPr>
                  <w:r>
                    <w:rPr>
                      <w:rFonts w:ascii="仿宋_GB2312" w:hAnsi="仿宋_GB2312" w:cs="仿宋_GB2312" w:eastAsia="仿宋_GB2312"/>
                      <w:sz w:val="20"/>
                    </w:rPr>
                    <w:t>课程框架</w:t>
                  </w:r>
                </w:p>
                <w:p>
                  <w:pPr>
                    <w:pStyle w:val="null3"/>
                    <w:jc w:val="center"/>
                  </w:pPr>
                  <w:r>
                    <w:rPr>
                      <w:rFonts w:ascii="仿宋_GB2312" w:hAnsi="仿宋_GB2312" w:cs="仿宋_GB2312" w:eastAsia="仿宋_GB2312"/>
                      <w:sz w:val="20"/>
                    </w:rPr>
                    <w:t>课程环境</w:t>
                  </w:r>
                </w:p>
                <w:p>
                  <w:pPr>
                    <w:pStyle w:val="null3"/>
                    <w:jc w:val="center"/>
                  </w:pPr>
                  <w:r>
                    <w:rPr>
                      <w:rFonts w:ascii="仿宋_GB2312" w:hAnsi="仿宋_GB2312" w:cs="仿宋_GB2312" w:eastAsia="仿宋_GB2312"/>
                      <w:sz w:val="20"/>
                    </w:rPr>
                    <w:t>教学特色</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课程概述</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课程设计</w:t>
                  </w:r>
                  <w:r>
                    <w:rPr>
                      <w:rFonts w:ascii="仿宋_GB2312" w:hAnsi="仿宋_GB2312" w:cs="仿宋_GB2312" w:eastAsia="仿宋_GB2312"/>
                      <w:sz w:val="20"/>
                    </w:rPr>
                    <w:t>思路</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教学团队与课程建设</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师资、学习目标</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课程实施与教学环境</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学好本课程的方法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教学效果与特色创新</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技能达标标准、胜任岗位</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体育场馆</w:t>
                  </w:r>
                  <w:r>
                    <w:rPr>
                      <w:rFonts w:ascii="仿宋_GB2312" w:hAnsi="仿宋_GB2312" w:cs="仿宋_GB2312" w:eastAsia="仿宋_GB2312"/>
                      <w:sz w:val="20"/>
                    </w:rPr>
                    <w:t>LED显示屏</w:t>
                  </w:r>
                  <w:r>
                    <w:rPr>
                      <w:rFonts w:ascii="仿宋_GB2312" w:hAnsi="仿宋_GB2312" w:cs="仿宋_GB2312" w:eastAsia="仿宋_GB2312"/>
                      <w:sz w:val="20"/>
                    </w:rPr>
                    <w:t>应用</w:t>
                  </w:r>
                </w:p>
                <w:p>
                  <w:pPr>
                    <w:pStyle w:val="null3"/>
                    <w:jc w:val="center"/>
                  </w:p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w:t>
                  </w:r>
                  <w:r>
                    <w:rPr>
                      <w:rFonts w:ascii="仿宋_GB2312" w:hAnsi="仿宋_GB2312" w:cs="仿宋_GB2312" w:eastAsia="仿宋_GB2312"/>
                      <w:sz w:val="20"/>
                    </w:rPr>
                    <w:t>行业背景知识</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新型显示前沿技术</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LED显示屏系统概述</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LED显示屏架构、硬件组成及控制软件等</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认知显示屏主要技术参数</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各部</w:t>
                  </w:r>
                  <w:r>
                    <w:rPr>
                      <w:rFonts w:ascii="仿宋_GB2312" w:hAnsi="仿宋_GB2312" w:cs="仿宋_GB2312" w:eastAsia="仿宋_GB2312"/>
                      <w:sz w:val="20"/>
                    </w:rPr>
                    <w:t>对应的</w:t>
                  </w:r>
                  <w:r>
                    <w:rPr>
                      <w:rFonts w:ascii="仿宋_GB2312" w:hAnsi="仿宋_GB2312" w:cs="仿宋_GB2312" w:eastAsia="仿宋_GB2312"/>
                      <w:sz w:val="20"/>
                    </w:rPr>
                    <w:t>性能参数</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LED显示屏常见接口</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视频线材、接口技术</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社区宣传</w:t>
                  </w:r>
                  <w:r>
                    <w:rPr>
                      <w:rFonts w:ascii="仿宋_GB2312" w:hAnsi="仿宋_GB2312" w:cs="仿宋_GB2312" w:eastAsia="仿宋_GB2312"/>
                      <w:sz w:val="20"/>
                    </w:rPr>
                    <w:t>LED显示屏显示驱动</w:t>
                  </w:r>
                </w:p>
                <w:p>
                  <w:pPr>
                    <w:pStyle w:val="null3"/>
                    <w:jc w:val="center"/>
                  </w:p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LED灯板的组成</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LED模组的结构分解</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LED灯板核心器件</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功率放大器、列驱动芯片、译码芯片功能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LED灯板工作原理</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LED灯板电路图原理、灯板工作原理、数据信号、译码信号</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LED灯板的分类</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按照使用环境、使用场景、显示的基色、生产工艺划分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户外商业广告</w:t>
                  </w:r>
                  <w:r>
                    <w:rPr>
                      <w:rFonts w:ascii="仿宋_GB2312" w:hAnsi="仿宋_GB2312" w:cs="仿宋_GB2312" w:eastAsia="仿宋_GB2312"/>
                      <w:sz w:val="20"/>
                    </w:rPr>
                    <w:t>LED显示屏控制系统组成</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LED显示屏构成</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LED显示屏基本组成及各部分特点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LED显示屏控制系统架构</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LED显示屏控制系统软硬件组成及功能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LED显示屏控制系统发展</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LED显示屏控制系统的发展历程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LED显示屏产品基本分类</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LED显示屏产品分类及典型产品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交通系统</w:t>
                  </w:r>
                  <w:r>
                    <w:rPr>
                      <w:rFonts w:ascii="仿宋_GB2312" w:hAnsi="仿宋_GB2312" w:cs="仿宋_GB2312" w:eastAsia="仿宋_GB2312"/>
                      <w:sz w:val="20"/>
                    </w:rPr>
                    <w:t>LED</w:t>
                  </w:r>
                  <w:r>
                    <w:rPr>
                      <w:rFonts w:ascii="仿宋_GB2312" w:hAnsi="仿宋_GB2312" w:cs="仿宋_GB2312" w:eastAsia="仿宋_GB2312"/>
                      <w:sz w:val="20"/>
                    </w:rPr>
                    <w:t>超大</w:t>
                  </w:r>
                  <w:r>
                    <w:rPr>
                      <w:rFonts w:ascii="仿宋_GB2312" w:hAnsi="仿宋_GB2312" w:cs="仿宋_GB2312" w:eastAsia="仿宋_GB2312"/>
                      <w:sz w:val="20"/>
                    </w:rPr>
                    <w:t>屏</w:t>
                  </w:r>
                  <w:r>
                    <w:rPr>
                      <w:rFonts w:ascii="仿宋_GB2312" w:hAnsi="仿宋_GB2312" w:cs="仿宋_GB2312" w:eastAsia="仿宋_GB2312"/>
                      <w:sz w:val="20"/>
                    </w:rPr>
                    <w:t>控制中心</w:t>
                  </w:r>
                </w:p>
                <w:p>
                  <w:pPr>
                    <w:pStyle w:val="null3"/>
                    <w:jc w:val="center"/>
                  </w:p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LED显示屏功率计算</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LED显示屏功率计算</w:t>
                  </w:r>
                  <w:r>
                    <w:rPr>
                      <w:rFonts w:ascii="仿宋_GB2312" w:hAnsi="仿宋_GB2312" w:cs="仿宋_GB2312" w:eastAsia="仿宋_GB2312"/>
                      <w:sz w:val="20"/>
                    </w:rPr>
                    <w:t>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LED显示屏分辨率计算</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LED显示屏分辨率计算</w:t>
                  </w:r>
                  <w:r>
                    <w:rPr>
                      <w:rFonts w:ascii="仿宋_GB2312" w:hAnsi="仿宋_GB2312" w:cs="仿宋_GB2312" w:eastAsia="仿宋_GB2312"/>
                      <w:sz w:val="20"/>
                    </w:rPr>
                    <w:t>方法</w:t>
                  </w:r>
                </w:p>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LED显示屏带载能力计算</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w:t>
                  </w:r>
                  <w:r>
                    <w:rPr>
                      <w:rFonts w:ascii="仿宋_GB2312" w:hAnsi="仿宋_GB2312" w:cs="仿宋_GB2312" w:eastAsia="仿宋_GB2312"/>
                      <w:sz w:val="20"/>
                    </w:rPr>
                    <w:t>网口</w:t>
                  </w:r>
                  <w:r>
                    <w:rPr>
                      <w:rFonts w:ascii="仿宋_GB2312" w:hAnsi="仿宋_GB2312" w:cs="仿宋_GB2312" w:eastAsia="仿宋_GB2312"/>
                      <w:sz w:val="20"/>
                    </w:rPr>
                    <w:t>带载能力</w:t>
                  </w:r>
                  <w:r>
                    <w:rPr>
                      <w:rFonts w:ascii="仿宋_GB2312" w:hAnsi="仿宋_GB2312" w:cs="仿宋_GB2312" w:eastAsia="仿宋_GB2312"/>
                      <w:sz w:val="20"/>
                    </w:rPr>
                    <w:t>、</w:t>
                  </w:r>
                  <w:r>
                    <w:rPr>
                      <w:rFonts w:ascii="仿宋_GB2312" w:hAnsi="仿宋_GB2312" w:cs="仿宋_GB2312" w:eastAsia="仿宋_GB2312"/>
                      <w:sz w:val="20"/>
                    </w:rPr>
                    <w:t>控制器带载能力</w:t>
                  </w:r>
                  <w:r>
                    <w:rPr>
                      <w:rFonts w:ascii="仿宋_GB2312" w:hAnsi="仿宋_GB2312" w:cs="仿宋_GB2312" w:eastAsia="仿宋_GB2312"/>
                      <w:sz w:val="20"/>
                    </w:rPr>
                    <w:t>计算</w:t>
                  </w:r>
                  <w:r>
                    <w:rPr>
                      <w:rFonts w:ascii="仿宋_GB2312" w:hAnsi="仿宋_GB2312" w:cs="仿宋_GB2312" w:eastAsia="仿宋_GB2312"/>
                      <w:sz w:val="20"/>
                    </w:rPr>
                    <w:t>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室内会议室</w:t>
                  </w:r>
                  <w:r>
                    <w:rPr>
                      <w:rFonts w:ascii="仿宋_GB2312" w:hAnsi="仿宋_GB2312" w:cs="仿宋_GB2312" w:eastAsia="仿宋_GB2312"/>
                      <w:sz w:val="20"/>
                    </w:rPr>
                    <w:t>LED显示屏</w:t>
                  </w:r>
                  <w:r>
                    <w:rPr>
                      <w:rFonts w:ascii="仿宋_GB2312" w:hAnsi="仿宋_GB2312" w:cs="仿宋_GB2312" w:eastAsia="仿宋_GB2312"/>
                      <w:sz w:val="20"/>
                    </w:rPr>
                    <w:t>调试</w:t>
                  </w:r>
                </w:p>
                <w:p>
                  <w:pPr>
                    <w:pStyle w:val="null3"/>
                    <w:jc w:val="center"/>
                  </w:p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LED显示屏基础控制系统架构</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LED显示屏基础控制系统架构</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
                    <w:jc w:val="center"/>
                  </w:pPr>
                  <w:r>
                    <w:rPr>
                      <w:rFonts w:ascii="仿宋_GB2312" w:hAnsi="仿宋_GB2312" w:cs="仿宋_GB2312" w:eastAsia="仿宋_GB2312"/>
                      <w:sz w:val="20"/>
                    </w:rPr>
                    <w:t>常见电脑显卡设置</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
                    <w:jc w:val="center"/>
                  </w:pPr>
                  <w:r>
                    <w:rPr>
                      <w:rFonts w:ascii="仿宋_GB2312" w:hAnsi="仿宋_GB2312" w:cs="仿宋_GB2312" w:eastAsia="仿宋_GB2312"/>
                      <w:sz w:val="20"/>
                    </w:rPr>
                    <w:t>常见电脑显卡设置方法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LED显示屏安装</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LED显示屏安装、接线方法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w:t>
                  </w:r>
                  <w:r>
                    <w:rPr>
                      <w:rFonts w:ascii="仿宋_GB2312" w:hAnsi="仿宋_GB2312" w:cs="仿宋_GB2312" w:eastAsia="仿宋_GB2312"/>
                      <w:sz w:val="20"/>
                    </w:rPr>
                    <w:t>发送卡</w:t>
                  </w:r>
                  <w:r>
                    <w:rPr>
                      <w:rFonts w:ascii="仿宋_GB2312" w:hAnsi="仿宋_GB2312" w:cs="仿宋_GB2312" w:eastAsia="仿宋_GB2312"/>
                      <w:sz w:val="20"/>
                    </w:rPr>
                    <w:t>设置</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w:t>
                  </w:r>
                  <w:r>
                    <w:rPr>
                      <w:rFonts w:ascii="仿宋_GB2312" w:hAnsi="仿宋_GB2312" w:cs="仿宋_GB2312" w:eastAsia="仿宋_GB2312"/>
                      <w:sz w:val="20"/>
                    </w:rPr>
                    <w:t>发送卡</w:t>
                  </w:r>
                  <w:r>
                    <w:rPr>
                      <w:rFonts w:ascii="仿宋_GB2312" w:hAnsi="仿宋_GB2312" w:cs="仿宋_GB2312" w:eastAsia="仿宋_GB2312"/>
                      <w:sz w:val="20"/>
                    </w:rPr>
                    <w:t>设置步骤</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w:t>
                  </w:r>
                  <w:r>
                    <w:rPr>
                      <w:rFonts w:ascii="仿宋_GB2312" w:hAnsi="仿宋_GB2312" w:cs="仿宋_GB2312" w:eastAsia="仿宋_GB2312"/>
                      <w:sz w:val="20"/>
                    </w:rPr>
                    <w:t>接收卡</w:t>
                  </w:r>
                  <w:r>
                    <w:rPr>
                      <w:rFonts w:ascii="仿宋_GB2312" w:hAnsi="仿宋_GB2312" w:cs="仿宋_GB2312" w:eastAsia="仿宋_GB2312"/>
                      <w:sz w:val="20"/>
                    </w:rPr>
                    <w:t>设置</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w:t>
                  </w:r>
                  <w:r>
                    <w:rPr>
                      <w:rFonts w:ascii="仿宋_GB2312" w:hAnsi="仿宋_GB2312" w:cs="仿宋_GB2312" w:eastAsia="仿宋_GB2312"/>
                      <w:sz w:val="20"/>
                    </w:rPr>
                    <w:t>接收卡</w:t>
                  </w:r>
                  <w:r>
                    <w:rPr>
                      <w:rFonts w:ascii="仿宋_GB2312" w:hAnsi="仿宋_GB2312" w:cs="仿宋_GB2312" w:eastAsia="仿宋_GB2312"/>
                      <w:sz w:val="20"/>
                    </w:rPr>
                    <w:t>设置</w:t>
                  </w:r>
                  <w:r>
                    <w:rPr>
                      <w:rFonts w:ascii="仿宋_GB2312" w:hAnsi="仿宋_GB2312" w:cs="仿宋_GB2312" w:eastAsia="仿宋_GB2312"/>
                      <w:sz w:val="20"/>
                    </w:rPr>
                    <w:t>步骤</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w:t>
                  </w:r>
                  <w:r>
                    <w:rPr>
                      <w:rFonts w:ascii="仿宋_GB2312" w:hAnsi="仿宋_GB2312" w:cs="仿宋_GB2312" w:eastAsia="仿宋_GB2312"/>
                      <w:sz w:val="20"/>
                    </w:rPr>
                    <w:t>连接图</w:t>
                  </w:r>
                  <w:r>
                    <w:rPr>
                      <w:rFonts w:ascii="仿宋_GB2312" w:hAnsi="仿宋_GB2312" w:cs="仿宋_GB2312" w:eastAsia="仿宋_GB2312"/>
                      <w:sz w:val="20"/>
                    </w:rPr>
                    <w:t>设置</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w:t>
                  </w:r>
                  <w:r>
                    <w:rPr>
                      <w:rFonts w:ascii="仿宋_GB2312" w:hAnsi="仿宋_GB2312" w:cs="仿宋_GB2312" w:eastAsia="仿宋_GB2312"/>
                      <w:sz w:val="20"/>
                    </w:rPr>
                    <w:t>连接图</w:t>
                  </w:r>
                  <w:r>
                    <w:rPr>
                      <w:rFonts w:ascii="仿宋_GB2312" w:hAnsi="仿宋_GB2312" w:cs="仿宋_GB2312" w:eastAsia="仿宋_GB2312"/>
                      <w:sz w:val="20"/>
                    </w:rPr>
                    <w:t>设置</w:t>
                  </w:r>
                  <w:r>
                    <w:rPr>
                      <w:rFonts w:ascii="仿宋_GB2312" w:hAnsi="仿宋_GB2312" w:cs="仿宋_GB2312" w:eastAsia="仿宋_GB2312"/>
                      <w:sz w:val="20"/>
                    </w:rPr>
                    <w:t>步骤</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大型演唱会</w:t>
                  </w:r>
                  <w:r>
                    <w:rPr>
                      <w:rFonts w:ascii="仿宋_GB2312" w:hAnsi="仿宋_GB2312" w:cs="仿宋_GB2312" w:eastAsia="仿宋_GB2312"/>
                      <w:sz w:val="20"/>
                    </w:rPr>
                    <w:t>LED显示屏备份应用</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备份的应用</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备份的场景和分类</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同一发送卡，不同网口间备份</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网口备份设置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级联发送卡之间备份</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级联发送卡之间备份</w:t>
                  </w:r>
                  <w:r>
                    <w:rPr>
                      <w:rFonts w:ascii="仿宋_GB2312" w:hAnsi="仿宋_GB2312" w:cs="仿宋_GB2312" w:eastAsia="仿宋_GB2312"/>
                      <w:sz w:val="20"/>
                    </w:rPr>
                    <w:t>设置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非级联发送卡之间备份</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非级联发送卡之间备份</w:t>
                  </w:r>
                  <w:r>
                    <w:rPr>
                      <w:rFonts w:ascii="仿宋_GB2312" w:hAnsi="仿宋_GB2312" w:cs="仿宋_GB2312" w:eastAsia="仿宋_GB2312"/>
                      <w:sz w:val="20"/>
                    </w:rPr>
                    <w:t>设置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机场候机大厅</w:t>
                  </w:r>
                  <w:r>
                    <w:rPr>
                      <w:rFonts w:ascii="仿宋_GB2312" w:hAnsi="仿宋_GB2312" w:cs="仿宋_GB2312" w:eastAsia="仿宋_GB2312"/>
                      <w:sz w:val="20"/>
                    </w:rPr>
                    <w:t>LED显示屏同步控制系统</w:t>
                  </w:r>
                  <w:r>
                    <w:rPr>
                      <w:rFonts w:ascii="仿宋_GB2312" w:hAnsi="仿宋_GB2312" w:cs="仿宋_GB2312" w:eastAsia="仿宋_GB2312"/>
                      <w:sz w:val="20"/>
                    </w:rPr>
                    <w:t>基础</w:t>
                  </w:r>
                  <w:r>
                    <w:rPr>
                      <w:rFonts w:ascii="仿宋_GB2312" w:hAnsi="仿宋_GB2312" w:cs="仿宋_GB2312" w:eastAsia="仿宋_GB2312"/>
                      <w:sz w:val="20"/>
                    </w:rPr>
                    <w:t>调试</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调节控制系统亮度</w:t>
                  </w:r>
                </w:p>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LED控制系统亮度调节方案</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LED显示屏固件程序查询升级</w:t>
                  </w:r>
                </w:p>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LED显示屏固件程序查询升级方法</w:t>
                  </w:r>
                </w:p>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设置</w:t>
                  </w:r>
                  <w:r>
                    <w:rPr>
                      <w:rFonts w:ascii="仿宋_GB2312" w:hAnsi="仿宋_GB2312" w:cs="仿宋_GB2312" w:eastAsia="仿宋_GB2312"/>
                      <w:sz w:val="20"/>
                    </w:rPr>
                    <w:t>LED系统</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预存画面作用及设置方案</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显示屏控制器面板操作</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显示屏的同步播放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演播大厅</w:t>
                  </w:r>
                  <w:r>
                    <w:rPr>
                      <w:rFonts w:ascii="仿宋_GB2312" w:hAnsi="仿宋_GB2312" w:cs="仿宋_GB2312" w:eastAsia="仿宋_GB2312"/>
                      <w:sz w:val="20"/>
                      <w:color w:val="000000"/>
                      <w:shd w:fill="FFFFFF" w:val="clear"/>
                    </w:rPr>
                    <w:t>复杂同步</w:t>
                  </w:r>
                  <w:r>
                    <w:rPr>
                      <w:rFonts w:ascii="仿宋_GB2312" w:hAnsi="仿宋_GB2312" w:cs="仿宋_GB2312" w:eastAsia="仿宋_GB2312"/>
                      <w:sz w:val="20"/>
                      <w:color w:val="000000"/>
                      <w:shd w:fill="FFFFFF" w:val="clear"/>
                    </w:rPr>
                    <w:t>LED显示屏系统调试</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超大屏带载方案设计</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超大屏带载方案设计步骤</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远距离传输方案的设计及调试</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远距离传输方案的设计及调试步骤</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3D方案调试</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3D方案调试步骤</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基础显示播控系统的搭建和调试</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基础显示播控系统的搭建和调试步骤</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智慧灯杆屏</w:t>
                  </w:r>
                  <w:r>
                    <w:rPr>
                      <w:rFonts w:ascii="仿宋_GB2312" w:hAnsi="仿宋_GB2312" w:cs="仿宋_GB2312" w:eastAsia="仿宋_GB2312"/>
                      <w:sz w:val="20"/>
                    </w:rPr>
                    <w:t>异步网络集群系统</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LED显示屏集群系统方案设计</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集群的概念及设计思路</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LED显示屏组网调试</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异步集群网络架构</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云发布</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云发布配置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云监控</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云监控软件操作步骤</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多异步终端集群节目制作及发布</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100台异步终端集群节目制作及发布方法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多异步终端集群控制</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100台多异步终端集群控制方法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虚拟演播室</w:t>
                  </w:r>
                  <w:r>
                    <w:rPr>
                      <w:rFonts w:ascii="仿宋_GB2312" w:hAnsi="仿宋_GB2312" w:cs="仿宋_GB2312" w:eastAsia="仿宋_GB2312"/>
                      <w:sz w:val="20"/>
                    </w:rPr>
                    <w:t>LED节目播控</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视频源效果播放</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视频源效果播放原理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视频源效果播放软件</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Viplex Express软件实现视频源效果播放方法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视频处理器的应用</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视频处理器实现视频源效果播放的架构与功能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车载</w:t>
                  </w:r>
                  <w:r>
                    <w:rPr>
                      <w:rFonts w:ascii="仿宋_GB2312" w:hAnsi="仿宋_GB2312" w:cs="仿宋_GB2312" w:eastAsia="仿宋_GB2312"/>
                      <w:sz w:val="20"/>
                    </w:rPr>
                    <w:t>LED显示屏播控系统</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视频源效果播放</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视频源效果播放</w:t>
                  </w:r>
                  <w:r>
                    <w:rPr>
                      <w:rFonts w:ascii="仿宋_GB2312" w:hAnsi="仿宋_GB2312" w:cs="仿宋_GB2312" w:eastAsia="仿宋_GB2312"/>
                      <w:sz w:val="20"/>
                    </w:rPr>
                    <w:t>方案设计</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LED显示屏异步播放系统应用</w:t>
                  </w:r>
                </w:p>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LED显示屏异步播放系统应用</w:t>
                  </w:r>
                  <w:r>
                    <w:rPr>
                      <w:rFonts w:ascii="仿宋_GB2312" w:hAnsi="仿宋_GB2312" w:cs="仿宋_GB2312" w:eastAsia="仿宋_GB2312"/>
                      <w:sz w:val="20"/>
                    </w:rPr>
                    <w:t>特点</w:t>
                  </w:r>
                </w:p>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LED显示屏异步播放系统架构</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LED显示屏异步播放系统</w:t>
                  </w:r>
                  <w:r>
                    <w:rPr>
                      <w:rFonts w:ascii="仿宋_GB2312" w:hAnsi="仿宋_GB2312" w:cs="仿宋_GB2312" w:eastAsia="仿宋_GB2312"/>
                      <w:sz w:val="20"/>
                    </w:rPr>
                    <w:t>构建方案</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LED显示屏异步系统软件</w:t>
                  </w:r>
                  <w:r>
                    <w:rPr>
                      <w:rFonts w:ascii="仿宋_GB2312" w:hAnsi="仿宋_GB2312" w:cs="仿宋_GB2312" w:eastAsia="仿宋_GB2312"/>
                      <w:sz w:val="20"/>
                    </w:rPr>
                    <w:t>应用</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LED显示屏异步系统软件操作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
                    <w:jc w:val="center"/>
                  </w:pPr>
                  <w:r>
                    <w:rPr>
                      <w:rFonts w:ascii="仿宋_GB2312" w:hAnsi="仿宋_GB2312" w:cs="仿宋_GB2312" w:eastAsia="仿宋_GB2312"/>
                      <w:sz w:val="20"/>
                    </w:rPr>
                    <w:t>超高清展厅</w:t>
                  </w:r>
                  <w:r>
                    <w:rPr>
                      <w:rFonts w:ascii="仿宋_GB2312" w:hAnsi="仿宋_GB2312" w:cs="仿宋_GB2312" w:eastAsia="仿宋_GB2312"/>
                      <w:sz w:val="20"/>
                    </w:rPr>
                    <w:t>L</w:t>
                  </w:r>
                  <w:r>
                    <w:rPr>
                      <w:rFonts w:ascii="仿宋_GB2312" w:hAnsi="仿宋_GB2312" w:cs="仿宋_GB2312" w:eastAsia="仿宋_GB2312"/>
                      <w:sz w:val="20"/>
                    </w:rPr>
                    <w:t>ED显示屏校正</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
                    <w:jc w:val="center"/>
                  </w:pPr>
                  <w:r>
                    <w:rPr>
                      <w:rFonts w:ascii="仿宋_GB2312" w:hAnsi="仿宋_GB2312" w:cs="仿宋_GB2312" w:eastAsia="仿宋_GB2312"/>
                      <w:sz w:val="20"/>
                    </w:rPr>
                    <w:t>LED显示屏校正原理</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LED显示屏校正</w:t>
                  </w:r>
                  <w:r>
                    <w:rPr>
                      <w:rFonts w:ascii="仿宋_GB2312" w:hAnsi="仿宋_GB2312" w:cs="仿宋_GB2312" w:eastAsia="仿宋_GB2312"/>
                      <w:sz w:val="20"/>
                    </w:rPr>
                    <w:t>背景、亮度校正、色度校正</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
                    <w:jc w:val="center"/>
                  </w:pPr>
                  <w:r>
                    <w:rPr>
                      <w:rFonts w:ascii="仿宋_GB2312" w:hAnsi="仿宋_GB2312" w:cs="仿宋_GB2312" w:eastAsia="仿宋_GB2312"/>
                      <w:sz w:val="20"/>
                    </w:rPr>
                    <w:t>LED显示屏校正系统的搭建</w:t>
                  </w:r>
                </w:p>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校正相机等设备安装、校正软件的应用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
                    <w:jc w:val="center"/>
                  </w:pPr>
                  <w:r>
                    <w:rPr>
                      <w:rFonts w:ascii="仿宋_GB2312" w:hAnsi="仿宋_GB2312" w:cs="仿宋_GB2312" w:eastAsia="仿宋_GB2312"/>
                      <w:sz w:val="20"/>
                    </w:rPr>
                    <w:t>LED显示屏全屏校正方法</w:t>
                  </w:r>
                </w:p>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串口级联</w:t>
                  </w:r>
                  <w:r>
                    <w:rPr>
                      <w:rFonts w:ascii="仿宋_GB2312" w:hAnsi="仿宋_GB2312" w:cs="仿宋_GB2312" w:eastAsia="仿宋_GB2312"/>
                      <w:sz w:val="20"/>
                    </w:rPr>
                    <w:t>+组合屏设置</w:t>
                  </w:r>
                  <w:r>
                    <w:rPr>
                      <w:rFonts w:ascii="仿宋_GB2312" w:hAnsi="仿宋_GB2312" w:cs="仿宋_GB2312" w:eastAsia="仿宋_GB2312"/>
                      <w:sz w:val="20"/>
                    </w:rPr>
                    <w:t>、局域网</w:t>
                  </w:r>
                  <w:r>
                    <w:rPr>
                      <w:rFonts w:ascii="仿宋_GB2312" w:hAnsi="仿宋_GB2312" w:cs="仿宋_GB2312" w:eastAsia="仿宋_GB2312"/>
                      <w:sz w:val="20"/>
                    </w:rPr>
                    <w:t>+组合屏设置、HDMI分线器+组合屏设置、多头显卡拼接+组合屏设置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
                    <w:jc w:val="center"/>
                  </w:pPr>
                  <w:r>
                    <w:rPr>
                      <w:rFonts w:ascii="仿宋_GB2312" w:hAnsi="仿宋_GB2312" w:cs="仿宋_GB2312" w:eastAsia="仿宋_GB2312"/>
                      <w:sz w:val="20"/>
                    </w:rPr>
                    <w:t>LED显示屏箱体校正方法</w:t>
                  </w:r>
                </w:p>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控制系统配置、校正系统配置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LED显示屏校正常见故障处理</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亮度故障、色度故障、控制故障、校正软件等综合问题分析及处理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高铁站候车厅</w:t>
                  </w:r>
                  <w:r>
                    <w:rPr>
                      <w:rFonts w:ascii="仿宋_GB2312" w:hAnsi="仿宋_GB2312" w:cs="仿宋_GB2312" w:eastAsia="仿宋_GB2312"/>
                      <w:sz w:val="20"/>
                    </w:rPr>
                    <w:t>LED显示屏故障处理</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LED显示屏常见问题分析思路</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LED显示屏常见</w:t>
                  </w:r>
                  <w:r>
                    <w:rPr>
                      <w:rFonts w:ascii="仿宋_GB2312" w:hAnsi="仿宋_GB2312" w:cs="仿宋_GB2312" w:eastAsia="仿宋_GB2312"/>
                      <w:sz w:val="20"/>
                    </w:rPr>
                    <w:t>典型</w:t>
                  </w:r>
                  <w:r>
                    <w:rPr>
                      <w:rFonts w:ascii="仿宋_GB2312" w:hAnsi="仿宋_GB2312" w:cs="仿宋_GB2312" w:eastAsia="仿宋_GB2312"/>
                      <w:sz w:val="20"/>
                    </w:rPr>
                    <w:t>问题</w:t>
                  </w:r>
                  <w:r>
                    <w:rPr>
                      <w:rFonts w:ascii="仿宋_GB2312" w:hAnsi="仿宋_GB2312" w:cs="仿宋_GB2312" w:eastAsia="仿宋_GB2312"/>
                      <w:sz w:val="20"/>
                    </w:rPr>
                    <w:t>介绍、</w:t>
                  </w:r>
                </w:p>
                <w:p>
                  <w:pPr>
                    <w:pStyle w:val="null3"/>
                    <w:jc w:val="center"/>
                  </w:pPr>
                  <w:r>
                    <w:rPr>
                      <w:rFonts w:ascii="仿宋_GB2312" w:hAnsi="仿宋_GB2312" w:cs="仿宋_GB2312" w:eastAsia="仿宋_GB2312"/>
                      <w:sz w:val="20"/>
                      <w:color w:val="000000"/>
                    </w:rPr>
                    <w:t>介绍定位问题的常见方法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LED显示屏常见问题排除方法</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LED显示屏故障排除思路</w:t>
                  </w:r>
                  <w:r>
                    <w:rPr>
                      <w:rFonts w:ascii="仿宋_GB2312" w:hAnsi="仿宋_GB2312" w:cs="仿宋_GB2312" w:eastAsia="仿宋_GB2312"/>
                      <w:sz w:val="20"/>
                    </w:rPr>
                    <w:t>、</w:t>
                  </w:r>
                  <w:r>
                    <w:rPr>
                      <w:rFonts w:ascii="仿宋_GB2312" w:hAnsi="仿宋_GB2312" w:cs="仿宋_GB2312" w:eastAsia="仿宋_GB2312"/>
                      <w:sz w:val="20"/>
                    </w:rPr>
                    <w:t>故障排除方法</w:t>
                  </w:r>
                  <w:r>
                    <w:rPr>
                      <w:rFonts w:ascii="仿宋_GB2312" w:hAnsi="仿宋_GB2312" w:cs="仿宋_GB2312" w:eastAsia="仿宋_GB2312"/>
                      <w:sz w:val="20"/>
                    </w:rPr>
                    <w:t>、</w:t>
                  </w:r>
                  <w:r>
                    <w:rPr>
                      <w:rFonts w:ascii="仿宋_GB2312" w:hAnsi="仿宋_GB2312" w:cs="仿宋_GB2312" w:eastAsia="仿宋_GB2312"/>
                      <w:sz w:val="20"/>
                    </w:rPr>
                    <w:t>故障的规避方案</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固装屏故障解决</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固装屏故障分类及解决方法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杭州亚运会开幕式</w:t>
                  </w:r>
                  <w:r>
                    <w:rPr>
                      <w:rFonts w:ascii="仿宋_GB2312" w:hAnsi="仿宋_GB2312" w:cs="仿宋_GB2312" w:eastAsia="仿宋_GB2312"/>
                      <w:sz w:val="20"/>
                    </w:rPr>
                    <w:t>LED显示屏系统工程</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大型项目方案设计</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大型项目方案设计考虑因素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LED控制系统</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控制系统架构及设备选型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安全保障措施</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r>
                    <w:rPr>
                      <w:rFonts w:ascii="仿宋_GB2312" w:hAnsi="仿宋_GB2312" w:cs="仿宋_GB2312" w:eastAsia="仿宋_GB2312"/>
                      <w:sz w:val="20"/>
                    </w:rPr>
                    <w:t>播控系统设计</w:t>
                  </w:r>
                </w:p>
              </w:tc>
            </w:tr>
          </w:tbl>
          <w:p>
            <w:pPr>
              <w:pStyle w:val="null3"/>
              <w:jc w:val="left"/>
            </w:pPr>
            <w:r>
              <w:rPr>
                <w:rFonts w:ascii="仿宋_GB2312" w:hAnsi="仿宋_GB2312" w:cs="仿宋_GB2312" w:eastAsia="仿宋_GB2312"/>
                <w:sz w:val="20"/>
                <w:b/>
              </w:rPr>
              <w:t>九、</w:t>
            </w:r>
            <w:r>
              <w:rPr>
                <w:rFonts w:ascii="仿宋_GB2312" w:hAnsi="仿宋_GB2312" w:cs="仿宋_GB2312" w:eastAsia="仿宋_GB2312"/>
                <w:sz w:val="20"/>
                <w:b/>
              </w:rPr>
              <w:t>《地理信息系统技术与应用》</w:t>
            </w:r>
          </w:p>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《地理信息系统技术与应用》课程录制</w:t>
            </w:r>
            <w:r>
              <w:rPr>
                <w:rFonts w:ascii="仿宋_GB2312" w:hAnsi="仿宋_GB2312" w:cs="仿宋_GB2312" w:eastAsia="仿宋_GB2312"/>
                <w:sz w:val="20"/>
              </w:rPr>
              <w:t>59个微课</w:t>
            </w:r>
          </w:p>
          <w:tbl>
            <w:tblPr>
              <w:tblBorders>
                <w:top w:val="none" w:color="000000" w:sz="4"/>
                <w:left w:val="none" w:color="000000" w:sz="4"/>
                <w:bottom w:val="none" w:color="000000" w:sz="4"/>
                <w:right w:val="none" w:color="000000" w:sz="4"/>
                <w:insideH w:val="none"/>
                <w:insideV w:val="none"/>
              </w:tblBorders>
            </w:tblPr>
            <w:tblGrid>
              <w:gridCol w:w="233"/>
              <w:gridCol w:w="556"/>
              <w:gridCol w:w="973"/>
              <w:gridCol w:w="1045"/>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学习情景</w:t>
                  </w:r>
                </w:p>
              </w:tc>
              <w:tc>
                <w:tcPr>
                  <w:tcW w:type="dxa" w:w="9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节名</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知识（技能）点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GIS认知</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地理信息系统基础</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GIS概念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GIS构成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GIS功能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GIS发展与应用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认识</w:t>
                  </w:r>
                  <w:r>
                    <w:rPr>
                      <w:rFonts w:ascii="仿宋_GB2312" w:hAnsi="仿宋_GB2312" w:cs="仿宋_GB2312" w:eastAsia="仿宋_GB2312"/>
                      <w:sz w:val="20"/>
                    </w:rPr>
                    <w:t>GIS软件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认识</w:t>
                  </w:r>
                  <w:r>
                    <w:rPr>
                      <w:rFonts w:ascii="仿宋_GB2312" w:hAnsi="仿宋_GB2312" w:cs="仿宋_GB2312" w:eastAsia="仿宋_GB2312"/>
                      <w:sz w:val="20"/>
                    </w:rPr>
                    <w:t>ArcGIS</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空间数据结构</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空间数据类型及表达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矢量数据结构</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栅格数据结构</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ArcGIS数据格式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空间数据坐标系统</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地理坐标系统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地图投影</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ArcGIS投影与坐标转换</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GIS数据采集与建库</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空间数据采集</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空间数据采集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属性数据采集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ArcGIS空间数据采集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ArcGIS属性数据采集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空间数据建库</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数据库基本知识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空间数据库</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ArcGIS空间数据库</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ArcGIS空间数据建库</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GIS数据处理</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空间数据转换</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空间数据转换</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ArcGIS数据格式转换</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ArcGIS数据结构转换</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空间数据编辑</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空间数据编辑</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ArcGIS空间数据编辑</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空间数据拓扑处理</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空间数据拓扑</w:t>
                  </w:r>
                  <w:r>
                    <w:rPr>
                      <w:rFonts w:ascii="仿宋_GB2312" w:hAnsi="仿宋_GB2312" w:cs="仿宋_GB2312" w:eastAsia="仿宋_GB2312"/>
                      <w:sz w:val="20"/>
                    </w:rPr>
                    <w:t>处理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ArcGIS拓扑建立与处理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空间数据误差校正</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空间数据误差校正</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ArcGIS空间校正</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ArcGIS地理配准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图形裁剪与合并</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图形裁剪</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图形合并与图幅接边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ArcGIS矢量数据裁剪与合并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ArcGIS栅格数据裁剪与合并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GIS数据查询与分析</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空间数据查询</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空间数据查询</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ArcGIS空间数据查询</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缓冲区分析</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缓冲区分析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ArcGIS缓冲区分析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叠置分析</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叠置分析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ArcGIS叠置分析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空间网络分析</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空间网络分析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ArcGIS网络分析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DEM分析</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数字高程模型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数字高程模型分析应用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ArcGIS中DEM生成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ArcGIS中DEM分析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GIS数据可视化</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地理空间数据输出</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空间数据可视化</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地图符号化与标注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ArcGIS地图图面设计</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地图制作</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普通地图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专题地图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ArcGIS普通地图制作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ArcGIS专题地图制作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GIS综合应用</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GIS行业应用</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GIS行业应用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选址分析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3S集成技术</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3S集成技术</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3S集成技术应用</w:t>
                  </w:r>
                </w:p>
              </w:tc>
            </w:tr>
          </w:tbl>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《地理信息系统技术与应用》课程录制</w:t>
            </w:r>
            <w:r>
              <w:rPr>
                <w:rFonts w:ascii="仿宋_GB2312" w:hAnsi="仿宋_GB2312" w:cs="仿宋_GB2312" w:eastAsia="仿宋_GB2312"/>
                <w:sz w:val="20"/>
              </w:rPr>
              <w:t>10</w:t>
            </w:r>
            <w:r>
              <w:rPr>
                <w:rFonts w:ascii="仿宋_GB2312" w:hAnsi="仿宋_GB2312" w:cs="仿宋_GB2312" w:eastAsia="仿宋_GB2312"/>
                <w:sz w:val="20"/>
              </w:rPr>
              <w:t>个</w:t>
            </w:r>
            <w:r>
              <w:rPr>
                <w:rFonts w:ascii="仿宋_GB2312" w:hAnsi="仿宋_GB2312" w:cs="仿宋_GB2312" w:eastAsia="仿宋_GB2312"/>
                <w:sz w:val="20"/>
              </w:rPr>
              <w:t>动画</w:t>
            </w:r>
          </w:p>
          <w:tbl>
            <w:tblPr>
              <w:tblBorders>
                <w:top w:val="none" w:color="000000" w:sz="4"/>
                <w:left w:val="none" w:color="000000" w:sz="4"/>
                <w:bottom w:val="none" w:color="000000" w:sz="4"/>
                <w:right w:val="none" w:color="000000" w:sz="4"/>
                <w:insideH w:val="none"/>
                <w:insideV w:val="none"/>
              </w:tblBorders>
            </w:tblPr>
            <w:tblGrid>
              <w:gridCol w:w="196"/>
              <w:gridCol w:w="483"/>
              <w:gridCol w:w="528"/>
              <w:gridCol w:w="673"/>
              <w:gridCol w:w="673"/>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所属学习情景</w:t>
                  </w: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所属节名</w:t>
                  </w:r>
                </w:p>
              </w:tc>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所属知识（技能）点</w:t>
                  </w:r>
                </w:p>
              </w:tc>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动画</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GIS认知</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地理信息系统基础</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GIS构成</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动态展示</w:t>
                  </w:r>
                  <w:r>
                    <w:rPr>
                      <w:rFonts w:ascii="仿宋_GB2312" w:hAnsi="仿宋_GB2312" w:cs="仿宋_GB2312" w:eastAsia="仿宋_GB2312"/>
                      <w:sz w:val="20"/>
                    </w:rPr>
                    <w:t>GIS构成的协同过程</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83"/>
                  <w:vMerge/>
                  <w:tcBorders>
                    <w:top w:val="none" w:color="000000" w:sz="4"/>
                    <w:left w:val="single" w:color="000000" w:sz="4"/>
                    <w:bottom w:val="single" w:color="000000" w:sz="4"/>
                    <w:right w:val="single" w:color="000000" w:sz="4"/>
                  </w:tcBorders>
                </w:tcPr>
                <w:p/>
              </w:tc>
              <w:tc>
                <w:tcPr>
                  <w:tcW w:type="dxa" w:w="5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空间数据坐标系统</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地理坐标系统</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动态演示地球椭球体</w:t>
                  </w:r>
                  <w:r>
                    <w:rPr>
                      <w:rFonts w:ascii="仿宋_GB2312" w:hAnsi="仿宋_GB2312" w:cs="仿宋_GB2312" w:eastAsia="仿宋_GB2312"/>
                      <w:sz w:val="20"/>
                    </w:rPr>
                    <w:t>→经纬度定义→坐标定位的全流程</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83"/>
                  <w:vMerge/>
                  <w:tcBorders>
                    <w:top w:val="none" w:color="000000" w:sz="4"/>
                    <w:left w:val="single" w:color="000000" w:sz="4"/>
                    <w:bottom w:val="single" w:color="000000" w:sz="4"/>
                    <w:right w:val="single" w:color="000000" w:sz="4"/>
                  </w:tcBorders>
                </w:tcPr>
                <w:p/>
              </w:tc>
              <w:tc>
                <w:tcPr>
                  <w:tcW w:type="dxa" w:w="528"/>
                  <w:vMerge/>
                  <w:tcBorders>
                    <w:top w:val="none" w:color="000000" w:sz="4"/>
                    <w:left w:val="single" w:color="000000" w:sz="4"/>
                    <w:bottom w:val="single" w:color="000000" w:sz="4"/>
                    <w:right w:val="single" w:color="000000" w:sz="4"/>
                  </w:tcBorders>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地图投影</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动态展示从三维球体到平面的过程</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GIS数据采集与建库</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空间数据采集</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空间数据采集</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动态演示野外实测、无人机航拍等多种采集方式的全流程</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GIS数据处理</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空间数据拓扑处理</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空间数据拓扑</w:t>
                  </w:r>
                  <w:r>
                    <w:rPr>
                      <w:rFonts w:ascii="仿宋_GB2312" w:hAnsi="仿宋_GB2312" w:cs="仿宋_GB2312" w:eastAsia="仿宋_GB2312"/>
                      <w:sz w:val="20"/>
                    </w:rPr>
                    <w:t>处理</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动态演示</w:t>
                  </w:r>
                  <w:r>
                    <w:rPr>
                      <w:rFonts w:ascii="仿宋_GB2312" w:hAnsi="仿宋_GB2312" w:cs="仿宋_GB2312" w:eastAsia="仿宋_GB2312"/>
                      <w:sz w:val="20"/>
                    </w:rPr>
                    <w:t>“悬挂节点、边界重叠”等拓扑错误的识别与修复</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83"/>
                  <w:vMerge/>
                  <w:tcBorders>
                    <w:top w:val="none" w:color="000000" w:sz="4"/>
                    <w:left w:val="single" w:color="000000" w:sz="4"/>
                    <w:bottom w:val="single" w:color="000000" w:sz="4"/>
                    <w:right w:val="single" w:color="000000" w:sz="4"/>
                  </w:tcBorders>
                </w:tcP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空间数据误差校正</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空间数据误差校正</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展示</w:t>
                  </w:r>
                  <w:r>
                    <w:rPr>
                      <w:rFonts w:ascii="仿宋_GB2312" w:hAnsi="仿宋_GB2312" w:cs="仿宋_GB2312" w:eastAsia="仿宋_GB2312"/>
                      <w:sz w:val="20"/>
                    </w:rPr>
                    <w:t>“变形数据→控制点选取→逐步校正→精准对齐”的过程</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GIS数据查询与分析</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叠置分析</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叠置分析</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动态叠加图层</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3"/>
                  <w:vMerge/>
                  <w:tcBorders>
                    <w:top w:val="none" w:color="000000" w:sz="4"/>
                    <w:left w:val="single" w:color="000000" w:sz="4"/>
                    <w:bottom w:val="single" w:color="000000" w:sz="4"/>
                    <w:right w:val="single" w:color="000000" w:sz="4"/>
                  </w:tcBorders>
                </w:tcP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空间网络分析</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空间网络分析</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动态演示路径计算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GIS数据可视化</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地理空间数据输出</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空间数据可视化</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动态演示二维数据、三维模型的可视化</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GIS综合应用</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3S集成技术</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3S集成技术应用</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动态演示</w:t>
                  </w:r>
                  <w:r>
                    <w:rPr>
                      <w:rFonts w:ascii="仿宋_GB2312" w:hAnsi="仿宋_GB2312" w:cs="仿宋_GB2312" w:eastAsia="仿宋_GB2312"/>
                      <w:sz w:val="20"/>
                    </w:rPr>
                    <w:t>GPS定位→RS数据获取→GIS数据处理与分析的协同流程</w:t>
                  </w:r>
                </w:p>
              </w:tc>
            </w:tr>
          </w:tbl>
          <w:p>
            <w:pPr>
              <w:pStyle w:val="null3"/>
              <w:jc w:val="left"/>
            </w:pPr>
            <w:r>
              <w:rPr>
                <w:rFonts w:ascii="仿宋_GB2312" w:hAnsi="仿宋_GB2312" w:cs="仿宋_GB2312" w:eastAsia="仿宋_GB2312"/>
                <w:sz w:val="20"/>
                <w:b/>
                <w:color w:val="000000"/>
              </w:rPr>
              <w:t>十、</w:t>
            </w:r>
            <w:r>
              <w:rPr>
                <w:rFonts w:ascii="仿宋_GB2312" w:hAnsi="仿宋_GB2312" w:cs="仿宋_GB2312" w:eastAsia="仿宋_GB2312"/>
                <w:sz w:val="20"/>
                <w:b/>
                <w:color w:val="000000"/>
              </w:rPr>
              <w:t>《</w:t>
            </w:r>
            <w:r>
              <w:rPr>
                <w:rFonts w:ascii="仿宋_GB2312" w:hAnsi="仿宋_GB2312" w:cs="仿宋_GB2312" w:eastAsia="仿宋_GB2312"/>
                <w:sz w:val="20"/>
                <w:b/>
              </w:rPr>
              <w:t>装配式建筑施工技术</w:t>
            </w:r>
            <w:r>
              <w:rPr>
                <w:rFonts w:ascii="仿宋_GB2312" w:hAnsi="仿宋_GB2312" w:cs="仿宋_GB2312" w:eastAsia="仿宋_GB2312"/>
                <w:sz w:val="20"/>
                <w:b/>
                <w:color w:val="000000"/>
              </w:rPr>
              <w:t>》</w:t>
            </w:r>
          </w:p>
          <w:p>
            <w:pPr>
              <w:pStyle w:val="null3"/>
              <w:ind w:firstLine="400"/>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w:t>
            </w:r>
            <w:r>
              <w:rPr>
                <w:rFonts w:ascii="仿宋_GB2312" w:hAnsi="仿宋_GB2312" w:cs="仿宋_GB2312" w:eastAsia="仿宋_GB2312"/>
                <w:sz w:val="20"/>
              </w:rPr>
              <w:t>装配式建筑施工技术</w:t>
            </w:r>
            <w:r>
              <w:rPr>
                <w:rFonts w:ascii="仿宋_GB2312" w:hAnsi="仿宋_GB2312" w:cs="仿宋_GB2312" w:eastAsia="仿宋_GB2312"/>
                <w:sz w:val="20"/>
                <w:color w:val="000000"/>
              </w:rPr>
              <w:t>》课程录制</w:t>
            </w:r>
            <w:r>
              <w:rPr>
                <w:rFonts w:ascii="仿宋_GB2312" w:hAnsi="仿宋_GB2312" w:cs="仿宋_GB2312" w:eastAsia="仿宋_GB2312"/>
                <w:sz w:val="20"/>
                <w:color w:val="000000"/>
              </w:rPr>
              <w:t>57个微课</w:t>
            </w:r>
          </w:p>
          <w:tbl>
            <w:tblPr>
              <w:tblBorders>
                <w:top w:val="none" w:color="000000" w:sz="4"/>
                <w:left w:val="none" w:color="000000" w:sz="4"/>
                <w:bottom w:val="none" w:color="000000" w:sz="4"/>
                <w:right w:val="none" w:color="000000" w:sz="4"/>
                <w:insideH w:val="none"/>
                <w:insideV w:val="none"/>
              </w:tblBorders>
            </w:tblPr>
            <w:tblGrid>
              <w:gridCol w:w="227"/>
              <w:gridCol w:w="1014"/>
              <w:gridCol w:w="568"/>
              <w:gridCol w:w="1001"/>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0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学习情景</w:t>
                  </w:r>
                </w:p>
              </w:tc>
              <w:tc>
                <w:tcPr>
                  <w:tcW w:type="dxa" w:w="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节名</w:t>
                  </w:r>
                </w:p>
              </w:tc>
              <w:tc>
                <w:tcPr>
                  <w:tcW w:type="dxa" w:w="1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知识</w:t>
                  </w:r>
                  <w:r>
                    <w:rPr>
                      <w:rFonts w:ascii="仿宋_GB2312" w:hAnsi="仿宋_GB2312" w:cs="仿宋_GB2312" w:eastAsia="仿宋_GB2312"/>
                      <w:sz w:val="20"/>
                      <w:b/>
                    </w:rPr>
                    <w:t>（技能）</w:t>
                  </w:r>
                  <w:r>
                    <w:rPr>
                      <w:rFonts w:ascii="仿宋_GB2312" w:hAnsi="仿宋_GB2312" w:cs="仿宋_GB2312" w:eastAsia="仿宋_GB2312"/>
                      <w:sz w:val="20"/>
                      <w:b/>
                    </w:rPr>
                    <w:t>点</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项目一</w:t>
                  </w:r>
                </w:p>
                <w:p>
                  <w:pPr>
                    <w:pStyle w:val="null3"/>
                    <w:jc w:val="center"/>
                  </w:pPr>
                  <w:r>
                    <w:rPr>
                      <w:rFonts w:ascii="仿宋_GB2312" w:hAnsi="仿宋_GB2312" w:cs="仿宋_GB2312" w:eastAsia="仿宋_GB2312"/>
                      <w:sz w:val="20"/>
                    </w:rPr>
                    <w:t>装配式建筑</w:t>
                  </w:r>
                  <w:r>
                    <w:rPr>
                      <w:rFonts w:ascii="仿宋_GB2312" w:hAnsi="仿宋_GB2312" w:cs="仿宋_GB2312" w:eastAsia="仿宋_GB2312"/>
                      <w:sz w:val="20"/>
                    </w:rPr>
                    <w:t>“启蒙课”——从零吃透行业底层逻辑</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装配式建筑认知调研</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装配式建筑的定义</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项目一</w:t>
                  </w:r>
                </w:p>
                <w:p>
                  <w:pPr>
                    <w:pStyle w:val="null3"/>
                    <w:jc w:val="center"/>
                  </w:pPr>
                  <w:r>
                    <w:rPr>
                      <w:rFonts w:ascii="仿宋_GB2312" w:hAnsi="仿宋_GB2312" w:cs="仿宋_GB2312" w:eastAsia="仿宋_GB2312"/>
                      <w:sz w:val="20"/>
                    </w:rPr>
                    <w:t>装配式建筑</w:t>
                  </w:r>
                  <w:r>
                    <w:rPr>
                      <w:rFonts w:ascii="仿宋_GB2312" w:hAnsi="仿宋_GB2312" w:cs="仿宋_GB2312" w:eastAsia="仿宋_GB2312"/>
                      <w:sz w:val="20"/>
                    </w:rPr>
                    <w:t>“启蒙课”——从零吃透行业底层逻辑</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装配式建筑认知调研</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装配式建筑发展历程</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项目一</w:t>
                  </w:r>
                </w:p>
                <w:p>
                  <w:pPr>
                    <w:pStyle w:val="null3"/>
                    <w:jc w:val="center"/>
                  </w:pPr>
                  <w:r>
                    <w:rPr>
                      <w:rFonts w:ascii="仿宋_GB2312" w:hAnsi="仿宋_GB2312" w:cs="仿宋_GB2312" w:eastAsia="仿宋_GB2312"/>
                      <w:sz w:val="20"/>
                    </w:rPr>
                    <w:t>装配式建筑</w:t>
                  </w:r>
                  <w:r>
                    <w:rPr>
                      <w:rFonts w:ascii="仿宋_GB2312" w:hAnsi="仿宋_GB2312" w:cs="仿宋_GB2312" w:eastAsia="仿宋_GB2312"/>
                      <w:sz w:val="20"/>
                    </w:rPr>
                    <w:t>“启蒙课”——从零吃透行业底层逻辑</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装配式建筑认知调研</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装配式混凝土结构的分类</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项目一</w:t>
                  </w:r>
                </w:p>
                <w:p>
                  <w:pPr>
                    <w:pStyle w:val="null3"/>
                    <w:jc w:val="center"/>
                  </w:pPr>
                  <w:r>
                    <w:rPr>
                      <w:rFonts w:ascii="仿宋_GB2312" w:hAnsi="仿宋_GB2312" w:cs="仿宋_GB2312" w:eastAsia="仿宋_GB2312"/>
                      <w:sz w:val="20"/>
                    </w:rPr>
                    <w:t>装配式建筑</w:t>
                  </w:r>
                  <w:r>
                    <w:rPr>
                      <w:rFonts w:ascii="仿宋_GB2312" w:hAnsi="仿宋_GB2312" w:cs="仿宋_GB2312" w:eastAsia="仿宋_GB2312"/>
                      <w:sz w:val="20"/>
                    </w:rPr>
                    <w:t>“启蒙课”——从零吃透行业底层逻辑</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装配式建筑认知调研</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装配式混凝土构件的种类</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项目一</w:t>
                  </w:r>
                </w:p>
                <w:p>
                  <w:pPr>
                    <w:pStyle w:val="null3"/>
                    <w:jc w:val="center"/>
                  </w:pPr>
                  <w:r>
                    <w:rPr>
                      <w:rFonts w:ascii="仿宋_GB2312" w:hAnsi="仿宋_GB2312" w:cs="仿宋_GB2312" w:eastAsia="仿宋_GB2312"/>
                      <w:sz w:val="20"/>
                    </w:rPr>
                    <w:t>装配式建筑</w:t>
                  </w:r>
                  <w:r>
                    <w:rPr>
                      <w:rFonts w:ascii="仿宋_GB2312" w:hAnsi="仿宋_GB2312" w:cs="仿宋_GB2312" w:eastAsia="仿宋_GB2312"/>
                      <w:sz w:val="20"/>
                    </w:rPr>
                    <w:t>“启蒙课”——从零吃透行业底层逻辑</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项目装配率对比分析</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装配式建筑评价标准</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项目一</w:t>
                  </w:r>
                </w:p>
                <w:p>
                  <w:pPr>
                    <w:pStyle w:val="null3"/>
                    <w:jc w:val="center"/>
                  </w:pPr>
                  <w:r>
                    <w:rPr>
                      <w:rFonts w:ascii="仿宋_GB2312" w:hAnsi="仿宋_GB2312" w:cs="仿宋_GB2312" w:eastAsia="仿宋_GB2312"/>
                      <w:sz w:val="20"/>
                    </w:rPr>
                    <w:t>装配式建筑</w:t>
                  </w:r>
                  <w:r>
                    <w:rPr>
                      <w:rFonts w:ascii="仿宋_GB2312" w:hAnsi="仿宋_GB2312" w:cs="仿宋_GB2312" w:eastAsia="仿宋_GB2312"/>
                      <w:sz w:val="20"/>
                    </w:rPr>
                    <w:t>“启蒙课”——从零吃透行业底层逻辑</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项目装配率对比分析</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装配式建筑的发展方向及展望</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p>
                <w:p>
                  <w:pPr>
                    <w:pStyle w:val="null3"/>
                    <w:jc w:val="center"/>
                  </w:pPr>
                  <w:r>
                    <w:rPr>
                      <w:rFonts w:ascii="仿宋_GB2312" w:hAnsi="仿宋_GB2312" w:cs="仿宋_GB2312" w:eastAsia="仿宋_GB2312"/>
                      <w:sz w:val="20"/>
                    </w:rPr>
                    <w:t>深化设计</w:t>
                  </w:r>
                  <w:r>
                    <w:rPr>
                      <w:rFonts w:ascii="仿宋_GB2312" w:hAnsi="仿宋_GB2312" w:cs="仿宋_GB2312" w:eastAsia="仿宋_GB2312"/>
                      <w:sz w:val="20"/>
                    </w:rPr>
                    <w:t>“解码与精研”——装配式识图技巧与构件深化设计</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预制混凝土叠合板构件深化设计</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双向桁架钢筋混凝土叠合板识读</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p>
                <w:p>
                  <w:pPr>
                    <w:pStyle w:val="null3"/>
                    <w:jc w:val="center"/>
                  </w:pPr>
                  <w:r>
                    <w:rPr>
                      <w:rFonts w:ascii="仿宋_GB2312" w:hAnsi="仿宋_GB2312" w:cs="仿宋_GB2312" w:eastAsia="仿宋_GB2312"/>
                      <w:sz w:val="20"/>
                    </w:rPr>
                    <w:t>深化设计</w:t>
                  </w:r>
                  <w:r>
                    <w:rPr>
                      <w:rFonts w:ascii="仿宋_GB2312" w:hAnsi="仿宋_GB2312" w:cs="仿宋_GB2312" w:eastAsia="仿宋_GB2312"/>
                      <w:sz w:val="20"/>
                    </w:rPr>
                    <w:t>“解码与精研”——装配式识图技巧与构件深化设计</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预制混凝土叠合板构件深化设计</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单向桁架钢筋混凝土叠合板识读</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p>
                <w:p>
                  <w:pPr>
                    <w:pStyle w:val="null3"/>
                    <w:jc w:val="center"/>
                  </w:pPr>
                  <w:r>
                    <w:rPr>
                      <w:rFonts w:ascii="仿宋_GB2312" w:hAnsi="仿宋_GB2312" w:cs="仿宋_GB2312" w:eastAsia="仿宋_GB2312"/>
                      <w:sz w:val="20"/>
                    </w:rPr>
                    <w:t>深化设计</w:t>
                  </w:r>
                  <w:r>
                    <w:rPr>
                      <w:rFonts w:ascii="仿宋_GB2312" w:hAnsi="仿宋_GB2312" w:cs="仿宋_GB2312" w:eastAsia="仿宋_GB2312"/>
                      <w:sz w:val="20"/>
                    </w:rPr>
                    <w:t>“解码与精研”——装配式识图技巧与构件深化设计</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预制混凝土叠合板构件深化设计</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桁架钢筋混凝土叠合板深化设计</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p>
                <w:p>
                  <w:pPr>
                    <w:pStyle w:val="null3"/>
                    <w:jc w:val="center"/>
                  </w:pPr>
                  <w:r>
                    <w:rPr>
                      <w:rFonts w:ascii="仿宋_GB2312" w:hAnsi="仿宋_GB2312" w:cs="仿宋_GB2312" w:eastAsia="仿宋_GB2312"/>
                      <w:sz w:val="20"/>
                    </w:rPr>
                    <w:t>深化设计</w:t>
                  </w:r>
                  <w:r>
                    <w:rPr>
                      <w:rFonts w:ascii="仿宋_GB2312" w:hAnsi="仿宋_GB2312" w:cs="仿宋_GB2312" w:eastAsia="仿宋_GB2312"/>
                      <w:sz w:val="20"/>
                    </w:rPr>
                    <w:t>“解码与精研”——装配式识图技巧与构件深化设计</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预制混凝土剪力墙构件深化设计</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无洞口预制混凝土内墙板识读</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p>
                <w:p>
                  <w:pPr>
                    <w:pStyle w:val="null3"/>
                    <w:jc w:val="center"/>
                  </w:pPr>
                  <w:r>
                    <w:rPr>
                      <w:rFonts w:ascii="仿宋_GB2312" w:hAnsi="仿宋_GB2312" w:cs="仿宋_GB2312" w:eastAsia="仿宋_GB2312"/>
                      <w:sz w:val="20"/>
                    </w:rPr>
                    <w:t>深化设计</w:t>
                  </w:r>
                  <w:r>
                    <w:rPr>
                      <w:rFonts w:ascii="仿宋_GB2312" w:hAnsi="仿宋_GB2312" w:cs="仿宋_GB2312" w:eastAsia="仿宋_GB2312"/>
                      <w:sz w:val="20"/>
                    </w:rPr>
                    <w:t>“解码与精研”——装配式识图技巧与构件深化设计</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预制混凝土剪力墙构件深化设计</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有洞口预制混凝土内墙板识读</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p>
                <w:p>
                  <w:pPr>
                    <w:pStyle w:val="null3"/>
                    <w:jc w:val="center"/>
                  </w:pPr>
                  <w:r>
                    <w:rPr>
                      <w:rFonts w:ascii="仿宋_GB2312" w:hAnsi="仿宋_GB2312" w:cs="仿宋_GB2312" w:eastAsia="仿宋_GB2312"/>
                      <w:sz w:val="20"/>
                    </w:rPr>
                    <w:t>深化设计</w:t>
                  </w:r>
                  <w:r>
                    <w:rPr>
                      <w:rFonts w:ascii="仿宋_GB2312" w:hAnsi="仿宋_GB2312" w:cs="仿宋_GB2312" w:eastAsia="仿宋_GB2312"/>
                      <w:sz w:val="20"/>
                    </w:rPr>
                    <w:t>“解码与精研”——装配式识图技巧与构件深化设计</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预制混凝土剪力墙构件深化设计</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预制混凝土内墙板深化设计</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p>
                <w:p>
                  <w:pPr>
                    <w:pStyle w:val="null3"/>
                    <w:jc w:val="center"/>
                  </w:pPr>
                  <w:r>
                    <w:rPr>
                      <w:rFonts w:ascii="仿宋_GB2312" w:hAnsi="仿宋_GB2312" w:cs="仿宋_GB2312" w:eastAsia="仿宋_GB2312"/>
                      <w:sz w:val="20"/>
                    </w:rPr>
                    <w:t>深化设计</w:t>
                  </w:r>
                  <w:r>
                    <w:rPr>
                      <w:rFonts w:ascii="仿宋_GB2312" w:hAnsi="仿宋_GB2312" w:cs="仿宋_GB2312" w:eastAsia="仿宋_GB2312"/>
                      <w:sz w:val="20"/>
                    </w:rPr>
                    <w:t>“解码与精研”——装配式识图技巧与构件深化设计</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预制混凝土剪力墙构件深化设计</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无洞口预制混凝土外墙板识读</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p>
                <w:p>
                  <w:pPr>
                    <w:pStyle w:val="null3"/>
                    <w:jc w:val="center"/>
                  </w:pPr>
                  <w:r>
                    <w:rPr>
                      <w:rFonts w:ascii="仿宋_GB2312" w:hAnsi="仿宋_GB2312" w:cs="仿宋_GB2312" w:eastAsia="仿宋_GB2312"/>
                      <w:sz w:val="20"/>
                    </w:rPr>
                    <w:t>深化设计</w:t>
                  </w:r>
                  <w:r>
                    <w:rPr>
                      <w:rFonts w:ascii="仿宋_GB2312" w:hAnsi="仿宋_GB2312" w:cs="仿宋_GB2312" w:eastAsia="仿宋_GB2312"/>
                      <w:sz w:val="20"/>
                    </w:rPr>
                    <w:t>“解码与精研”——装配式识图技巧与构件深化设计</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预制混凝土剪力墙构件深化设计</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有洞口预制混凝土外墙板模板图识读</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p>
                <w:p>
                  <w:pPr>
                    <w:pStyle w:val="null3"/>
                    <w:jc w:val="center"/>
                  </w:pPr>
                  <w:r>
                    <w:rPr>
                      <w:rFonts w:ascii="仿宋_GB2312" w:hAnsi="仿宋_GB2312" w:cs="仿宋_GB2312" w:eastAsia="仿宋_GB2312"/>
                      <w:sz w:val="20"/>
                    </w:rPr>
                    <w:t>深化设计</w:t>
                  </w:r>
                  <w:r>
                    <w:rPr>
                      <w:rFonts w:ascii="仿宋_GB2312" w:hAnsi="仿宋_GB2312" w:cs="仿宋_GB2312" w:eastAsia="仿宋_GB2312"/>
                      <w:sz w:val="20"/>
                    </w:rPr>
                    <w:t>“解码与精研”——装配式识图技巧与构件深化设计</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预制混凝土剪力墙构件深化设计</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预制混凝土外墙板深化设计</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p>
                <w:p>
                  <w:pPr>
                    <w:pStyle w:val="null3"/>
                    <w:jc w:val="center"/>
                  </w:pPr>
                  <w:r>
                    <w:rPr>
                      <w:rFonts w:ascii="仿宋_GB2312" w:hAnsi="仿宋_GB2312" w:cs="仿宋_GB2312" w:eastAsia="仿宋_GB2312"/>
                      <w:sz w:val="20"/>
                    </w:rPr>
                    <w:t>深化设计</w:t>
                  </w:r>
                  <w:r>
                    <w:rPr>
                      <w:rFonts w:ascii="仿宋_GB2312" w:hAnsi="仿宋_GB2312" w:cs="仿宋_GB2312" w:eastAsia="仿宋_GB2312"/>
                      <w:sz w:val="20"/>
                    </w:rPr>
                    <w:t>“解码与精研”——装配式识图技巧与构件深化设计</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预制混凝土楼梯构件深化设计</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预制混凝土双跑楼梯识图</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p>
                <w:p>
                  <w:pPr>
                    <w:pStyle w:val="null3"/>
                    <w:jc w:val="center"/>
                  </w:pPr>
                  <w:r>
                    <w:rPr>
                      <w:rFonts w:ascii="仿宋_GB2312" w:hAnsi="仿宋_GB2312" w:cs="仿宋_GB2312" w:eastAsia="仿宋_GB2312"/>
                      <w:sz w:val="20"/>
                    </w:rPr>
                    <w:t>深化设计</w:t>
                  </w:r>
                  <w:r>
                    <w:rPr>
                      <w:rFonts w:ascii="仿宋_GB2312" w:hAnsi="仿宋_GB2312" w:cs="仿宋_GB2312" w:eastAsia="仿宋_GB2312"/>
                      <w:sz w:val="20"/>
                    </w:rPr>
                    <w:t>“解码与精研”——装配式识图技巧与构件深化设计</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预制混凝土楼梯构件深化设计</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预制混凝土剪刀楼梯识图</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p>
                <w:p>
                  <w:pPr>
                    <w:pStyle w:val="null3"/>
                    <w:jc w:val="center"/>
                  </w:pPr>
                  <w:r>
                    <w:rPr>
                      <w:rFonts w:ascii="仿宋_GB2312" w:hAnsi="仿宋_GB2312" w:cs="仿宋_GB2312" w:eastAsia="仿宋_GB2312"/>
                      <w:sz w:val="20"/>
                    </w:rPr>
                    <w:t>深化设计</w:t>
                  </w:r>
                  <w:r>
                    <w:rPr>
                      <w:rFonts w:ascii="仿宋_GB2312" w:hAnsi="仿宋_GB2312" w:cs="仿宋_GB2312" w:eastAsia="仿宋_GB2312"/>
                      <w:sz w:val="20"/>
                    </w:rPr>
                    <w:t>“解码与精研”——装配式识图技巧与构件深化设计</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预制混凝土楼梯构件深化设计</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预制混凝土板式楼梯深化设计</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p>
                <w:p>
                  <w:pPr>
                    <w:pStyle w:val="null3"/>
                    <w:jc w:val="center"/>
                  </w:pPr>
                  <w:r>
                    <w:rPr>
                      <w:rFonts w:ascii="仿宋_GB2312" w:hAnsi="仿宋_GB2312" w:cs="仿宋_GB2312" w:eastAsia="仿宋_GB2312"/>
                      <w:sz w:val="20"/>
                    </w:rPr>
                    <w:t>深化设计</w:t>
                  </w:r>
                  <w:r>
                    <w:rPr>
                      <w:rFonts w:ascii="仿宋_GB2312" w:hAnsi="仿宋_GB2312" w:cs="仿宋_GB2312" w:eastAsia="仿宋_GB2312"/>
                      <w:sz w:val="20"/>
                    </w:rPr>
                    <w:t>“解码与精研”——装配式识图技巧与构件深化设计</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预制混凝土阳台板、空调板和女儿墙构件深化设计</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预制混凝土阳台板识图</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p>
                <w:p>
                  <w:pPr>
                    <w:pStyle w:val="null3"/>
                    <w:jc w:val="center"/>
                  </w:pPr>
                  <w:r>
                    <w:rPr>
                      <w:rFonts w:ascii="仿宋_GB2312" w:hAnsi="仿宋_GB2312" w:cs="仿宋_GB2312" w:eastAsia="仿宋_GB2312"/>
                      <w:sz w:val="20"/>
                    </w:rPr>
                    <w:t>深化设计</w:t>
                  </w:r>
                  <w:r>
                    <w:rPr>
                      <w:rFonts w:ascii="仿宋_GB2312" w:hAnsi="仿宋_GB2312" w:cs="仿宋_GB2312" w:eastAsia="仿宋_GB2312"/>
                      <w:sz w:val="20"/>
                    </w:rPr>
                    <w:t>“解码与精研”——装配式识图技巧与构件深化设计</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预制混凝土阳台板、空调板和女儿墙构件深化设计</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预制混凝土空调板识图</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p>
                <w:p>
                  <w:pPr>
                    <w:pStyle w:val="null3"/>
                    <w:jc w:val="center"/>
                  </w:pPr>
                  <w:r>
                    <w:rPr>
                      <w:rFonts w:ascii="仿宋_GB2312" w:hAnsi="仿宋_GB2312" w:cs="仿宋_GB2312" w:eastAsia="仿宋_GB2312"/>
                      <w:sz w:val="20"/>
                    </w:rPr>
                    <w:t>深化设计</w:t>
                  </w:r>
                  <w:r>
                    <w:rPr>
                      <w:rFonts w:ascii="仿宋_GB2312" w:hAnsi="仿宋_GB2312" w:cs="仿宋_GB2312" w:eastAsia="仿宋_GB2312"/>
                      <w:sz w:val="20"/>
                    </w:rPr>
                    <w:t>“解码与精研”——装配式识图技巧与构件深化设计</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预制混凝土阳台板、空调板和女儿墙构件深化设计</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预制混凝土女儿墙识图</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p>
                <w:p>
                  <w:pPr>
                    <w:pStyle w:val="null3"/>
                    <w:jc w:val="center"/>
                  </w:pPr>
                  <w:r>
                    <w:rPr>
                      <w:rFonts w:ascii="仿宋_GB2312" w:hAnsi="仿宋_GB2312" w:cs="仿宋_GB2312" w:eastAsia="仿宋_GB2312"/>
                      <w:sz w:val="20"/>
                    </w:rPr>
                    <w:t>深化设计</w:t>
                  </w:r>
                  <w:r>
                    <w:rPr>
                      <w:rFonts w:ascii="仿宋_GB2312" w:hAnsi="仿宋_GB2312" w:cs="仿宋_GB2312" w:eastAsia="仿宋_GB2312"/>
                      <w:sz w:val="20"/>
                    </w:rPr>
                    <w:t>“解码与精研”——装配式识图技巧与构件深化设计</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预制混凝土阳台板、空调板和女儿墙构件深化设计</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预制混凝土阳台板、空调板和女儿墙构件深化设计</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p>
                <w:p>
                  <w:pPr>
                    <w:pStyle w:val="null3"/>
                    <w:jc w:val="center"/>
                  </w:pPr>
                  <w:r>
                    <w:rPr>
                      <w:rFonts w:ascii="仿宋_GB2312" w:hAnsi="仿宋_GB2312" w:cs="仿宋_GB2312" w:eastAsia="仿宋_GB2312"/>
                      <w:sz w:val="20"/>
                    </w:rPr>
                    <w:t>构件的</w:t>
                  </w:r>
                  <w:r>
                    <w:rPr>
                      <w:rFonts w:ascii="仿宋_GB2312" w:hAnsi="仿宋_GB2312" w:cs="仿宋_GB2312" w:eastAsia="仿宋_GB2312"/>
                      <w:sz w:val="20"/>
                    </w:rPr>
                    <w:t>“诞生之旅”——从工厂生产到现场就位全揭秘</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预制混凝土叠合板构件生产</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预制构件</w:t>
                  </w:r>
                  <w:r>
                    <w:rPr>
                      <w:rFonts w:ascii="仿宋_GB2312" w:hAnsi="仿宋_GB2312" w:cs="仿宋_GB2312" w:eastAsia="仿宋_GB2312"/>
                      <w:sz w:val="20"/>
                    </w:rPr>
                    <w:t>生产材料</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p>
                <w:p>
                  <w:pPr>
                    <w:pStyle w:val="null3"/>
                    <w:jc w:val="center"/>
                  </w:pPr>
                  <w:r>
                    <w:rPr>
                      <w:rFonts w:ascii="仿宋_GB2312" w:hAnsi="仿宋_GB2312" w:cs="仿宋_GB2312" w:eastAsia="仿宋_GB2312"/>
                      <w:sz w:val="20"/>
                    </w:rPr>
                    <w:t>构件的</w:t>
                  </w:r>
                  <w:r>
                    <w:rPr>
                      <w:rFonts w:ascii="仿宋_GB2312" w:hAnsi="仿宋_GB2312" w:cs="仿宋_GB2312" w:eastAsia="仿宋_GB2312"/>
                      <w:sz w:val="20"/>
                    </w:rPr>
                    <w:t>“诞生之旅”——从工厂生产到现场就位全揭秘</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预制混凝土叠合板构件生产</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预制构件</w:t>
                  </w:r>
                  <w:r>
                    <w:rPr>
                      <w:rFonts w:ascii="仿宋_GB2312" w:hAnsi="仿宋_GB2312" w:cs="仿宋_GB2312" w:eastAsia="仿宋_GB2312"/>
                      <w:sz w:val="20"/>
                    </w:rPr>
                    <w:t>生产工艺</w:t>
                  </w:r>
                  <w:r>
                    <w:rPr>
                      <w:rFonts w:ascii="仿宋_GB2312" w:hAnsi="仿宋_GB2312" w:cs="仿宋_GB2312" w:eastAsia="仿宋_GB2312"/>
                      <w:sz w:val="20"/>
                    </w:rPr>
                    <w:t>类型</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p>
                <w:p>
                  <w:pPr>
                    <w:pStyle w:val="null3"/>
                    <w:jc w:val="center"/>
                  </w:pPr>
                  <w:r>
                    <w:rPr>
                      <w:rFonts w:ascii="仿宋_GB2312" w:hAnsi="仿宋_GB2312" w:cs="仿宋_GB2312" w:eastAsia="仿宋_GB2312"/>
                      <w:sz w:val="20"/>
                    </w:rPr>
                    <w:t>构件的</w:t>
                  </w:r>
                  <w:r>
                    <w:rPr>
                      <w:rFonts w:ascii="仿宋_GB2312" w:hAnsi="仿宋_GB2312" w:cs="仿宋_GB2312" w:eastAsia="仿宋_GB2312"/>
                      <w:sz w:val="20"/>
                    </w:rPr>
                    <w:t>“诞生之旅”——从工厂生产到现场就位全揭秘</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预制混凝土叠合板构件生产</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预制构件</w:t>
                  </w:r>
                  <w:r>
                    <w:rPr>
                      <w:rFonts w:ascii="仿宋_GB2312" w:hAnsi="仿宋_GB2312" w:cs="仿宋_GB2312" w:eastAsia="仿宋_GB2312"/>
                      <w:sz w:val="20"/>
                    </w:rPr>
                    <w:t>生产</w:t>
                  </w:r>
                  <w:r>
                    <w:rPr>
                      <w:rFonts w:ascii="仿宋_GB2312" w:hAnsi="仿宋_GB2312" w:cs="仿宋_GB2312" w:eastAsia="仿宋_GB2312"/>
                      <w:sz w:val="20"/>
                    </w:rPr>
                    <w:t>设备</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p>
                <w:p>
                  <w:pPr>
                    <w:pStyle w:val="null3"/>
                    <w:jc w:val="center"/>
                  </w:pPr>
                  <w:r>
                    <w:rPr>
                      <w:rFonts w:ascii="仿宋_GB2312" w:hAnsi="仿宋_GB2312" w:cs="仿宋_GB2312" w:eastAsia="仿宋_GB2312"/>
                      <w:sz w:val="20"/>
                    </w:rPr>
                    <w:t>构件的</w:t>
                  </w:r>
                  <w:r>
                    <w:rPr>
                      <w:rFonts w:ascii="仿宋_GB2312" w:hAnsi="仿宋_GB2312" w:cs="仿宋_GB2312" w:eastAsia="仿宋_GB2312"/>
                      <w:sz w:val="20"/>
                    </w:rPr>
                    <w:t>“诞生之旅”——从工厂生产到现场就位全揭秘</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预制混凝土叠合板构件生产</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预制混凝土叠合板生产流程</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p>
                <w:p>
                  <w:pPr>
                    <w:pStyle w:val="null3"/>
                    <w:jc w:val="center"/>
                  </w:pPr>
                  <w:r>
                    <w:rPr>
                      <w:rFonts w:ascii="仿宋_GB2312" w:hAnsi="仿宋_GB2312" w:cs="仿宋_GB2312" w:eastAsia="仿宋_GB2312"/>
                      <w:sz w:val="20"/>
                    </w:rPr>
                    <w:t>构件的</w:t>
                  </w:r>
                  <w:r>
                    <w:rPr>
                      <w:rFonts w:ascii="仿宋_GB2312" w:hAnsi="仿宋_GB2312" w:cs="仿宋_GB2312" w:eastAsia="仿宋_GB2312"/>
                      <w:sz w:val="20"/>
                    </w:rPr>
                    <w:t>“诞生之旅”——从工厂生产到现场就位全揭秘</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预制混凝土叠合梁构件生产</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w:t>
                  </w:r>
                  <w:r>
                    <w:rPr>
                      <w:rFonts w:ascii="仿宋_GB2312" w:hAnsi="仿宋_GB2312" w:cs="仿宋_GB2312" w:eastAsia="仿宋_GB2312"/>
                      <w:sz w:val="20"/>
                    </w:rPr>
                    <w:t>叠合</w:t>
                  </w:r>
                  <w:r>
                    <w:rPr>
                      <w:rFonts w:ascii="仿宋_GB2312" w:hAnsi="仿宋_GB2312" w:cs="仿宋_GB2312" w:eastAsia="仿宋_GB2312"/>
                      <w:sz w:val="20"/>
                    </w:rPr>
                    <w:t>梁</w:t>
                  </w:r>
                  <w:r>
                    <w:rPr>
                      <w:rFonts w:ascii="仿宋_GB2312" w:hAnsi="仿宋_GB2312" w:cs="仿宋_GB2312" w:eastAsia="仿宋_GB2312"/>
                      <w:sz w:val="20"/>
                    </w:rPr>
                    <w:t>的生产</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p>
                <w:p>
                  <w:pPr>
                    <w:pStyle w:val="null3"/>
                    <w:jc w:val="center"/>
                  </w:pPr>
                  <w:r>
                    <w:rPr>
                      <w:rFonts w:ascii="仿宋_GB2312" w:hAnsi="仿宋_GB2312" w:cs="仿宋_GB2312" w:eastAsia="仿宋_GB2312"/>
                      <w:sz w:val="20"/>
                    </w:rPr>
                    <w:t>构件的</w:t>
                  </w:r>
                  <w:r>
                    <w:rPr>
                      <w:rFonts w:ascii="仿宋_GB2312" w:hAnsi="仿宋_GB2312" w:cs="仿宋_GB2312" w:eastAsia="仿宋_GB2312"/>
                      <w:sz w:val="20"/>
                    </w:rPr>
                    <w:t>“诞生之旅”——从工厂生产到现场就位全揭秘</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预制混凝土框架柱构件生产</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预制混凝土框架柱的生产</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p>
                <w:p>
                  <w:pPr>
                    <w:pStyle w:val="null3"/>
                    <w:jc w:val="center"/>
                  </w:pPr>
                  <w:r>
                    <w:rPr>
                      <w:rFonts w:ascii="仿宋_GB2312" w:hAnsi="仿宋_GB2312" w:cs="仿宋_GB2312" w:eastAsia="仿宋_GB2312"/>
                      <w:sz w:val="20"/>
                    </w:rPr>
                    <w:t>构件的</w:t>
                  </w:r>
                  <w:r>
                    <w:rPr>
                      <w:rFonts w:ascii="仿宋_GB2312" w:hAnsi="仿宋_GB2312" w:cs="仿宋_GB2312" w:eastAsia="仿宋_GB2312"/>
                      <w:sz w:val="20"/>
                    </w:rPr>
                    <w:t>“诞生之旅”——从工厂生产到现场就位全揭秘</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预制混凝土剪力墙构件生产</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剪力墙</w:t>
                  </w:r>
                  <w:r>
                    <w:rPr>
                      <w:rFonts w:ascii="仿宋_GB2312" w:hAnsi="仿宋_GB2312" w:cs="仿宋_GB2312" w:eastAsia="仿宋_GB2312"/>
                      <w:sz w:val="20"/>
                      <w:color w:val="000000"/>
                    </w:rPr>
                    <w:t>内</w:t>
                  </w:r>
                  <w:r>
                    <w:rPr>
                      <w:rFonts w:ascii="仿宋_GB2312" w:hAnsi="仿宋_GB2312" w:cs="仿宋_GB2312" w:eastAsia="仿宋_GB2312"/>
                      <w:sz w:val="20"/>
                      <w:color w:val="000000"/>
                    </w:rPr>
                    <w:t>墙板的生产</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p>
                <w:p>
                  <w:pPr>
                    <w:pStyle w:val="null3"/>
                    <w:jc w:val="center"/>
                  </w:pPr>
                  <w:r>
                    <w:rPr>
                      <w:rFonts w:ascii="仿宋_GB2312" w:hAnsi="仿宋_GB2312" w:cs="仿宋_GB2312" w:eastAsia="仿宋_GB2312"/>
                      <w:sz w:val="20"/>
                    </w:rPr>
                    <w:t>构件的</w:t>
                  </w:r>
                  <w:r>
                    <w:rPr>
                      <w:rFonts w:ascii="仿宋_GB2312" w:hAnsi="仿宋_GB2312" w:cs="仿宋_GB2312" w:eastAsia="仿宋_GB2312"/>
                      <w:sz w:val="20"/>
                    </w:rPr>
                    <w:t>“诞生之旅”——从工厂生产到现场就位全揭秘</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预制混凝土剪力墙构件生产</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剪力墙外墙板的生产</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p>
                <w:p>
                  <w:pPr>
                    <w:pStyle w:val="null3"/>
                    <w:jc w:val="center"/>
                  </w:pPr>
                  <w:r>
                    <w:rPr>
                      <w:rFonts w:ascii="仿宋_GB2312" w:hAnsi="仿宋_GB2312" w:cs="仿宋_GB2312" w:eastAsia="仿宋_GB2312"/>
                      <w:sz w:val="20"/>
                    </w:rPr>
                    <w:t>构件的</w:t>
                  </w:r>
                  <w:r>
                    <w:rPr>
                      <w:rFonts w:ascii="仿宋_GB2312" w:hAnsi="仿宋_GB2312" w:cs="仿宋_GB2312" w:eastAsia="仿宋_GB2312"/>
                      <w:sz w:val="20"/>
                    </w:rPr>
                    <w:t>“诞生之旅”——从工厂生产到现场就位全揭秘</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预制混凝土楼梯生产</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预制混凝土楼梯的生产</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预制混凝土竖向构件吊装与灌浆作业</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剪力墙吊装前准备工作</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预制混凝土竖向构件吊装与灌浆作业</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剪力墙吊装作业</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预制混凝土竖向构件吊装与灌浆作业</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剪力墙临时固定</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预制混凝土竖向构件吊装与灌浆作业</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夹心墙板吊装前准备工作</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预制混凝土竖向构件吊装与灌浆作业</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夹心墙板吊装作业</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预制混凝土竖向构件吊装与灌浆作业</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安装位置检查</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预制混凝土竖向构件吊装与灌浆作业</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灌浆作业准备工作</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预制混凝土竖向构件吊装与灌浆作业</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分仓、封仓</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预制混凝土竖向构件吊装与灌浆作业</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制备灌浆料及平行试验</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预制混凝土竖向构件吊装与灌浆作业</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灌浆作业</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预制混凝土水平构件吊装与连接</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预制混凝土叠合梁吊装前准备工作</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预制混凝土水平构件吊装与连接</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预制混凝土叠合梁吊装作业</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预制混凝土水平构件吊装与连接</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预制混凝土叠合板吊装前准备工作</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预制混凝土水平构件吊装与连接</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预制混凝土叠合板吊装作业</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预制混凝土水平构件吊装与连接</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预制混凝土楼梯吊装前准备工作</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预制混凝土水平构件吊装与连接</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预制混凝土楼梯吊装作业</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装配式混凝土建筑的外墙接缝处理</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基层处理</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装配式混凝土建筑的外墙接缝处理</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防水处理</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w:t>
                  </w:r>
                </w:p>
                <w:p>
                  <w:pPr>
                    <w:pStyle w:val="null3"/>
                    <w:jc w:val="center"/>
                  </w:pPr>
                  <w:r>
                    <w:rPr>
                      <w:rFonts w:ascii="仿宋_GB2312" w:hAnsi="仿宋_GB2312" w:cs="仿宋_GB2312" w:eastAsia="仿宋_GB2312"/>
                      <w:sz w:val="20"/>
                    </w:rPr>
                    <w:t>质量安全</w:t>
                  </w:r>
                  <w:r>
                    <w:rPr>
                      <w:rFonts w:ascii="仿宋_GB2312" w:hAnsi="仿宋_GB2312" w:cs="仿宋_GB2312" w:eastAsia="仿宋_GB2312"/>
                      <w:sz w:val="20"/>
                    </w:rPr>
                    <w:t>“防火墙”——施工红线的识别与硬核防控</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预制剪力墙灌浆</w:t>
                  </w:r>
                  <w:r>
                    <w:rPr>
                      <w:rFonts w:ascii="仿宋_GB2312" w:hAnsi="仿宋_GB2312" w:cs="仿宋_GB2312" w:eastAsia="仿宋_GB2312"/>
                      <w:sz w:val="20"/>
                      <w:color w:val="000000"/>
                    </w:rPr>
                    <w:t>“断档”</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灌浆不密实</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w:t>
                  </w:r>
                </w:p>
                <w:p>
                  <w:pPr>
                    <w:pStyle w:val="null3"/>
                    <w:jc w:val="center"/>
                  </w:pPr>
                  <w:r>
                    <w:rPr>
                      <w:rFonts w:ascii="仿宋_GB2312" w:hAnsi="仿宋_GB2312" w:cs="仿宋_GB2312" w:eastAsia="仿宋_GB2312"/>
                      <w:sz w:val="20"/>
                    </w:rPr>
                    <w:t>质量安全</w:t>
                  </w:r>
                  <w:r>
                    <w:rPr>
                      <w:rFonts w:ascii="仿宋_GB2312" w:hAnsi="仿宋_GB2312" w:cs="仿宋_GB2312" w:eastAsia="仿宋_GB2312"/>
                      <w:sz w:val="20"/>
                    </w:rPr>
                    <w:t>“防火墙”——施工红线的识别与硬核防控</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吊装</w:t>
                  </w:r>
                  <w:r>
                    <w:rPr>
                      <w:rFonts w:ascii="仿宋_GB2312" w:hAnsi="仿宋_GB2312" w:cs="仿宋_GB2312" w:eastAsia="仿宋_GB2312"/>
                      <w:sz w:val="20"/>
                      <w:color w:val="000000"/>
                    </w:rPr>
                    <w:t>“失衡”引发墙板坠落</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吊装作业</w:t>
                  </w:r>
                  <w:r>
                    <w:rPr>
                      <w:rFonts w:ascii="仿宋_GB2312" w:hAnsi="仿宋_GB2312" w:cs="仿宋_GB2312" w:eastAsia="仿宋_GB2312"/>
                      <w:sz w:val="20"/>
                    </w:rPr>
                    <w:t>“十不吊”</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w:t>
                  </w:r>
                </w:p>
                <w:p>
                  <w:pPr>
                    <w:pStyle w:val="null3"/>
                    <w:jc w:val="center"/>
                  </w:pPr>
                  <w:r>
                    <w:rPr>
                      <w:rFonts w:ascii="仿宋_GB2312" w:hAnsi="仿宋_GB2312" w:cs="仿宋_GB2312" w:eastAsia="仿宋_GB2312"/>
                      <w:sz w:val="20"/>
                    </w:rPr>
                    <w:t>质量安全</w:t>
                  </w:r>
                  <w:r>
                    <w:rPr>
                      <w:rFonts w:ascii="仿宋_GB2312" w:hAnsi="仿宋_GB2312" w:cs="仿宋_GB2312" w:eastAsia="仿宋_GB2312"/>
                      <w:sz w:val="20"/>
                    </w:rPr>
                    <w:t>“防火墙”——施工红线的识别与硬核防控</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叠合板支撑</w:t>
                  </w:r>
                  <w:r>
                    <w:rPr>
                      <w:rFonts w:ascii="仿宋_GB2312" w:hAnsi="仿宋_GB2312" w:cs="仿宋_GB2312" w:eastAsia="仿宋_GB2312"/>
                      <w:sz w:val="20"/>
                      <w:color w:val="000000"/>
                    </w:rPr>
                    <w:t>“失稳”</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支撑有保障</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w:t>
                  </w:r>
                </w:p>
                <w:p>
                  <w:pPr>
                    <w:pStyle w:val="null3"/>
                    <w:jc w:val="center"/>
                  </w:pPr>
                  <w:r>
                    <w:rPr>
                      <w:rFonts w:ascii="仿宋_GB2312" w:hAnsi="仿宋_GB2312" w:cs="仿宋_GB2312" w:eastAsia="仿宋_GB2312"/>
                      <w:sz w:val="20"/>
                    </w:rPr>
                    <w:t>质量安全</w:t>
                  </w:r>
                  <w:r>
                    <w:rPr>
                      <w:rFonts w:ascii="仿宋_GB2312" w:hAnsi="仿宋_GB2312" w:cs="仿宋_GB2312" w:eastAsia="仿宋_GB2312"/>
                      <w:sz w:val="20"/>
                    </w:rPr>
                    <w:t>“防火墙”——施工红线的识别与硬核防控</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高处作业</w:t>
                  </w:r>
                  <w:r>
                    <w:rPr>
                      <w:rFonts w:ascii="仿宋_GB2312" w:hAnsi="仿宋_GB2312" w:cs="仿宋_GB2312" w:eastAsia="仿宋_GB2312"/>
                      <w:sz w:val="20"/>
                      <w:color w:val="000000"/>
                    </w:rPr>
                    <w:t>“无防护”</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高空作业防护</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项目六</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BIM技术“全程参与”施工管理</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BIM模型碰撞检查</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建筑科技</w:t>
                  </w:r>
                  <w:r>
                    <w:rPr>
                      <w:rFonts w:ascii="仿宋_GB2312" w:hAnsi="仿宋_GB2312" w:cs="仿宋_GB2312" w:eastAsia="仿宋_GB2312"/>
                      <w:sz w:val="20"/>
                    </w:rPr>
                    <w:t>“瞭望台”——数字化技术与行业新趋势洞察</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BIM技术“全程参与”施工管理</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施工进度模拟（</w:t>
                  </w:r>
                  <w:r>
                    <w:rPr>
                      <w:rFonts w:ascii="仿宋_GB2312" w:hAnsi="仿宋_GB2312" w:cs="仿宋_GB2312" w:eastAsia="仿宋_GB2312"/>
                      <w:sz w:val="20"/>
                    </w:rPr>
                    <w:t>4D）</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项目六</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智慧工地</w:t>
                  </w:r>
                  <w:r>
                    <w:rPr>
                      <w:rFonts w:ascii="仿宋_GB2312" w:hAnsi="仿宋_GB2312" w:cs="仿宋_GB2312" w:eastAsia="仿宋_GB2312"/>
                      <w:sz w:val="20"/>
                    </w:rPr>
                    <w:t>“千里眼”</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施工过程视频监控</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建筑科技</w:t>
                  </w:r>
                  <w:r>
                    <w:rPr>
                      <w:rFonts w:ascii="仿宋_GB2312" w:hAnsi="仿宋_GB2312" w:cs="仿宋_GB2312" w:eastAsia="仿宋_GB2312"/>
                      <w:sz w:val="20"/>
                    </w:rPr>
                    <w:t>“瞭望台”——数字化技术与行业新趋势洞察</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智慧工地</w:t>
                  </w:r>
                  <w:r>
                    <w:rPr>
                      <w:rFonts w:ascii="仿宋_GB2312" w:hAnsi="仿宋_GB2312" w:cs="仿宋_GB2312" w:eastAsia="仿宋_GB2312"/>
                      <w:sz w:val="20"/>
                    </w:rPr>
                    <w:t>“千里眼”</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AI质量巡检</w:t>
                  </w:r>
                </w:p>
              </w:tc>
            </w:tr>
          </w:tbl>
          <w:p>
            <w:pPr>
              <w:pStyle w:val="null3"/>
              <w:jc w:val="left"/>
            </w:pPr>
            <w:r>
              <w:rPr>
                <w:rFonts w:ascii="仿宋_GB2312" w:hAnsi="仿宋_GB2312" w:cs="仿宋_GB2312" w:eastAsia="仿宋_GB2312"/>
                <w:sz w:val="20"/>
                <w:color w:val="000000"/>
              </w:rPr>
              <w:t>（二）</w:t>
            </w:r>
            <w:r>
              <w:rPr>
                <w:rFonts w:ascii="仿宋_GB2312" w:hAnsi="仿宋_GB2312" w:cs="仿宋_GB2312" w:eastAsia="仿宋_GB2312"/>
                <w:sz w:val="20"/>
                <w:color w:val="000000"/>
              </w:rPr>
              <w:t>《</w:t>
            </w:r>
            <w:r>
              <w:rPr>
                <w:rFonts w:ascii="仿宋_GB2312" w:hAnsi="仿宋_GB2312" w:cs="仿宋_GB2312" w:eastAsia="仿宋_GB2312"/>
                <w:sz w:val="20"/>
              </w:rPr>
              <w:t>装配式建筑施工技术</w:t>
            </w:r>
            <w:r>
              <w:rPr>
                <w:rFonts w:ascii="仿宋_GB2312" w:hAnsi="仿宋_GB2312" w:cs="仿宋_GB2312" w:eastAsia="仿宋_GB2312"/>
                <w:sz w:val="20"/>
                <w:color w:val="000000"/>
              </w:rPr>
              <w:t>》课程录制</w:t>
            </w:r>
            <w:r>
              <w:rPr>
                <w:rFonts w:ascii="仿宋_GB2312" w:hAnsi="仿宋_GB2312" w:cs="仿宋_GB2312" w:eastAsia="仿宋_GB2312"/>
                <w:sz w:val="20"/>
                <w:color w:val="000000"/>
              </w:rPr>
              <w:t>10个动画资源</w:t>
            </w:r>
          </w:p>
          <w:tbl>
            <w:tblPr>
              <w:tblBorders>
                <w:top w:val="none" w:color="000000" w:sz="4"/>
                <w:left w:val="none" w:color="000000" w:sz="4"/>
                <w:bottom w:val="none" w:color="000000" w:sz="4"/>
                <w:right w:val="none" w:color="000000" w:sz="4"/>
                <w:insideH w:val="none"/>
                <w:insideV w:val="none"/>
              </w:tblBorders>
            </w:tblPr>
            <w:tblGrid>
              <w:gridCol w:w="233"/>
              <w:gridCol w:w="928"/>
              <w:gridCol w:w="605"/>
              <w:gridCol w:w="1045"/>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学习情景</w:t>
                  </w:r>
                </w:p>
              </w:tc>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节名</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知识</w:t>
                  </w:r>
                  <w:r>
                    <w:rPr>
                      <w:rFonts w:ascii="仿宋_GB2312" w:hAnsi="仿宋_GB2312" w:cs="仿宋_GB2312" w:eastAsia="仿宋_GB2312"/>
                      <w:sz w:val="20"/>
                      <w:b/>
                    </w:rPr>
                    <w:t>（技能）</w:t>
                  </w:r>
                  <w:r>
                    <w:rPr>
                      <w:rFonts w:ascii="仿宋_GB2312" w:hAnsi="仿宋_GB2312" w:cs="仿宋_GB2312" w:eastAsia="仿宋_GB2312"/>
                      <w:sz w:val="20"/>
                      <w:b/>
                    </w:rPr>
                    <w:t>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p>
                <w:p>
                  <w:pPr>
                    <w:pStyle w:val="null3"/>
                    <w:jc w:val="center"/>
                  </w:pPr>
                  <w:r>
                    <w:rPr>
                      <w:rFonts w:ascii="仿宋_GB2312" w:hAnsi="仿宋_GB2312" w:cs="仿宋_GB2312" w:eastAsia="仿宋_GB2312"/>
                      <w:sz w:val="20"/>
                    </w:rPr>
                    <w:t>构件的</w:t>
                  </w:r>
                  <w:r>
                    <w:rPr>
                      <w:rFonts w:ascii="仿宋_GB2312" w:hAnsi="仿宋_GB2312" w:cs="仿宋_GB2312" w:eastAsia="仿宋_GB2312"/>
                      <w:sz w:val="20"/>
                    </w:rPr>
                    <w:t>“诞生之旅”——从工厂生产到现场就位全揭秘</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预制混凝土叠合板构件生产</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预制构件</w:t>
                  </w:r>
                  <w:r>
                    <w:rPr>
                      <w:rFonts w:ascii="仿宋_GB2312" w:hAnsi="仿宋_GB2312" w:cs="仿宋_GB2312" w:eastAsia="仿宋_GB2312"/>
                      <w:sz w:val="20"/>
                    </w:rPr>
                    <w:t>生产</w:t>
                  </w:r>
                  <w:r>
                    <w:rPr>
                      <w:rFonts w:ascii="仿宋_GB2312" w:hAnsi="仿宋_GB2312" w:cs="仿宋_GB2312" w:eastAsia="仿宋_GB2312"/>
                      <w:sz w:val="20"/>
                    </w:rPr>
                    <w:t>设备</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p>
                <w:p>
                  <w:pPr>
                    <w:pStyle w:val="null3"/>
                    <w:jc w:val="center"/>
                  </w:pPr>
                  <w:r>
                    <w:rPr>
                      <w:rFonts w:ascii="仿宋_GB2312" w:hAnsi="仿宋_GB2312" w:cs="仿宋_GB2312" w:eastAsia="仿宋_GB2312"/>
                      <w:sz w:val="20"/>
                    </w:rPr>
                    <w:t>构件的</w:t>
                  </w:r>
                  <w:r>
                    <w:rPr>
                      <w:rFonts w:ascii="仿宋_GB2312" w:hAnsi="仿宋_GB2312" w:cs="仿宋_GB2312" w:eastAsia="仿宋_GB2312"/>
                      <w:sz w:val="20"/>
                    </w:rPr>
                    <w:t>“诞生之旅”——从工厂生产到现场就位全揭秘</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预制混凝土叠合板构件生产</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预制混凝土叠合板生产流程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p>
                <w:p>
                  <w:pPr>
                    <w:pStyle w:val="null3"/>
                    <w:jc w:val="center"/>
                  </w:pPr>
                  <w:r>
                    <w:rPr>
                      <w:rFonts w:ascii="仿宋_GB2312" w:hAnsi="仿宋_GB2312" w:cs="仿宋_GB2312" w:eastAsia="仿宋_GB2312"/>
                      <w:sz w:val="20"/>
                    </w:rPr>
                    <w:t>构件的</w:t>
                  </w:r>
                  <w:r>
                    <w:rPr>
                      <w:rFonts w:ascii="仿宋_GB2312" w:hAnsi="仿宋_GB2312" w:cs="仿宋_GB2312" w:eastAsia="仿宋_GB2312"/>
                      <w:sz w:val="20"/>
                    </w:rPr>
                    <w:t>“诞生之旅”——从工厂生产到现场就位全揭秘</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预制混凝土剪力墙构件生产</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剪力墙</w:t>
                  </w:r>
                  <w:r>
                    <w:rPr>
                      <w:rFonts w:ascii="仿宋_GB2312" w:hAnsi="仿宋_GB2312" w:cs="仿宋_GB2312" w:eastAsia="仿宋_GB2312"/>
                      <w:sz w:val="20"/>
                      <w:color w:val="000000"/>
                    </w:rPr>
                    <w:t>内</w:t>
                  </w:r>
                  <w:r>
                    <w:rPr>
                      <w:rFonts w:ascii="仿宋_GB2312" w:hAnsi="仿宋_GB2312" w:cs="仿宋_GB2312" w:eastAsia="仿宋_GB2312"/>
                      <w:sz w:val="20"/>
                      <w:color w:val="000000"/>
                    </w:rPr>
                    <w:t>墙板的生产</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预制混凝土竖向构件吊装与灌浆作业</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剪力墙吊装前准备工作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预制混凝土竖向构件吊装与灌浆作业</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剪力墙吊装作业</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预制混凝土竖向构件吊装与灌浆作业</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剪力墙临时固定</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预制混凝土竖向构件吊装与灌浆作业</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灌浆作业准备工作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预制混凝土竖向构件吊装与灌浆作业</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分仓、封仓</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预制混凝土竖向构件吊装与灌浆作业</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制备灌浆料及平行试验</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p>
                <w:p>
                  <w:pPr>
                    <w:pStyle w:val="null3"/>
                    <w:jc w:val="center"/>
                  </w:pPr>
                  <w:r>
                    <w:rPr>
                      <w:rFonts w:ascii="仿宋_GB2312" w:hAnsi="仿宋_GB2312" w:cs="仿宋_GB2312" w:eastAsia="仿宋_GB2312"/>
                      <w:sz w:val="20"/>
                    </w:rPr>
                    <w:t>现场安装</w:t>
                  </w:r>
                  <w:r>
                    <w:rPr>
                      <w:rFonts w:ascii="仿宋_GB2312" w:hAnsi="仿宋_GB2312" w:cs="仿宋_GB2312" w:eastAsia="仿宋_GB2312"/>
                      <w:sz w:val="20"/>
                    </w:rPr>
                    <w:t>“实战营”——装配式构件吊装与施工绝技</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预制混凝土竖向构件吊装与灌浆作业</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灌浆作业</w:t>
                  </w:r>
                </w:p>
              </w:tc>
            </w:tr>
          </w:tbl>
          <w:p>
            <w:pPr>
              <w:pStyle w:val="null3"/>
              <w:jc w:val="left"/>
            </w:pPr>
            <w:r>
              <w:rPr>
                <w:rFonts w:ascii="仿宋_GB2312" w:hAnsi="仿宋_GB2312" w:cs="仿宋_GB2312" w:eastAsia="仿宋_GB2312"/>
                <w:sz w:val="20"/>
                <w:b/>
                <w:color w:val="000000"/>
              </w:rPr>
              <w:t>十一、</w:t>
            </w:r>
            <w:r>
              <w:rPr>
                <w:rFonts w:ascii="仿宋_GB2312" w:hAnsi="仿宋_GB2312" w:cs="仿宋_GB2312" w:eastAsia="仿宋_GB2312"/>
                <w:sz w:val="20"/>
                <w:b/>
                <w:color w:val="000000"/>
              </w:rPr>
              <w:t>《平法识图与钢筋翻样》</w:t>
            </w:r>
          </w:p>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《平法识图与钢筋翻样》课程录制</w:t>
            </w:r>
            <w:r>
              <w:rPr>
                <w:rFonts w:ascii="仿宋_GB2312" w:hAnsi="仿宋_GB2312" w:cs="仿宋_GB2312" w:eastAsia="仿宋_GB2312"/>
                <w:sz w:val="20"/>
                <w:color w:val="000000"/>
              </w:rPr>
              <w:t>60个微课</w:t>
            </w:r>
          </w:p>
          <w:tbl>
            <w:tblPr>
              <w:tblBorders>
                <w:top w:val="none" w:color="000000" w:sz="4"/>
                <w:left w:val="none" w:color="000000" w:sz="4"/>
                <w:bottom w:val="none" w:color="000000" w:sz="4"/>
                <w:right w:val="none" w:color="000000" w:sz="4"/>
                <w:insideH w:val="none"/>
                <w:insideV w:val="none"/>
              </w:tblBorders>
            </w:tblPr>
            <w:tblGrid>
              <w:gridCol w:w="233"/>
              <w:gridCol w:w="771"/>
              <w:gridCol w:w="735"/>
              <w:gridCol w:w="1067"/>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学习情景</w:t>
                  </w:r>
                </w:p>
              </w:tc>
              <w:tc>
                <w:tcPr>
                  <w:tcW w:type="dxa" w:w="7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节名</w:t>
                  </w:r>
                </w:p>
              </w:tc>
              <w:tc>
                <w:tcPr>
                  <w:tcW w:type="dxa" w:w="10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知识</w:t>
                  </w:r>
                  <w:r>
                    <w:rPr>
                      <w:rFonts w:ascii="仿宋_GB2312" w:hAnsi="仿宋_GB2312" w:cs="仿宋_GB2312" w:eastAsia="仿宋_GB2312"/>
                      <w:sz w:val="20"/>
                      <w:b/>
                    </w:rPr>
                    <w:t>（技能）</w:t>
                  </w:r>
                  <w:r>
                    <w:rPr>
                      <w:rFonts w:ascii="仿宋_GB2312" w:hAnsi="仿宋_GB2312" w:cs="仿宋_GB2312" w:eastAsia="仿宋_GB2312"/>
                      <w:sz w:val="20"/>
                      <w:b/>
                    </w:rPr>
                    <w:t>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项目一：平法基础知识</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平法的基本知识</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平法概念、图集整体介绍、算量与下料的区别</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项目一：平法基础知识</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钢筋基本知识（一）</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钢筋作用、分类、牌号、表示方法、标注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项目一：平法基础知识</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钢筋基本知识（二）</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混凝土结构环境类别、钢筋保护层厚度、锚固和搭接长度</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r>
                    <w:rPr>
                      <w:rFonts w:ascii="仿宋_GB2312" w:hAnsi="仿宋_GB2312" w:cs="仿宋_GB2312" w:eastAsia="仿宋_GB2312"/>
                      <w:sz w:val="20"/>
                    </w:rPr>
                    <w:t>柱平法识图与钢筋翻样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柱类型及钢筋种类</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柱类型、钢筋种类、柱平法施工图表示方法、结构层楼面标号、层高、层号、嵌固部位</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r>
                    <w:rPr>
                      <w:rFonts w:ascii="仿宋_GB2312" w:hAnsi="仿宋_GB2312" w:cs="仿宋_GB2312" w:eastAsia="仿宋_GB2312"/>
                      <w:sz w:val="20"/>
                    </w:rPr>
                    <w:t>柱平法识图与钢筋翻样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柱列表注写方式</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柱编号、柱段起止标高、几何尺寸、柱纵筋、箍筋的表示方法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r>
                    <w:rPr>
                      <w:rFonts w:ascii="仿宋_GB2312" w:hAnsi="仿宋_GB2312" w:cs="仿宋_GB2312" w:eastAsia="仿宋_GB2312"/>
                      <w:sz w:val="20"/>
                    </w:rPr>
                    <w:t>柱平法识图与钢筋翻样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柱截面注写方式</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柱截面注写制图规则、优缺点以及截面绘制方法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r>
                    <w:rPr>
                      <w:rFonts w:ascii="仿宋_GB2312" w:hAnsi="仿宋_GB2312" w:cs="仿宋_GB2312" w:eastAsia="仿宋_GB2312"/>
                      <w:sz w:val="20"/>
                    </w:rPr>
                    <w:t>柱平法识图与钢筋翻样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柱钢筋构造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框架柱根部钢筋构造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r>
                    <w:rPr>
                      <w:rFonts w:ascii="仿宋_GB2312" w:hAnsi="仿宋_GB2312" w:cs="仿宋_GB2312" w:eastAsia="仿宋_GB2312"/>
                      <w:sz w:val="20"/>
                    </w:rPr>
                    <w:t>柱平法识图与钢筋翻样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柱纵筋构造（一）</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底层（有无地下室）、中间层柱纵筋构造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r>
                    <w:rPr>
                      <w:rFonts w:ascii="仿宋_GB2312" w:hAnsi="仿宋_GB2312" w:cs="仿宋_GB2312" w:eastAsia="仿宋_GB2312"/>
                      <w:sz w:val="20"/>
                    </w:rPr>
                    <w:t>柱平法识图与钢筋翻样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柱纵筋构造（二）</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中柱、边柱、角柱内外侧钢筋区分，中柱顶层纵筋构造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r>
                    <w:rPr>
                      <w:rFonts w:ascii="仿宋_GB2312" w:hAnsi="仿宋_GB2312" w:cs="仿宋_GB2312" w:eastAsia="仿宋_GB2312"/>
                      <w:sz w:val="20"/>
                    </w:rPr>
                    <w:t>柱平法识图与钢筋翻样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柱纵筋构造（三）</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边柱、角柱柱顶钢筋构造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r>
                    <w:rPr>
                      <w:rFonts w:ascii="仿宋_GB2312" w:hAnsi="仿宋_GB2312" w:cs="仿宋_GB2312" w:eastAsia="仿宋_GB2312"/>
                      <w:sz w:val="20"/>
                    </w:rPr>
                    <w:t>柱平法识图与钢筋翻样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柱箍筋构造（一）</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符合箍筋拆分原则、大箍小箍（矩形箍筋、直线型箍筋）构造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r>
                    <w:rPr>
                      <w:rFonts w:ascii="仿宋_GB2312" w:hAnsi="仿宋_GB2312" w:cs="仿宋_GB2312" w:eastAsia="仿宋_GB2312"/>
                      <w:sz w:val="20"/>
                    </w:rPr>
                    <w:t>柱平法识图与钢筋翻样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柱箍筋构造（二）</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箍筋加密区、非加密区构造要求（有无地下室）及箍筋构造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w:t>
                  </w:r>
                  <w:r>
                    <w:rPr>
                      <w:rFonts w:ascii="仿宋_GB2312" w:hAnsi="仿宋_GB2312" w:cs="仿宋_GB2312" w:eastAsia="仿宋_GB2312"/>
                      <w:sz w:val="20"/>
                    </w:rPr>
                    <w:t>柱平法识图与钢筋翻样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柱钢筋其他构造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墙上柱、梁上柱、变截面、变直径构造要求</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r>
                    <w:rPr>
                      <w:rFonts w:ascii="仿宋_GB2312" w:hAnsi="仿宋_GB2312" w:cs="仿宋_GB2312" w:eastAsia="仿宋_GB2312"/>
                      <w:sz w:val="20"/>
                    </w:rPr>
                    <w:t>梁平法识图与钢筋翻样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梁类型及钢筋种类</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梁类型及（受力角度分析）钢筋种类</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r>
                    <w:rPr>
                      <w:rFonts w:ascii="仿宋_GB2312" w:hAnsi="仿宋_GB2312" w:cs="仿宋_GB2312" w:eastAsia="仿宋_GB2312"/>
                      <w:sz w:val="20"/>
                    </w:rPr>
                    <w:t>梁平法识图与钢筋翻样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梁平面注写方式（一）</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集中注写的五项必注值和一项选注值</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r>
                    <w:rPr>
                      <w:rFonts w:ascii="仿宋_GB2312" w:hAnsi="仿宋_GB2312" w:cs="仿宋_GB2312" w:eastAsia="仿宋_GB2312"/>
                      <w:sz w:val="20"/>
                    </w:rPr>
                    <w:t>梁平法识图与钢筋翻样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梁平面注写方式（二）</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梁原位标注内容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r>
                    <w:rPr>
                      <w:rFonts w:ascii="仿宋_GB2312" w:hAnsi="仿宋_GB2312" w:cs="仿宋_GB2312" w:eastAsia="仿宋_GB2312"/>
                      <w:sz w:val="20"/>
                    </w:rPr>
                    <w:t>梁平法识图与钢筋翻样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梁截面注写方式</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梁截面注写及梁剖面图绘制方法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项目三：梁平法识图与钢筋翻样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梁通长筋构造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梁上部、下部通长筋构造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项目三：梁平法识图与钢筋翻样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梁支座负筋构造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端支座、中间支座负筋构造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项目三：梁平法识图与钢筋翻样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梁下部纵筋构造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下部纵筋、不伸入支座纵筋构造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项目三：梁平法识图与钢筋翻样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梁侧面纵筋及拉筋构造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侧面纵筋、拉筋构造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项目三：梁平法识图与钢筋翻样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梁箍筋构造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梁箍筋构造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项目三：梁平法识图与钢筋翻样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悬挑梁及特殊钢筋构造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悬挑梁上部纵筋、下部纵筋构造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项目三：梁平法识图与钢筋翻样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梁内特殊钢筋构造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吊筋、附加箍筋、架立筋、跨中钢筋构造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项目三：梁平法识图与钢筋翻样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框架梁加腋构造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框架梁水平、竖直加腋构造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项目三：梁平法识图与钢筋翻样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屋面框架梁</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屋面框架梁纵向钢筋构造、屋面框架梁中间支座纵向钢筋构造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项目三：梁平法识图与钢筋翻样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非框架梁钢筋构造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非框架梁钢筋构造、与楼层框架梁的区别</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有梁楼盖板平法识图与钢筋翻样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楼板类型及钢筋种类</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楼板类型：有梁楼盖板（楼面板、屋面板、悬挑板）、无梁楼盖板；有梁楼盖板内钢筋种类</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有梁楼盖板平法识图与钢筋翻样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板块集中标注</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板块编号、板厚、上部贯通纵筋、下部纵筋以及标高高差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有梁楼盖板平法识图与钢筋翻样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板支座原位标注（一）</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板支座上部非贯通纵筋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有梁楼盖板平法识图与钢筋翻样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板支座原位标注（二）</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悬挑板上部受力钢筋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有梁楼盖板平法识图与钢筋翻样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板下部纵筋构造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板下部纵筋构造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有梁楼盖板平法识图与钢筋翻样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板上部贯通纵筋构造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板上部贯通纵筋构造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有梁楼盖板平法识图与钢筋翻样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板支座负筋构造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端支座负筋、中间支座负筋构造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有梁楼盖板平法识图与钢筋翻样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板的分布筋构造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板的分布筋构造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有梁楼盖板平法识图与钢筋翻样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悬挑板钢筋构造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悬挑板上部纵筋、下部纵筋构造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项目五：项目</w:t>
                  </w:r>
                  <w:r>
                    <w:rPr>
                      <w:rFonts w:ascii="仿宋_GB2312" w:hAnsi="仿宋_GB2312" w:cs="仿宋_GB2312" w:eastAsia="仿宋_GB2312"/>
                      <w:sz w:val="20"/>
                    </w:rPr>
                    <w:t>剪力墙平法识图与钢筋翻样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剪力墙组成及钢筋种类</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剪力墙概念、组成及（受力角度分析）钢筋种类</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项目五：项目</w:t>
                  </w:r>
                  <w:r>
                    <w:rPr>
                      <w:rFonts w:ascii="仿宋_GB2312" w:hAnsi="仿宋_GB2312" w:cs="仿宋_GB2312" w:eastAsia="仿宋_GB2312"/>
                      <w:sz w:val="20"/>
                    </w:rPr>
                    <w:t>剪力墙平法识图与钢筋翻样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剪力墙列表注写表示方法（一）</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剪力墙编号规定及墙柱表达的内容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项目五：项目</w:t>
                  </w:r>
                  <w:r>
                    <w:rPr>
                      <w:rFonts w:ascii="仿宋_GB2312" w:hAnsi="仿宋_GB2312" w:cs="仿宋_GB2312" w:eastAsia="仿宋_GB2312"/>
                      <w:sz w:val="20"/>
                    </w:rPr>
                    <w:t>剪力墙平法识图与钢筋翻样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剪力墙列表注写表示方法（二）</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墙身表达内容、墙梁表达的内容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项目五：项目</w:t>
                  </w:r>
                  <w:r>
                    <w:rPr>
                      <w:rFonts w:ascii="仿宋_GB2312" w:hAnsi="仿宋_GB2312" w:cs="仿宋_GB2312" w:eastAsia="仿宋_GB2312"/>
                      <w:sz w:val="20"/>
                    </w:rPr>
                    <w:t>剪力墙平法识图与钢筋翻样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剪力墙截面注写表示方法</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剪力墙墙柱、墙身墙梁的截面注写表示方法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项目五：项目</w:t>
                  </w:r>
                  <w:r>
                    <w:rPr>
                      <w:rFonts w:ascii="仿宋_GB2312" w:hAnsi="仿宋_GB2312" w:cs="仿宋_GB2312" w:eastAsia="仿宋_GB2312"/>
                      <w:sz w:val="20"/>
                    </w:rPr>
                    <w:t>剪力墙平法识图与钢筋翻样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剪力墙洞口、地下室外墙表示方法</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剪力墙洞口、地下室外墙表示方法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项目五：项目</w:t>
                  </w:r>
                  <w:r>
                    <w:rPr>
                      <w:rFonts w:ascii="仿宋_GB2312" w:hAnsi="仿宋_GB2312" w:cs="仿宋_GB2312" w:eastAsia="仿宋_GB2312"/>
                      <w:sz w:val="20"/>
                    </w:rPr>
                    <w:t>剪力墙平法识图与钢筋翻样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墙身水平钢筋构造（一）</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墙身端部为暗柱、</w:t>
                  </w:r>
                  <w:r>
                    <w:rPr>
                      <w:rFonts w:ascii="仿宋_GB2312" w:hAnsi="仿宋_GB2312" w:cs="仿宋_GB2312" w:eastAsia="仿宋_GB2312"/>
                      <w:sz w:val="20"/>
                    </w:rPr>
                    <w:t>L型暗柱；转角墙、翼墙暗柱、斜交翼墙时水平钢筋构造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项目五：项目</w:t>
                  </w:r>
                  <w:r>
                    <w:rPr>
                      <w:rFonts w:ascii="仿宋_GB2312" w:hAnsi="仿宋_GB2312" w:cs="仿宋_GB2312" w:eastAsia="仿宋_GB2312"/>
                      <w:sz w:val="20"/>
                    </w:rPr>
                    <w:t>剪力墙平法识图与钢筋翻样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墙身水平钢筋构造（二）</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墙身端部为端柱；端柱转角墙、端柱翼墙时水平钢筋构造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项目五：项目</w:t>
                  </w:r>
                  <w:r>
                    <w:rPr>
                      <w:rFonts w:ascii="仿宋_GB2312" w:hAnsi="仿宋_GB2312" w:cs="仿宋_GB2312" w:eastAsia="仿宋_GB2312"/>
                      <w:sz w:val="20"/>
                    </w:rPr>
                    <w:t>剪力墙平法识图与钢筋翻样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墙身水平钢筋构造（三）</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墙身水平钢筋基础层、中间层、顶层钢筋构造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项目五：项目剪力墙平法识图与钢筋翻样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墙身竖向钢筋构造（一）</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墙身竖向分布筋在基础中的构造、墙身竖向分布筋连接构造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项目五：项目剪力墙平法识图与钢筋翻样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墙身竖向钢筋构造（二）</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墙身变截面处竖向钢筋构造、竖向钢筋顶层构造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项目五：项目</w:t>
                  </w:r>
                  <w:r>
                    <w:rPr>
                      <w:rFonts w:ascii="仿宋_GB2312" w:hAnsi="仿宋_GB2312" w:cs="仿宋_GB2312" w:eastAsia="仿宋_GB2312"/>
                      <w:sz w:val="20"/>
                    </w:rPr>
                    <w:t>剪力墙平法识图与钢筋翻样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墙身拉筋构造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墙身拉筋构造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项目五：项目</w:t>
                  </w:r>
                  <w:r>
                    <w:rPr>
                      <w:rFonts w:ascii="仿宋_GB2312" w:hAnsi="仿宋_GB2312" w:cs="仿宋_GB2312" w:eastAsia="仿宋_GB2312"/>
                      <w:sz w:val="20"/>
                    </w:rPr>
                    <w:t>剪力墙平法识图与钢筋翻样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墙柱钢筋构造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暗柱、端柱纵筋、箍筋构造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项目五：项目</w:t>
                  </w:r>
                  <w:r>
                    <w:rPr>
                      <w:rFonts w:ascii="仿宋_GB2312" w:hAnsi="仿宋_GB2312" w:cs="仿宋_GB2312" w:eastAsia="仿宋_GB2312"/>
                      <w:sz w:val="20"/>
                    </w:rPr>
                    <w:t>剪力墙平法识图与钢筋翻样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墙梁钢筋构造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暗梁、连梁、边框梁钢筋构造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项目六：</w:t>
                  </w:r>
                  <w:r>
                    <w:rPr>
                      <w:rFonts w:ascii="仿宋_GB2312" w:hAnsi="仿宋_GB2312" w:cs="仿宋_GB2312" w:eastAsia="仿宋_GB2312"/>
                      <w:sz w:val="20"/>
                    </w:rPr>
                    <w:t>板式楼梯平法识图与钢筋翻样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楼梯类型及钢筋种类</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梁式、板式（三种注写方式）楼梯的介绍，钢筋种类（受力角度分析）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项目六：</w:t>
                  </w:r>
                  <w:r>
                    <w:rPr>
                      <w:rFonts w:ascii="仿宋_GB2312" w:hAnsi="仿宋_GB2312" w:cs="仿宋_GB2312" w:eastAsia="仿宋_GB2312"/>
                      <w:sz w:val="20"/>
                    </w:rPr>
                    <w:t>板式楼梯平法识图与钢筋翻样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板式楼梯的类型</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梯板的代号以及各类型楼梯的特征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项目六：</w:t>
                  </w:r>
                  <w:r>
                    <w:rPr>
                      <w:rFonts w:ascii="仿宋_GB2312" w:hAnsi="仿宋_GB2312" w:cs="仿宋_GB2312" w:eastAsia="仿宋_GB2312"/>
                      <w:sz w:val="20"/>
                    </w:rPr>
                    <w:t>板式楼梯平法识图与钢筋翻样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板式楼梯平面注写方式</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集中标注和外围标注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项目六：</w:t>
                  </w:r>
                  <w:r>
                    <w:rPr>
                      <w:rFonts w:ascii="仿宋_GB2312" w:hAnsi="仿宋_GB2312" w:cs="仿宋_GB2312" w:eastAsia="仿宋_GB2312"/>
                      <w:sz w:val="20"/>
                    </w:rPr>
                    <w:t>板式楼梯平法识图与钢筋翻样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截面注写和列表注写</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截面注写和列表注写的内容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项目六：</w:t>
                  </w:r>
                  <w:r>
                    <w:rPr>
                      <w:rFonts w:ascii="仿宋_GB2312" w:hAnsi="仿宋_GB2312" w:cs="仿宋_GB2312" w:eastAsia="仿宋_GB2312"/>
                      <w:sz w:val="20"/>
                    </w:rPr>
                    <w:t>板式楼梯平法识图与钢筋翻样</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梯板钢筋构造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AT、BT、CT型楼梯板筋构造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项目七：</w:t>
                  </w:r>
                  <w:r>
                    <w:rPr>
                      <w:rFonts w:ascii="仿宋_GB2312" w:hAnsi="仿宋_GB2312" w:cs="仿宋_GB2312" w:eastAsia="仿宋_GB2312"/>
                      <w:sz w:val="20"/>
                    </w:rPr>
                    <w:t>基础平法识图</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独立基础平法制图规则</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基础构造形式分类、独立基础平法施工图平面注写方式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项目七：</w:t>
                  </w:r>
                  <w:r>
                    <w:rPr>
                      <w:rFonts w:ascii="仿宋_GB2312" w:hAnsi="仿宋_GB2312" w:cs="仿宋_GB2312" w:eastAsia="仿宋_GB2312"/>
                      <w:sz w:val="20"/>
                    </w:rPr>
                    <w:t>基础平法识图</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条形基础平法制图规则</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条形基础平法施工图平面注写方式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项目七：</w:t>
                  </w:r>
                  <w:r>
                    <w:rPr>
                      <w:rFonts w:ascii="仿宋_GB2312" w:hAnsi="仿宋_GB2312" w:cs="仿宋_GB2312" w:eastAsia="仿宋_GB2312"/>
                      <w:sz w:val="20"/>
                    </w:rPr>
                    <w:t>基础平法识图</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筏形基础平法制图规则</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筏形基础平法施工图表示方法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项目七：</w:t>
                  </w:r>
                  <w:r>
                    <w:rPr>
                      <w:rFonts w:ascii="仿宋_GB2312" w:hAnsi="仿宋_GB2312" w:cs="仿宋_GB2312" w:eastAsia="仿宋_GB2312"/>
                      <w:sz w:val="20"/>
                    </w:rPr>
                    <w:t>基础平法识图</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筏形基础钢筋构造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梁板式筏形基础钢筋构造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项目七：</w:t>
                  </w:r>
                  <w:r>
                    <w:rPr>
                      <w:rFonts w:ascii="仿宋_GB2312" w:hAnsi="仿宋_GB2312" w:cs="仿宋_GB2312" w:eastAsia="仿宋_GB2312"/>
                      <w:sz w:val="20"/>
                    </w:rPr>
                    <w:t>基础平法识图</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桩基础平法制图规则</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桩基础平法施工图的表示方法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项目七：</w:t>
                  </w:r>
                  <w:r>
                    <w:rPr>
                      <w:rFonts w:ascii="仿宋_GB2312" w:hAnsi="仿宋_GB2312" w:cs="仿宋_GB2312" w:eastAsia="仿宋_GB2312"/>
                      <w:sz w:val="20"/>
                    </w:rPr>
                    <w:t>基础平法识图</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桩基础钢筋构造</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桩基础钢筋构造</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08"/>
              <w:jc w:val="left"/>
            </w:pPr>
            <w:r>
              <w:rPr>
                <w:rFonts w:ascii="仿宋_GB2312" w:hAnsi="仿宋_GB2312" w:cs="仿宋_GB2312" w:eastAsia="仿宋_GB2312"/>
                <w:sz w:val="20"/>
                <w:color w:val="000000"/>
              </w:rPr>
              <w:t>本项目按照</w:t>
            </w:r>
            <w:r>
              <w:rPr>
                <w:rFonts w:ascii="仿宋_GB2312" w:hAnsi="仿宋_GB2312" w:cs="仿宋_GB2312" w:eastAsia="仿宋_GB2312"/>
                <w:sz w:val="20"/>
                <w:color w:val="000000"/>
              </w:rPr>
              <w:t>“兼投不兼中”的原则确定成交供应商，即：每个供应商在本项目中最多只能中一个包，若同一供应商在多个包中综合得分排名第一时，确定其为包号顺序靠前一包成交供应商，其他包号综合得分排名第二的供应商为该包成交供应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标的名称：五金”建设——课程建设（文科）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0"/>
                <w:b/>
              </w:rPr>
              <w:t>一、总体要求</w:t>
            </w:r>
          </w:p>
          <w:p>
            <w:pPr>
              <w:pStyle w:val="null3"/>
              <w:ind w:firstLine="400"/>
              <w:jc w:val="both"/>
            </w:pPr>
            <w:r>
              <w:rPr>
                <w:rFonts w:ascii="仿宋_GB2312" w:hAnsi="仿宋_GB2312" w:cs="仿宋_GB2312" w:eastAsia="仿宋_GB2312"/>
                <w:sz w:val="20"/>
              </w:rPr>
              <w:t>本项目对标新一期</w:t>
            </w:r>
            <w:r>
              <w:rPr>
                <w:rFonts w:ascii="仿宋_GB2312" w:hAnsi="仿宋_GB2312" w:cs="仿宋_GB2312" w:eastAsia="仿宋_GB2312"/>
                <w:sz w:val="20"/>
              </w:rPr>
              <w:t>“双高计划”建设任务及职教“五金”要求，内容包括建设一批具备智能技术的数智课程，及升级改造一批在线精品课程资源。</w:t>
            </w:r>
            <w:r>
              <w:rPr>
                <w:rFonts w:ascii="仿宋_GB2312" w:hAnsi="仿宋_GB2312" w:cs="仿宋_GB2312" w:eastAsia="仿宋_GB2312"/>
                <w:sz w:val="20"/>
              </w:rPr>
              <w:t>交付的课程须符合国家在线精品课程标准，提供符合国家在线课程运行要求的课程运行平台，并提供不少于</w:t>
            </w:r>
            <w:r>
              <w:rPr>
                <w:rFonts w:ascii="仿宋_GB2312" w:hAnsi="仿宋_GB2312" w:cs="仿宋_GB2312" w:eastAsia="仿宋_GB2312"/>
                <w:sz w:val="20"/>
              </w:rPr>
              <w:t>5年的</w:t>
            </w:r>
            <w:r>
              <w:rPr>
                <w:rFonts w:ascii="仿宋_GB2312" w:hAnsi="仿宋_GB2312" w:cs="仿宋_GB2312" w:eastAsia="仿宋_GB2312"/>
                <w:sz w:val="20"/>
              </w:rPr>
              <w:t>后期推广服务。项目分为工科、文科</w:t>
            </w:r>
            <w:r>
              <w:rPr>
                <w:rFonts w:ascii="仿宋_GB2312" w:hAnsi="仿宋_GB2312" w:cs="仿宋_GB2312" w:eastAsia="仿宋_GB2312"/>
                <w:sz w:val="20"/>
              </w:rPr>
              <w:t>2个包，</w:t>
            </w:r>
            <w:r>
              <w:rPr>
                <w:rFonts w:ascii="仿宋_GB2312" w:hAnsi="仿宋_GB2312" w:cs="仿宋_GB2312" w:eastAsia="仿宋_GB2312"/>
                <w:sz w:val="20"/>
              </w:rPr>
              <w:t>具体分包如下：</w:t>
            </w:r>
          </w:p>
          <w:tbl>
            <w:tblPr>
              <w:tblBorders>
                <w:top w:val="none" w:color="000000" w:sz="4"/>
                <w:left w:val="none" w:color="000000" w:sz="4"/>
                <w:bottom w:val="none" w:color="000000" w:sz="4"/>
                <w:right w:val="none" w:color="000000" w:sz="4"/>
                <w:insideH w:val="none"/>
                <w:insideV w:val="none"/>
              </w:tblBorders>
            </w:tblPr>
            <w:tblGrid>
              <w:gridCol w:w="277"/>
              <w:gridCol w:w="2538"/>
            </w:tblGrid>
            <w:tr>
              <w:tc>
                <w:tcPr>
                  <w:tcW w:type="dxa" w:w="281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b/>
                    </w:rPr>
                    <w:t>采购包</w:t>
                  </w:r>
                  <w:r>
                    <w:rPr>
                      <w:rFonts w:ascii="仿宋_GB2312" w:hAnsi="仿宋_GB2312" w:cs="仿宋_GB2312" w:eastAsia="仿宋_GB2312"/>
                      <w:sz w:val="20"/>
                      <w:b/>
                    </w:rPr>
                    <w:t>1：工科</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b/>
                    </w:rPr>
                    <w:t>编号</w:t>
                  </w:r>
                </w:p>
              </w:tc>
              <w:tc>
                <w:tcPr>
                  <w:tcW w:type="dxa" w:w="25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b/>
                    </w:rPr>
                    <w:t>课程名称</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1</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rPr>
                    <w:t>移动应用开发</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2</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rPr>
                    <w:t>Linux操作系统管理</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3</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rPr>
                    <w:t>无人机巡检技术</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4</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智能网联新能源汽车技术</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5</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汽车线控技术</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6</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新能源汽车动力蓄电池及管理技术</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7</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新能源汽车故障诊断技术</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8</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rPr>
                    <w:t>LED显示屏系统工程</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9</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地理信息系统技术与应用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10</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装配式建筑施工技术</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rPr>
                    <w:t>11</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平法识图与钢筋翻样</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12</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原有课程视频资源升级（不少于</w:t>
                  </w:r>
                  <w:r>
                    <w:rPr>
                      <w:rFonts w:ascii="仿宋_GB2312" w:hAnsi="仿宋_GB2312" w:cs="仿宋_GB2312" w:eastAsia="仿宋_GB2312"/>
                      <w:sz w:val="20"/>
                      <w:color w:val="000000"/>
                    </w:rPr>
                    <w:t>1600分钟）</w:t>
                  </w:r>
                </w:p>
              </w:tc>
            </w:tr>
            <w:tr>
              <w:tc>
                <w:tcPr>
                  <w:tcW w:type="dxa" w:w="28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b/>
                      <w:color w:val="000000"/>
                    </w:rPr>
                    <w:t>采购包</w:t>
                  </w:r>
                  <w:r>
                    <w:rPr>
                      <w:rFonts w:ascii="仿宋_GB2312" w:hAnsi="仿宋_GB2312" w:cs="仿宋_GB2312" w:eastAsia="仿宋_GB2312"/>
                      <w:sz w:val="20"/>
                      <w:b/>
                      <w:color w:val="000000"/>
                    </w:rPr>
                    <w:t>2：文科</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b/>
                      <w:color w:val="000000"/>
                    </w:rPr>
                    <w:t>编号</w:t>
                  </w:r>
                </w:p>
              </w:tc>
              <w:tc>
                <w:tcPr>
                  <w:tcW w:type="dxa" w:w="25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b/>
                      <w:color w:val="000000"/>
                    </w:rPr>
                    <w:t>课程名称</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1</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传统纹样线描</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2</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智慧文旅数字化应用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3</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融媒体内容制作</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4</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定制旅行设计与运营</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5</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商务数据分析与应用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6</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AIGC+短视频策划制作</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7</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财务管理实务</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8</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短视频创作</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9</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幼儿园课程与活动设计</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10</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高职美育</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11</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新时代中国特色社会主义思想概论</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0"/>
                      <w:color w:val="000000"/>
                    </w:rPr>
                    <w:t>12</w:t>
                  </w:r>
                </w:p>
              </w:tc>
              <w:tc>
                <w:tcPr>
                  <w:tcW w:type="dxa" w:w="2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原有课程视频资源升级（不少于</w:t>
                  </w:r>
                  <w:r>
                    <w:rPr>
                      <w:rFonts w:ascii="仿宋_GB2312" w:hAnsi="仿宋_GB2312" w:cs="仿宋_GB2312" w:eastAsia="仿宋_GB2312"/>
                      <w:sz w:val="20"/>
                      <w:color w:val="000000"/>
                    </w:rPr>
                    <w:t>1200分钟）</w:t>
                  </w:r>
                </w:p>
              </w:tc>
            </w:tr>
          </w:tbl>
          <w:p>
            <w:pPr>
              <w:pStyle w:val="null3"/>
              <w:ind w:firstLine="400"/>
              <w:jc w:val="both"/>
            </w:pPr>
            <w:r>
              <w:rPr>
                <w:rFonts w:ascii="仿宋_GB2312" w:hAnsi="仿宋_GB2312" w:cs="仿宋_GB2312" w:eastAsia="仿宋_GB2312"/>
                <w:sz w:val="20"/>
              </w:rPr>
              <w:t>课程具备</w:t>
            </w:r>
            <w:r>
              <w:rPr>
                <w:rFonts w:ascii="仿宋_GB2312" w:hAnsi="仿宋_GB2312" w:cs="仿宋_GB2312" w:eastAsia="仿宋_GB2312"/>
                <w:sz w:val="20"/>
              </w:rPr>
              <w:t>MOOC 特征，有完备的教学资源，讨论、答疑、作业、测试、考试等环节，涵盖</w:t>
            </w:r>
            <w:r>
              <w:rPr>
                <w:rFonts w:ascii="仿宋_GB2312" w:hAnsi="仿宋_GB2312" w:cs="仿宋_GB2312" w:eastAsia="仿宋_GB2312"/>
                <w:sz w:val="20"/>
              </w:rPr>
              <w:t>课程体系、课程概述（包含：建设成果、教师团队、课程背景、课程简介、课程目标、课程特色、课程知识逻辑、知识结构图、教学计划）、课程框架、知识地图、教学资源（</w:t>
            </w:r>
            <w:r>
              <w:rPr>
                <w:rFonts w:ascii="仿宋_GB2312" w:hAnsi="仿宋_GB2312" w:cs="仿宋_GB2312" w:eastAsia="仿宋_GB2312"/>
                <w:sz w:val="20"/>
              </w:rPr>
              <w:t>授课视频、</w:t>
            </w:r>
            <w:r>
              <w:rPr>
                <w:rFonts w:ascii="仿宋_GB2312" w:hAnsi="仿宋_GB2312" w:cs="仿宋_GB2312" w:eastAsia="仿宋_GB2312"/>
                <w:sz w:val="20"/>
              </w:rPr>
              <w:t>PPT、案例、习题库</w:t>
            </w:r>
            <w:r>
              <w:rPr>
                <w:rFonts w:ascii="仿宋_GB2312" w:hAnsi="仿宋_GB2312" w:cs="仿宋_GB2312" w:eastAsia="仿宋_GB2312"/>
                <w:sz w:val="20"/>
              </w:rPr>
              <w:t>）、知识关系、知识图谱、问题图谱、能力图谱、教学运行等</w:t>
            </w:r>
            <w:r>
              <w:rPr>
                <w:rFonts w:ascii="仿宋_GB2312" w:hAnsi="仿宋_GB2312" w:cs="仿宋_GB2312" w:eastAsia="仿宋_GB2312"/>
                <w:sz w:val="20"/>
              </w:rPr>
              <w:t>，全面</w:t>
            </w:r>
            <w:r>
              <w:rPr>
                <w:rFonts w:ascii="仿宋_GB2312" w:hAnsi="仿宋_GB2312" w:cs="仿宋_GB2312" w:eastAsia="仿宋_GB2312"/>
                <w:sz w:val="20"/>
              </w:rPr>
              <w:t>构建各维度图谱，推动知识图谱向能力图谱的全面转化，</w:t>
            </w:r>
            <w:r>
              <w:rPr>
                <w:rFonts w:ascii="仿宋_GB2312" w:hAnsi="仿宋_GB2312" w:cs="仿宋_GB2312" w:eastAsia="仿宋_GB2312"/>
                <w:sz w:val="20"/>
              </w:rPr>
              <w:t>配备丰富的</w:t>
            </w:r>
            <w:r>
              <w:rPr>
                <w:rFonts w:ascii="仿宋_GB2312" w:hAnsi="仿宋_GB2312" w:cs="仿宋_GB2312" w:eastAsia="仿宋_GB2312"/>
                <w:sz w:val="20"/>
              </w:rPr>
              <w:t>AI教学工具，覆盖多种应用场景。</w:t>
            </w:r>
          </w:p>
          <w:p>
            <w:pPr>
              <w:pStyle w:val="null3"/>
              <w:ind w:firstLine="400"/>
              <w:jc w:val="both"/>
            </w:pPr>
            <w:r>
              <w:rPr>
                <w:rFonts w:ascii="仿宋_GB2312" w:hAnsi="仿宋_GB2312" w:cs="仿宋_GB2312" w:eastAsia="仿宋_GB2312"/>
                <w:sz w:val="20"/>
              </w:rPr>
              <w:t>课程课时不少于</w:t>
            </w:r>
            <w:r>
              <w:rPr>
                <w:rFonts w:ascii="仿宋_GB2312" w:hAnsi="仿宋_GB2312" w:cs="仿宋_GB2312" w:eastAsia="仿宋_GB2312"/>
                <w:sz w:val="20"/>
              </w:rPr>
              <w:t>32课时，</w:t>
            </w:r>
            <w:r>
              <w:rPr>
                <w:rFonts w:ascii="仿宋_GB2312" w:hAnsi="仿宋_GB2312" w:cs="仿宋_GB2312" w:eastAsia="仿宋_GB2312"/>
                <w:sz w:val="20"/>
              </w:rPr>
              <w:t>授课视频数需不小于</w:t>
            </w:r>
            <w:r>
              <w:rPr>
                <w:rFonts w:ascii="仿宋_GB2312" w:hAnsi="仿宋_GB2312" w:cs="仿宋_GB2312" w:eastAsia="仿宋_GB2312"/>
                <w:sz w:val="20"/>
              </w:rPr>
              <w:t>55个、时长不低于550分钟，案例不少于20个，习题不少于500个，同时</w:t>
            </w:r>
            <w:r>
              <w:rPr>
                <w:rFonts w:ascii="仿宋_GB2312" w:hAnsi="仿宋_GB2312" w:cs="仿宋_GB2312" w:eastAsia="仿宋_GB2312"/>
                <w:sz w:val="20"/>
              </w:rPr>
              <w:t>建设知识图谱，问题图谱和能力图谱，知识点数量不少于</w:t>
            </w:r>
            <w:r>
              <w:rPr>
                <w:rFonts w:ascii="仿宋_GB2312" w:hAnsi="仿宋_GB2312" w:cs="仿宋_GB2312" w:eastAsia="仿宋_GB2312"/>
                <w:sz w:val="20"/>
              </w:rPr>
              <w:t>50</w:t>
            </w:r>
            <w:r>
              <w:rPr>
                <w:rFonts w:ascii="仿宋_GB2312" w:hAnsi="仿宋_GB2312" w:cs="仿宋_GB2312" w:eastAsia="仿宋_GB2312"/>
                <w:sz w:val="20"/>
              </w:rPr>
              <w:t>个</w:t>
            </w:r>
            <w:r>
              <w:rPr>
                <w:rFonts w:ascii="仿宋_GB2312" w:hAnsi="仿宋_GB2312" w:cs="仿宋_GB2312" w:eastAsia="仿宋_GB2312"/>
                <w:sz w:val="20"/>
              </w:rPr>
              <w:t>，知识关系不少于</w:t>
            </w:r>
            <w:r>
              <w:rPr>
                <w:rFonts w:ascii="仿宋_GB2312" w:hAnsi="仿宋_GB2312" w:cs="仿宋_GB2312" w:eastAsia="仿宋_GB2312"/>
                <w:sz w:val="20"/>
              </w:rPr>
              <w:t>3种，问题数量不少于20个，能力数量不少于3个，挂载资源数量不少于50个</w:t>
            </w:r>
            <w:r>
              <w:rPr>
                <w:rFonts w:ascii="仿宋_GB2312" w:hAnsi="仿宋_GB2312" w:cs="仿宋_GB2312" w:eastAsia="仿宋_GB2312"/>
                <w:sz w:val="20"/>
              </w:rPr>
              <w:t>。</w:t>
            </w:r>
          </w:p>
          <w:p>
            <w:pPr>
              <w:pStyle w:val="null3"/>
              <w:ind w:firstLine="402"/>
              <w:jc w:val="left"/>
            </w:pPr>
            <w:r>
              <w:rPr>
                <w:rFonts w:ascii="仿宋_GB2312" w:hAnsi="仿宋_GB2312" w:cs="仿宋_GB2312" w:eastAsia="仿宋_GB2312"/>
                <w:sz w:val="20"/>
                <w:b/>
              </w:rPr>
              <w:t>二、建设标准</w:t>
            </w:r>
          </w:p>
          <w:p>
            <w:pPr>
              <w:pStyle w:val="null3"/>
              <w:ind w:firstLine="400"/>
              <w:jc w:val="both"/>
            </w:pPr>
            <w:r>
              <w:rPr>
                <w:rFonts w:ascii="仿宋_GB2312" w:hAnsi="仿宋_GB2312" w:cs="仿宋_GB2312" w:eastAsia="仿宋_GB2312"/>
                <w:sz w:val="20"/>
              </w:rPr>
              <w:t>数智课程依托新一代信息技术与</w:t>
            </w:r>
            <w:r>
              <w:rPr>
                <w:rFonts w:ascii="仿宋_GB2312" w:hAnsi="仿宋_GB2312" w:cs="仿宋_GB2312" w:eastAsia="仿宋_GB2312"/>
                <w:sz w:val="20"/>
              </w:rPr>
              <w:t>AI 大模型，构建以学生为中心、以能力为导向、以数据为驱动的智能化课程体系，整合应用传统教学资源，推动教育教学模式创新，提升人才培养质量。基于课程的进程安排、教育内容、结构等要素，明确课程本身的教学特色，重构课程教学体系、应用大量AI引擎工具优化课程的教、学、考、评、测多维度的教学场景，并向学生提供完整的课程知识结构，打牢专业基础。</w:t>
            </w:r>
          </w:p>
          <w:p>
            <w:pPr>
              <w:pStyle w:val="null3"/>
              <w:ind w:firstLine="402"/>
              <w:jc w:val="both"/>
            </w:pPr>
            <w:r>
              <w:rPr>
                <w:rFonts w:ascii="仿宋_GB2312" w:hAnsi="仿宋_GB2312" w:cs="仿宋_GB2312" w:eastAsia="仿宋_GB2312"/>
                <w:sz w:val="20"/>
                <w:b/>
              </w:rPr>
              <w:t>（一）课程拍摄</w:t>
            </w:r>
          </w:p>
          <w:p>
            <w:pPr>
              <w:pStyle w:val="null3"/>
              <w:ind w:firstLine="400"/>
              <w:jc w:val="both"/>
            </w:pPr>
            <w:r>
              <w:rPr>
                <w:rFonts w:ascii="仿宋_GB2312" w:hAnsi="仿宋_GB2312" w:cs="仿宋_GB2312" w:eastAsia="仿宋_GB2312"/>
                <w:sz w:val="20"/>
              </w:rPr>
              <w:t>以精品课拍摄制作为基础，具体服务包括：精品微课资源拍摄及制作，样片风格设计、</w:t>
            </w:r>
            <w:r>
              <w:rPr>
                <w:rFonts w:ascii="仿宋_GB2312" w:hAnsi="仿宋_GB2312" w:cs="仿宋_GB2312" w:eastAsia="仿宋_GB2312"/>
                <w:sz w:val="20"/>
              </w:rPr>
              <w:t>根据</w:t>
            </w:r>
            <w:r>
              <w:rPr>
                <w:rFonts w:ascii="仿宋_GB2312" w:hAnsi="仿宋_GB2312" w:cs="仿宋_GB2312" w:eastAsia="仿宋_GB2312"/>
                <w:sz w:val="20"/>
              </w:rPr>
              <w:t>需求进行课程视频剪辑、课程动画制作、课程字幕编排以及课程输出等服务。每门课程资源制作完成后交付成品视频和工程文件，并先行上线到</w:t>
            </w:r>
            <w:r>
              <w:rPr>
                <w:rFonts w:ascii="仿宋_GB2312" w:hAnsi="仿宋_GB2312" w:cs="仿宋_GB2312" w:eastAsia="仿宋_GB2312"/>
                <w:sz w:val="20"/>
              </w:rPr>
              <w:t>SPOC平台试运行。</w:t>
            </w:r>
          </w:p>
          <w:p>
            <w:pPr>
              <w:pStyle w:val="null3"/>
              <w:ind w:firstLine="400"/>
              <w:jc w:val="both"/>
            </w:pPr>
            <w:r>
              <w:rPr>
                <w:rFonts w:ascii="仿宋_GB2312" w:hAnsi="仿宋_GB2312" w:cs="仿宋_GB2312" w:eastAsia="仿宋_GB2312"/>
                <w:sz w:val="20"/>
              </w:rPr>
              <w:t>每个短视频应针对各模块知识点或专题设置内嵌测试的作业题或讨论题，以帮助学习者掌握学习内容或测试学习者学习效果，时长以</w:t>
            </w:r>
            <w:r>
              <w:rPr>
                <w:rFonts w:ascii="仿宋_GB2312" w:hAnsi="仿宋_GB2312" w:cs="仿宋_GB2312" w:eastAsia="仿宋_GB2312"/>
                <w:sz w:val="20"/>
              </w:rPr>
              <w:t>5-</w:t>
            </w:r>
            <w:r>
              <w:rPr>
                <w:rFonts w:ascii="仿宋_GB2312" w:hAnsi="仿宋_GB2312" w:cs="仿宋_GB2312" w:eastAsia="仿宋_GB2312"/>
                <w:sz w:val="20"/>
              </w:rPr>
              <w:t>1</w:t>
            </w:r>
            <w:r>
              <w:rPr>
                <w:rFonts w:ascii="仿宋_GB2312" w:hAnsi="仿宋_GB2312" w:cs="仿宋_GB2312" w:eastAsia="仿宋_GB2312"/>
                <w:sz w:val="20"/>
              </w:rPr>
              <w:t>0分钟为宜</w:t>
            </w:r>
            <w:r>
              <w:rPr>
                <w:rFonts w:ascii="仿宋_GB2312" w:hAnsi="仿宋_GB2312" w:cs="仿宋_GB2312" w:eastAsia="仿宋_GB2312"/>
                <w:sz w:val="20"/>
              </w:rPr>
              <w:t>，</w:t>
            </w:r>
            <w:r>
              <w:rPr>
                <w:rFonts w:ascii="仿宋_GB2312" w:hAnsi="仿宋_GB2312" w:cs="仿宋_GB2312" w:eastAsia="仿宋_GB2312"/>
                <w:sz w:val="20"/>
              </w:rPr>
              <w:t>课程设置应与本校课堂教学的要求相当。</w:t>
            </w:r>
          </w:p>
          <w:p>
            <w:pPr>
              <w:pStyle w:val="null3"/>
              <w:ind w:firstLine="400"/>
              <w:jc w:val="both"/>
            </w:pPr>
            <w:r>
              <w:rPr>
                <w:rFonts w:ascii="仿宋_GB2312" w:hAnsi="仿宋_GB2312" w:cs="仿宋_GB2312" w:eastAsia="仿宋_GB2312"/>
                <w:sz w:val="20"/>
              </w:rPr>
              <w:t>课程资源应力求丰富多样，</w:t>
            </w:r>
            <w:r>
              <w:rPr>
                <w:rFonts w:ascii="仿宋_GB2312" w:hAnsi="仿宋_GB2312" w:cs="仿宋_GB2312" w:eastAsia="仿宋_GB2312"/>
                <w:sz w:val="20"/>
              </w:rPr>
              <w:t>配有字幕，</w:t>
            </w:r>
            <w:r>
              <w:rPr>
                <w:rFonts w:ascii="仿宋_GB2312" w:hAnsi="仿宋_GB2312" w:cs="仿宋_GB2312" w:eastAsia="仿宋_GB2312"/>
                <w:sz w:val="20"/>
              </w:rPr>
              <w:t>要合理使用文本、图形（图像）、音频、视频、动画和虚拟仿真等各类素材，充分发挥信息技术优化传统教学的优势，提高微课程、动画、虚拟仿真等资源比例。资源的形式规格应遵循行业通行的网络教育技术标准。</w:t>
            </w:r>
          </w:p>
          <w:p>
            <w:pPr>
              <w:pStyle w:val="null3"/>
              <w:ind w:firstLine="400"/>
              <w:jc w:val="both"/>
            </w:pPr>
            <w:r>
              <w:rPr>
                <w:rFonts w:ascii="仿宋_GB2312" w:hAnsi="仿宋_GB2312" w:cs="仿宋_GB2312" w:eastAsia="仿宋_GB2312"/>
                <w:sz w:val="20"/>
              </w:rPr>
              <w:t>课程建设负责人应具有丰富的教学经验和较高的学术造诣的教师，课程组成员均在教学一线长期承担本课程教学任务。除主讲教师外，还需配备必要助理教师和现代教育技术人员，能长期在线服务课程建设，承担课程内容更新、在线辅导、答疑等。课程正式运行后，能保证每学年都正常运行和使用</w:t>
            </w:r>
            <w:r>
              <w:rPr>
                <w:rFonts w:ascii="仿宋_GB2312" w:hAnsi="仿宋_GB2312" w:cs="仿宋_GB2312" w:eastAsia="仿宋_GB2312"/>
                <w:sz w:val="20"/>
              </w:rPr>
              <w:t>，</w:t>
            </w:r>
            <w:r>
              <w:rPr>
                <w:rFonts w:ascii="仿宋_GB2312" w:hAnsi="仿宋_GB2312" w:cs="仿宋_GB2312" w:eastAsia="仿宋_GB2312"/>
                <w:sz w:val="20"/>
              </w:rPr>
              <w:t>课程团队应负责课程相关教师的培训及教学研讨工作。</w:t>
            </w:r>
          </w:p>
          <w:p>
            <w:pPr>
              <w:pStyle w:val="null3"/>
              <w:ind w:firstLine="400"/>
              <w:jc w:val="both"/>
            </w:pPr>
            <w:r>
              <w:rPr>
                <w:rFonts w:ascii="仿宋_GB2312" w:hAnsi="仿宋_GB2312" w:cs="仿宋_GB2312" w:eastAsia="仿宋_GB2312"/>
                <w:sz w:val="20"/>
              </w:rPr>
              <w:t>严格遵守国家网络与信息安全管理规范，依法依规开展教学活动，实施对课程内容、讨论内容、学习过程内容的有效监管，防范和及时制止网络有害信息的传播。重视版权和知识产权问题，构建课程内容所使用的图片、音视频等素材应注明出处。</w:t>
            </w:r>
            <w:r>
              <w:rPr>
                <w:rFonts w:ascii="仿宋_GB2312" w:hAnsi="仿宋_GB2312" w:cs="仿宋_GB2312" w:eastAsia="仿宋_GB2312"/>
                <w:sz w:val="20"/>
              </w:rPr>
              <w:t>学</w:t>
            </w:r>
            <w:r>
              <w:rPr>
                <w:rFonts w:ascii="仿宋_GB2312" w:hAnsi="仿宋_GB2312" w:cs="仿宋_GB2312" w:eastAsia="仿宋_GB2312"/>
                <w:sz w:val="20"/>
              </w:rPr>
              <w:t>校、课程建设团队均须签订平等互利的知识产权保障协议，明确各方权利和义务，切实保障各方权益。</w:t>
            </w:r>
          </w:p>
          <w:p>
            <w:pPr>
              <w:pStyle w:val="null3"/>
              <w:ind w:firstLine="402"/>
              <w:jc w:val="both"/>
            </w:pPr>
            <w:r>
              <w:rPr>
                <w:rFonts w:ascii="仿宋_GB2312" w:hAnsi="仿宋_GB2312" w:cs="仿宋_GB2312" w:eastAsia="仿宋_GB2312"/>
                <w:sz w:val="20"/>
                <w:b/>
              </w:rPr>
              <w:t>（二）知识图谱构建</w:t>
            </w:r>
          </w:p>
          <w:p>
            <w:pPr>
              <w:pStyle w:val="null3"/>
              <w:ind w:firstLine="400"/>
              <w:jc w:val="both"/>
            </w:pPr>
            <w:r>
              <w:rPr>
                <w:rFonts w:ascii="仿宋_GB2312" w:hAnsi="仿宋_GB2312" w:cs="仿宋_GB2312" w:eastAsia="仿宋_GB2312"/>
                <w:sz w:val="20"/>
              </w:rPr>
              <w:t>课程知识图谱将课程知识点以可视化的方式呈现，帮助学生梳理知识体系，理解知识点之间的关联和逻辑结构。学习地图帮助学生按顺序进行学习，同时侧重于知识点学习路径的展示。知识列表展示知识图谱中全部的知识点，学生可以在知识列表中查看知识点名称、知识点标签、该知识点的掌握率、该知识点的完成率、创建人、以及创建日期。问题图谱将知识点和问题相结合，以问题为导向让学生进行探索学习。目标图谱将课程大纲可视化，把课程目标和知识点结合，进行成果导向式学习。思政图谱将课程思政元素的知识点呈现出来，帮学生构建扎实的思政知识体系，让学生深化对核心价值观的认知。通过对学生学习数据的分析，如学习时长、答题准确率、知识点掌握情况等，智能推荐适合学生的学习知识点。实时记录学生的学习进度，包括已完成的课程章节、学习时间、作业提交情况等，并以可视化的形式展示给学生，让学生清晰了解自己的学习进程。</w:t>
            </w:r>
          </w:p>
          <w:p>
            <w:pPr>
              <w:pStyle w:val="null3"/>
              <w:ind w:firstLine="402"/>
              <w:jc w:val="both"/>
            </w:pPr>
            <w:r>
              <w:rPr>
                <w:rFonts w:ascii="仿宋_GB2312" w:hAnsi="仿宋_GB2312" w:cs="仿宋_GB2312" w:eastAsia="仿宋_GB2312"/>
                <w:sz w:val="20"/>
                <w:b/>
              </w:rPr>
              <w:t>（三）</w:t>
            </w:r>
            <w:r>
              <w:rPr>
                <w:rFonts w:ascii="仿宋_GB2312" w:hAnsi="仿宋_GB2312" w:cs="仿宋_GB2312" w:eastAsia="仿宋_GB2312"/>
                <w:sz w:val="20"/>
                <w:b/>
              </w:rPr>
              <w:t>AI 教学工具</w:t>
            </w:r>
          </w:p>
          <w:p>
            <w:pPr>
              <w:pStyle w:val="null3"/>
              <w:ind w:firstLine="400"/>
              <w:jc w:val="both"/>
            </w:pPr>
            <w:r>
              <w:rPr>
                <w:rFonts w:ascii="仿宋_GB2312" w:hAnsi="仿宋_GB2312" w:cs="仿宋_GB2312" w:eastAsia="仿宋_GB2312"/>
                <w:sz w:val="20"/>
              </w:rPr>
              <w:t>基于教学设计模型，协助老师完成智慧课程教学系统化设计，配备丰富的</w:t>
            </w:r>
            <w:r>
              <w:rPr>
                <w:rFonts w:ascii="仿宋_GB2312" w:hAnsi="仿宋_GB2312" w:cs="仿宋_GB2312" w:eastAsia="仿宋_GB2312"/>
                <w:sz w:val="20"/>
              </w:rPr>
              <w:t>AI 教学工具，覆盖多种应用场景，为教学提供高效、智能的支持</w:t>
            </w:r>
            <w:r>
              <w:rPr>
                <w:rFonts w:ascii="仿宋_GB2312" w:hAnsi="仿宋_GB2312" w:cs="仿宋_GB2312" w:eastAsia="仿宋_GB2312"/>
                <w:sz w:val="20"/>
              </w:rPr>
              <w:t>，</w:t>
            </w:r>
            <w:r>
              <w:rPr>
                <w:rFonts w:ascii="仿宋_GB2312" w:hAnsi="仿宋_GB2312" w:cs="仿宋_GB2312" w:eastAsia="仿宋_GB2312"/>
                <w:sz w:val="20"/>
              </w:rPr>
              <w:t>促进人工智能应用场景的落地。通过任务引擎创建课程项目或任务，支持老师开展以</w:t>
            </w:r>
            <w:r>
              <w:rPr>
                <w:rFonts w:ascii="仿宋_GB2312" w:hAnsi="仿宋_GB2312" w:cs="仿宋_GB2312" w:eastAsia="仿宋_GB2312"/>
                <w:sz w:val="20"/>
              </w:rPr>
              <w:t>PBL、项目式教学、任务驱动教学、案例式教学、CDIO 等多种行动导向教学模式，通过系列任务为抓手</w:t>
            </w:r>
            <w:r>
              <w:rPr>
                <w:rFonts w:ascii="仿宋_GB2312" w:hAnsi="仿宋_GB2312" w:cs="仿宋_GB2312" w:eastAsia="仿宋_GB2312"/>
                <w:sz w:val="20"/>
              </w:rPr>
              <w:t>，</w:t>
            </w:r>
            <w:r>
              <w:rPr>
                <w:rFonts w:ascii="仿宋_GB2312" w:hAnsi="仿宋_GB2312" w:cs="仿宋_GB2312" w:eastAsia="仿宋_GB2312"/>
                <w:sz w:val="20"/>
              </w:rPr>
              <w:t>实现以学生为中心</w:t>
            </w:r>
            <w:r>
              <w:rPr>
                <w:rFonts w:ascii="仿宋_GB2312" w:hAnsi="仿宋_GB2312" w:cs="仿宋_GB2312" w:eastAsia="仿宋_GB2312"/>
                <w:sz w:val="20"/>
              </w:rPr>
              <w:t>、</w:t>
            </w:r>
            <w:r>
              <w:rPr>
                <w:rFonts w:ascii="仿宋_GB2312" w:hAnsi="仿宋_GB2312" w:cs="仿宋_GB2312" w:eastAsia="仿宋_GB2312"/>
                <w:sz w:val="20"/>
              </w:rPr>
              <w:t>以高阶能力培养为导向的教学模式转型落地。</w:t>
            </w:r>
          </w:p>
          <w:p>
            <w:pPr>
              <w:pStyle w:val="null3"/>
              <w:ind w:firstLine="402"/>
              <w:jc w:val="left"/>
            </w:pPr>
            <w:r>
              <w:rPr>
                <w:rFonts w:ascii="仿宋_GB2312" w:hAnsi="仿宋_GB2312" w:cs="仿宋_GB2312" w:eastAsia="仿宋_GB2312"/>
                <w:sz w:val="20"/>
                <w:b/>
              </w:rPr>
              <w:t>三</w:t>
            </w:r>
            <w:r>
              <w:rPr>
                <w:rFonts w:ascii="仿宋_GB2312" w:hAnsi="仿宋_GB2312" w:cs="仿宋_GB2312" w:eastAsia="仿宋_GB2312"/>
                <w:sz w:val="20"/>
                <w:b/>
              </w:rPr>
              <w:t>、课程技术制作规范</w:t>
            </w:r>
          </w:p>
          <w:p>
            <w:pPr>
              <w:pStyle w:val="null3"/>
              <w:ind w:firstLine="400"/>
              <w:jc w:val="both"/>
            </w:pPr>
            <w:r>
              <w:rPr>
                <w:rFonts w:ascii="仿宋_GB2312" w:hAnsi="仿宋_GB2312" w:cs="仿宋_GB2312" w:eastAsia="仿宋_GB2312"/>
                <w:sz w:val="20"/>
              </w:rPr>
              <w:t>在线课程资源支持多平台在线学习要求。</w:t>
            </w:r>
          </w:p>
          <w:p>
            <w:pPr>
              <w:pStyle w:val="null3"/>
              <w:ind w:firstLine="402"/>
              <w:jc w:val="left"/>
            </w:pPr>
            <w:r>
              <w:rPr>
                <w:rFonts w:ascii="仿宋_GB2312" w:hAnsi="仿宋_GB2312" w:cs="仿宋_GB2312" w:eastAsia="仿宋_GB2312"/>
                <w:sz w:val="20"/>
                <w:b/>
              </w:rPr>
              <w:t>（一）视频内容</w:t>
            </w:r>
          </w:p>
          <w:p>
            <w:pPr>
              <w:pStyle w:val="null3"/>
              <w:ind w:firstLine="400"/>
              <w:jc w:val="both"/>
            </w:pPr>
            <w:r>
              <w:rPr>
                <w:rFonts w:ascii="仿宋_GB2312" w:hAnsi="仿宋_GB2312" w:cs="仿宋_GB2312" w:eastAsia="仿宋_GB2312"/>
                <w:sz w:val="20"/>
              </w:rPr>
              <w:t>在线开放课程建设需要提供翻转课堂和混合式的课程设计，包括在线课程设计、见面课设计、在线论坛设计和翻转课堂教学设计。屏幕图像的构图合理，画面主体突出。人像及肢体动作以及配合讲授选用的板书、画板、教具实物、模型和实验设备等均不能超出镜头所及范围。授课视频的背景可采用彩色喷绘、电脑虚拟或现场实景等背景。背景的颜色、图案不易过多，画面应简洁、明快，有利于营造学习气氛。摄像镜头应保持与主讲教师目光平视的角度。主讲教师不应较长时间仰视或俯视。使用资料、图片、外景实拍、实验和表演等形象化教学手段，应符合教学内容要求，与讲授内容联系紧密，手段选用恰当。选用影视作品或自拍素材，应注明素材来源。影视作品或自拍素材中涉及人物访谈内容时，应加注人物介绍。选用的资料、图片等素材画面应清楚，对于历史资料、图片应进行再加工。选用的资料、图片等素材应注明素材来源及原始信息（如字画的作品、生卒年月，影视片断的作品名称、创作年代等信息）。</w:t>
            </w:r>
          </w:p>
          <w:p>
            <w:pPr>
              <w:pStyle w:val="null3"/>
              <w:ind w:firstLine="400"/>
              <w:jc w:val="both"/>
            </w:pPr>
            <w:r>
              <w:rPr>
                <w:rFonts w:ascii="仿宋_GB2312" w:hAnsi="仿宋_GB2312" w:cs="仿宋_GB2312" w:eastAsia="仿宋_GB2312"/>
                <w:sz w:val="20"/>
              </w:rPr>
              <w:t>课程设计咨询：辅助教学团队完成课程概要设计，主要包括课程背景、课程目标、课程设计原则、学分学时及学时分配、教学大纲、内容框架、考核方式、教学团队、章、节、知识点、见面课教程等的开发与设计。</w:t>
            </w:r>
          </w:p>
          <w:p>
            <w:pPr>
              <w:pStyle w:val="null3"/>
              <w:ind w:firstLine="400"/>
              <w:jc w:val="both"/>
            </w:pPr>
            <w:r>
              <w:rPr>
                <w:rFonts w:ascii="仿宋_GB2312" w:hAnsi="仿宋_GB2312" w:cs="仿宋_GB2312" w:eastAsia="仿宋_GB2312"/>
                <w:sz w:val="20"/>
              </w:rPr>
              <w:t>教程制作服务：碎片化视频拍摄、视频编辑脚本制作、见面课教程设计咨询、共享课程质量评审、课程</w:t>
            </w:r>
            <w:r>
              <w:rPr>
                <w:rFonts w:ascii="仿宋_GB2312" w:hAnsi="仿宋_GB2312" w:cs="仿宋_GB2312" w:eastAsia="仿宋_GB2312"/>
                <w:sz w:val="20"/>
              </w:rPr>
              <w:t>VI套件设计服务、课程片花制作服务和组织资源进行课程上线等服务。</w:t>
            </w:r>
          </w:p>
          <w:p>
            <w:pPr>
              <w:pStyle w:val="null3"/>
              <w:ind w:firstLine="402"/>
              <w:jc w:val="left"/>
            </w:pPr>
            <w:r>
              <w:rPr>
                <w:rFonts w:ascii="仿宋_GB2312" w:hAnsi="仿宋_GB2312" w:cs="仿宋_GB2312" w:eastAsia="仿宋_GB2312"/>
                <w:sz w:val="20"/>
                <w:b/>
              </w:rPr>
              <w:t>（二）视频技术规格</w:t>
            </w:r>
          </w:p>
          <w:p>
            <w:pPr>
              <w:pStyle w:val="null3"/>
              <w:ind w:firstLine="400"/>
              <w:jc w:val="both"/>
            </w:pPr>
            <w:r>
              <w:rPr>
                <w:rFonts w:ascii="仿宋_GB2312" w:hAnsi="仿宋_GB2312" w:cs="仿宋_GB2312" w:eastAsia="仿宋_GB2312"/>
                <w:sz w:val="20"/>
              </w:rPr>
              <w:t>1.视频信号源</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1）稳定性：全片图像同步性能稳定，无失步现象，图像无抖动跳跃，色彩无突变，编辑点处图像稳定。</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2）色调：白平衡正确，无明显偏色，多机拍摄的镜头衔接处无明显色差。</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3）画幅：采用16:9，1080p。</w:t>
            </w:r>
          </w:p>
          <w:p>
            <w:pPr>
              <w:pStyle w:val="null3"/>
              <w:ind w:firstLine="400"/>
              <w:jc w:val="both"/>
            </w:pPr>
            <w:r>
              <w:rPr>
                <w:rFonts w:ascii="仿宋_GB2312" w:hAnsi="仿宋_GB2312" w:cs="仿宋_GB2312" w:eastAsia="仿宋_GB2312"/>
                <w:sz w:val="20"/>
              </w:rPr>
              <w:t>2.音频信号源</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1）声道：教师讲授内容音频信号记录于第1声道，音乐、音效、同期声记录于第2声道，若有其他文字解说记录于第3声道(如录音设备无第3声道,则录于第2声道)。</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）声音和画面要求同步，无交流声或其他杂音等缺陷。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）伴音清晰、饱满、圆润，无失真、噪声杂音干扰、音量忽大忽小现象。解说声与现场声无明显比例失调，解说声与背景音乐无明显比例失调。</w:t>
            </w:r>
          </w:p>
          <w:p>
            <w:pPr>
              <w:pStyle w:val="null3"/>
              <w:ind w:firstLine="400"/>
              <w:jc w:val="both"/>
            </w:pPr>
            <w:r>
              <w:rPr>
                <w:rFonts w:ascii="仿宋_GB2312" w:hAnsi="仿宋_GB2312" w:cs="仿宋_GB2312" w:eastAsia="仿宋_GB2312"/>
                <w:sz w:val="20"/>
              </w:rPr>
              <w:t>3.视频压缩格式及技术参数</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1）视频压缩采用H.264/AVC (MPEG-4 Part10)编码、使用二次编码、不包含字幕的MP4格式。</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2）视频码流率：动态码流的最低码率不得低于1024Kb。</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3）视频分辨率</w:t>
            </w:r>
            <w:r>
              <w:rPr>
                <w:rFonts w:ascii="仿宋_GB2312" w:hAnsi="仿宋_GB2312" w:cs="仿宋_GB2312" w:eastAsia="仿宋_GB2312"/>
                <w:sz w:val="20"/>
              </w:rPr>
              <w:t>：</w:t>
            </w:r>
            <w:r>
              <w:rPr>
                <w:rFonts w:ascii="仿宋_GB2312" w:hAnsi="仿宋_GB2312" w:cs="仿宋_GB2312" w:eastAsia="仿宋_GB2312"/>
                <w:sz w:val="20"/>
              </w:rPr>
              <w:t>前期采用高清</w:t>
            </w:r>
            <w:r>
              <w:rPr>
                <w:rFonts w:ascii="仿宋_GB2312" w:hAnsi="仿宋_GB2312" w:cs="仿宋_GB2312" w:eastAsia="仿宋_GB2312"/>
                <w:sz w:val="20"/>
              </w:rPr>
              <w:t>16:9拍摄，请设定为1920×1080。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4）视频画幅宽高比</w:t>
            </w:r>
            <w:r>
              <w:rPr>
                <w:rFonts w:ascii="仿宋_GB2312" w:hAnsi="仿宋_GB2312" w:cs="仿宋_GB2312" w:eastAsia="仿宋_GB2312"/>
                <w:sz w:val="20"/>
              </w:rPr>
              <w:t>：</w:t>
            </w:r>
            <w:r>
              <w:rPr>
                <w:rFonts w:ascii="仿宋_GB2312" w:hAnsi="仿宋_GB2312" w:cs="仿宋_GB2312" w:eastAsia="仿宋_GB2312"/>
                <w:sz w:val="20"/>
              </w:rPr>
              <w:t>视频画幅宽高比为</w:t>
            </w:r>
            <w:r>
              <w:rPr>
                <w:rFonts w:ascii="仿宋_GB2312" w:hAnsi="仿宋_GB2312" w:cs="仿宋_GB2312" w:eastAsia="仿宋_GB2312"/>
                <w:sz w:val="20"/>
              </w:rPr>
              <w:t>16:9，分辨率设定为1920×1080。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5）视频帧率为25帧/秒。</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6）扫描方式采用逐行扫描。</w:t>
            </w:r>
          </w:p>
          <w:p>
            <w:pPr>
              <w:pStyle w:val="null3"/>
              <w:ind w:firstLine="400"/>
              <w:jc w:val="both"/>
            </w:pPr>
            <w:r>
              <w:rPr>
                <w:rFonts w:ascii="仿宋_GB2312" w:hAnsi="仿宋_GB2312" w:cs="仿宋_GB2312" w:eastAsia="仿宋_GB2312"/>
                <w:sz w:val="20"/>
              </w:rPr>
              <w:t>4.音频压缩格式及技术参数</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1）音频压缩采用AAC(MPEG4 Part3)格式。</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2）采样率48KHz。</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3）音频码流率128Kbps (恒定)。</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4）必须是双声道，必须做混音处理。</w:t>
            </w:r>
          </w:p>
          <w:p>
            <w:pPr>
              <w:pStyle w:val="null3"/>
              <w:ind w:firstLine="400"/>
              <w:jc w:val="both"/>
            </w:pPr>
            <w:r>
              <w:rPr>
                <w:rFonts w:ascii="仿宋_GB2312" w:hAnsi="仿宋_GB2312" w:cs="仿宋_GB2312" w:eastAsia="仿宋_GB2312"/>
                <w:sz w:val="20"/>
              </w:rPr>
              <w:t>5.封装</w:t>
            </w:r>
          </w:p>
          <w:p>
            <w:pPr>
              <w:pStyle w:val="null3"/>
              <w:ind w:firstLine="400"/>
              <w:jc w:val="both"/>
            </w:pPr>
            <w:r>
              <w:rPr>
                <w:rFonts w:ascii="仿宋_GB2312" w:hAnsi="仿宋_GB2312" w:cs="仿宋_GB2312" w:eastAsia="仿宋_GB2312"/>
                <w:sz w:val="20"/>
              </w:rPr>
              <w:t>视频采用</w:t>
            </w:r>
            <w:r>
              <w:rPr>
                <w:rFonts w:ascii="仿宋_GB2312" w:hAnsi="仿宋_GB2312" w:cs="仿宋_GB2312" w:eastAsia="仿宋_GB2312"/>
                <w:sz w:val="20"/>
              </w:rPr>
              <w:t>MP4封装，单个视频文件小于200MB。</w:t>
            </w:r>
          </w:p>
          <w:p>
            <w:pPr>
              <w:pStyle w:val="null3"/>
              <w:ind w:firstLine="400"/>
              <w:jc w:val="both"/>
            </w:pPr>
            <w:r>
              <w:rPr>
                <w:rFonts w:ascii="仿宋_GB2312" w:hAnsi="仿宋_GB2312" w:cs="仿宋_GB2312" w:eastAsia="仿宋_GB2312"/>
                <w:sz w:val="20"/>
              </w:rPr>
              <w:t>字幕文件采用</w:t>
            </w:r>
            <w:r>
              <w:rPr>
                <w:rFonts w:ascii="仿宋_GB2312" w:hAnsi="仿宋_GB2312" w:cs="仿宋_GB2312" w:eastAsia="仿宋_GB2312"/>
                <w:sz w:val="20"/>
              </w:rPr>
              <w:t>SRT格式，中英文字幕需分成两个SRT文件。</w:t>
            </w:r>
          </w:p>
          <w:p>
            <w:pPr>
              <w:pStyle w:val="null3"/>
              <w:ind w:firstLine="400"/>
              <w:jc w:val="both"/>
            </w:pPr>
            <w:r>
              <w:rPr>
                <w:rFonts w:ascii="仿宋_GB2312" w:hAnsi="仿宋_GB2312" w:cs="仿宋_GB2312" w:eastAsia="仿宋_GB2312"/>
                <w:sz w:val="20"/>
              </w:rPr>
              <w:t>6.版权来源</w:t>
            </w:r>
          </w:p>
          <w:p>
            <w:pPr>
              <w:pStyle w:val="null3"/>
              <w:ind w:firstLine="400"/>
              <w:jc w:val="both"/>
            </w:pPr>
            <w:r>
              <w:rPr>
                <w:rFonts w:ascii="仿宋_GB2312" w:hAnsi="仿宋_GB2312" w:cs="仿宋_GB2312" w:eastAsia="仿宋_GB2312"/>
                <w:sz w:val="20"/>
              </w:rPr>
              <w:t>素材选用注意版权，涉及版权问题须加入</w:t>
            </w:r>
            <w:r>
              <w:rPr>
                <w:rFonts w:ascii="仿宋_GB2312" w:hAnsi="仿宋_GB2312" w:cs="仿宋_GB2312" w:eastAsia="仿宋_GB2312"/>
                <w:sz w:val="20"/>
              </w:rPr>
              <w:t>“版权来源”信息。</w:t>
            </w:r>
          </w:p>
          <w:p>
            <w:pPr>
              <w:pStyle w:val="null3"/>
              <w:ind w:firstLine="400"/>
              <w:jc w:val="both"/>
            </w:pPr>
            <w:r>
              <w:rPr>
                <w:rFonts w:ascii="仿宋_GB2312" w:hAnsi="仿宋_GB2312" w:cs="仿宋_GB2312" w:eastAsia="仿宋_GB2312"/>
                <w:sz w:val="20"/>
              </w:rPr>
              <w:t>注：知识点视频是指针对知识点或技能点录制的符合教学规范的教学视频；视频是指针对实际操作录制的视频，或者是相关知识</w:t>
            </w:r>
            <w:r>
              <w:rPr>
                <w:rFonts w:ascii="仿宋_GB2312" w:hAnsi="仿宋_GB2312" w:cs="仿宋_GB2312" w:eastAsia="仿宋_GB2312"/>
                <w:sz w:val="20"/>
              </w:rPr>
              <w:t>/技能的视频资料；授课视频不能作为资源建设（请务必注意），视频必须是有让学生实现自主学习的功能，类似微课，不是教学录像。</w:t>
            </w:r>
          </w:p>
          <w:p>
            <w:pPr>
              <w:pStyle w:val="null3"/>
              <w:ind w:firstLine="402"/>
              <w:jc w:val="left"/>
            </w:pPr>
            <w:r>
              <w:rPr>
                <w:rFonts w:ascii="仿宋_GB2312" w:hAnsi="仿宋_GB2312" w:cs="仿宋_GB2312" w:eastAsia="仿宋_GB2312"/>
                <w:sz w:val="20"/>
                <w:b/>
              </w:rPr>
              <w:t>（三）</w:t>
            </w:r>
            <w:r>
              <w:rPr>
                <w:rFonts w:ascii="仿宋_GB2312" w:hAnsi="仿宋_GB2312" w:cs="仿宋_GB2312" w:eastAsia="仿宋_GB2312"/>
                <w:sz w:val="20"/>
                <w:b/>
              </w:rPr>
              <w:t>动画技术规格</w:t>
            </w:r>
          </w:p>
          <w:p>
            <w:pPr>
              <w:pStyle w:val="null3"/>
              <w:ind w:firstLine="400"/>
              <w:jc w:val="both"/>
            </w:pPr>
            <w:r>
              <w:rPr>
                <w:rFonts w:ascii="仿宋_GB2312" w:hAnsi="仿宋_GB2312" w:cs="仿宋_GB2312" w:eastAsia="仿宋_GB2312"/>
                <w:sz w:val="20"/>
              </w:rPr>
              <w:t>二维动画包含演示动画、情景动画等，将枯燥、抽象、生涩难懂的知识重点，以及文字、图片、视频无法呈现的知识难点，以动画形式展现，解决老师难教和学生难懂的教学问题。每个动画需要包含教学设计、素材收集、制作脚本、开发、字幕、专业配音、后期剪辑、解说字幕等环节。每个动画要求不少于</w:t>
            </w:r>
            <w:r>
              <w:rPr>
                <w:rFonts w:ascii="仿宋_GB2312" w:hAnsi="仿宋_GB2312" w:cs="仿宋_GB2312" w:eastAsia="仿宋_GB2312"/>
                <w:sz w:val="20"/>
              </w:rPr>
              <w:t>120秒，输出统一，分辨率1920*1080、高清MP4格式。具体时长以能清晰、完整地表述相应的知识点或技能点为准。标题能够体现动画所表现的内容，</w:t>
            </w:r>
            <w:r>
              <w:rPr>
                <w:rFonts w:ascii="仿宋_GB2312" w:hAnsi="仿宋_GB2312" w:cs="仿宋_GB2312" w:eastAsia="仿宋_GB2312"/>
                <w:sz w:val="20"/>
              </w:rPr>
              <w:t>搭配</w:t>
            </w:r>
            <w:r>
              <w:rPr>
                <w:rFonts w:ascii="仿宋_GB2312" w:hAnsi="仿宋_GB2312" w:cs="仿宋_GB2312" w:eastAsia="仿宋_GB2312"/>
                <w:sz w:val="20"/>
              </w:rPr>
              <w:t>字幕，动画连续，节奏合适，帧和帧之间的关联性要强；要求声音和画面同步，无交流声或其他杂音等缺陷，无明显失真、放音过冲、过弱。伴音清晰、饱满、圆润，无失真、噪声杂音干扰、音量忽大忽小现象；解说配音应标准，无噪音，解说声与现场声无明显比例失调；动画内容中出现文字，要求文字清晰；动画内容符合我国法律法规，尊重各民族的风俗习惯。</w:t>
            </w:r>
          </w:p>
          <w:p>
            <w:pPr>
              <w:pStyle w:val="null3"/>
              <w:ind w:firstLine="402"/>
              <w:jc w:val="left"/>
            </w:pPr>
            <w:r>
              <w:rPr>
                <w:rFonts w:ascii="仿宋_GB2312" w:hAnsi="仿宋_GB2312" w:cs="仿宋_GB2312" w:eastAsia="仿宋_GB2312"/>
                <w:sz w:val="20"/>
                <w:b/>
              </w:rPr>
              <w:t>（</w:t>
            </w:r>
            <w:r>
              <w:rPr>
                <w:rFonts w:ascii="仿宋_GB2312" w:hAnsi="仿宋_GB2312" w:cs="仿宋_GB2312" w:eastAsia="仿宋_GB2312"/>
                <w:sz w:val="20"/>
                <w:b/>
              </w:rPr>
              <w:t>四</w:t>
            </w:r>
            <w:r>
              <w:rPr>
                <w:rFonts w:ascii="仿宋_GB2312" w:hAnsi="仿宋_GB2312" w:cs="仿宋_GB2312" w:eastAsia="仿宋_GB2312"/>
                <w:sz w:val="20"/>
                <w:b/>
              </w:rPr>
              <w:t>）</w:t>
            </w:r>
            <w:r>
              <w:rPr>
                <w:rFonts w:ascii="仿宋_GB2312" w:hAnsi="仿宋_GB2312" w:cs="仿宋_GB2312" w:eastAsia="仿宋_GB2312"/>
                <w:sz w:val="20"/>
                <w:b/>
              </w:rPr>
              <w:t>知识图谱应用</w:t>
            </w:r>
            <w:r>
              <w:rPr>
                <w:rFonts w:ascii="仿宋_GB2312" w:hAnsi="仿宋_GB2312" w:cs="仿宋_GB2312" w:eastAsia="仿宋_GB2312"/>
                <w:sz w:val="20"/>
                <w:b/>
              </w:rPr>
              <w:t>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教学运行服务</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1）支持课程学生管理：支持导入学生名单，可查看导入失败学生名单，可移除导入错误的学生。</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2）支持课程运行总体数据统计：可查看课程学习的学生数量、课程的人均学习进度、全部学生已学内容掌握度平均值等</w:t>
            </w:r>
            <w:r>
              <w:rPr>
                <w:rFonts w:ascii="仿宋_GB2312" w:hAnsi="仿宋_GB2312" w:cs="仿宋_GB2312" w:eastAsia="仿宋_GB2312"/>
                <w:sz w:val="20"/>
              </w:rPr>
              <w:t>数据</w:t>
            </w:r>
            <w:r>
              <w:rPr>
                <w:rFonts w:ascii="仿宋_GB2312" w:hAnsi="仿宋_GB2312" w:cs="仿宋_GB2312" w:eastAsia="仿宋_GB2312"/>
                <w:sz w:val="20"/>
              </w:rPr>
              <w:t>，</w:t>
            </w:r>
            <w:r>
              <w:rPr>
                <w:rFonts w:ascii="仿宋_GB2312" w:hAnsi="仿宋_GB2312" w:cs="仿宋_GB2312" w:eastAsia="仿宋_GB2312"/>
                <w:sz w:val="20"/>
              </w:rPr>
              <w:t>并且分析出各个同学的各阶段的合格率情况</w:t>
            </w:r>
            <w:r>
              <w:rPr>
                <w:rFonts w:ascii="仿宋_GB2312" w:hAnsi="仿宋_GB2312" w:cs="仿宋_GB2312" w:eastAsia="仿宋_GB2312"/>
                <w:sz w:val="20"/>
              </w:rPr>
              <w:t>，</w:t>
            </w:r>
            <w:r>
              <w:rPr>
                <w:rFonts w:ascii="仿宋_GB2312" w:hAnsi="仿宋_GB2312" w:cs="仿宋_GB2312" w:eastAsia="仿宋_GB2312"/>
                <w:sz w:val="20"/>
              </w:rPr>
              <w:t>人均学习进度分布与</w:t>
            </w:r>
            <w:r>
              <w:rPr>
                <w:rFonts w:ascii="仿宋_GB2312" w:hAnsi="仿宋_GB2312" w:cs="仿宋_GB2312" w:eastAsia="仿宋_GB2312"/>
                <w:sz w:val="20"/>
              </w:rPr>
              <w:t>平均</w:t>
            </w:r>
            <w:r>
              <w:rPr>
                <w:rFonts w:ascii="仿宋_GB2312" w:hAnsi="仿宋_GB2312" w:cs="仿宋_GB2312" w:eastAsia="仿宋_GB2312"/>
                <w:sz w:val="20"/>
              </w:rPr>
              <w:t>掌握度分布等情况</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3）支持树状知识地图查看学生掌握度：基于课程图谱中构建的树状知识地图，查看每一知识点的平均掌握度。支持放大、缩小、全屏知识地图，支持展开收起树状知识节点，支持搜索知识地图中的知识点。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4）支持网状知识图谱查看学生掌握度：基于课程图谱中构建的网状知识图谱，查看每一知识点的平均掌握度。支持放大、缩小知识图谱，支持搜索知识图谱中的知识点。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5）支持查看学生学习详情：可查看课程内的每位学生的学习详情，包含学生加入课程的时间、课程内知识点的学习进度以及已学内容的掌握度。</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6）支持查看知识点学习详情：可查看每个知识点的学生完成率以及近一周的提升情况，可查看每个知识点的平均掌握度以及不同范围掌握度的学生分布情况。</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7）支持查看学生个人分析报告：可查看学生的所有知识点学习的平均掌握度、资料总学习时长、总练习时长、总练习次数。可查看学生对每个知识点学习的掌握度以及班级的平均掌握度，用于比较学生在课程内的当前学习水平。可查看学生对每个知识点的资料学习时长、练习时长、练习次数。</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支持分析每日学情况简讯</w:t>
            </w:r>
            <w:r>
              <w:rPr>
                <w:rFonts w:ascii="仿宋_GB2312" w:hAnsi="仿宋_GB2312" w:cs="仿宋_GB2312" w:eastAsia="仿宋_GB2312"/>
                <w:sz w:val="20"/>
              </w:rPr>
              <w:t>：</w:t>
            </w:r>
            <w:r>
              <w:rPr>
                <w:rFonts w:ascii="仿宋_GB2312" w:hAnsi="仿宋_GB2312" w:cs="仿宋_GB2312" w:eastAsia="仿宋_GB2312"/>
                <w:sz w:val="20"/>
              </w:rPr>
              <w:t>包括今日学生上线数量</w:t>
            </w:r>
            <w:r>
              <w:rPr>
                <w:rFonts w:ascii="仿宋_GB2312" w:hAnsi="仿宋_GB2312" w:cs="仿宋_GB2312" w:eastAsia="仿宋_GB2312"/>
                <w:sz w:val="20"/>
              </w:rPr>
              <w:t>、</w:t>
            </w:r>
            <w:r>
              <w:rPr>
                <w:rFonts w:ascii="仿宋_GB2312" w:hAnsi="仿宋_GB2312" w:cs="仿宋_GB2312" w:eastAsia="仿宋_GB2312"/>
                <w:sz w:val="20"/>
              </w:rPr>
              <w:t>老师上线数量</w:t>
            </w:r>
            <w:r>
              <w:rPr>
                <w:rFonts w:ascii="仿宋_GB2312" w:hAnsi="仿宋_GB2312" w:cs="仿宋_GB2312" w:eastAsia="仿宋_GB2312"/>
                <w:sz w:val="20"/>
              </w:rPr>
              <w:t>、</w:t>
            </w:r>
            <w:r>
              <w:rPr>
                <w:rFonts w:ascii="仿宋_GB2312" w:hAnsi="仿宋_GB2312" w:cs="仿宋_GB2312" w:eastAsia="仿宋_GB2312"/>
                <w:sz w:val="20"/>
              </w:rPr>
              <w:t>教师团队建设数据</w:t>
            </w:r>
            <w:r>
              <w:rPr>
                <w:rFonts w:ascii="仿宋_GB2312" w:hAnsi="仿宋_GB2312" w:cs="仿宋_GB2312" w:eastAsia="仿宋_GB2312"/>
                <w:sz w:val="20"/>
              </w:rPr>
              <w:t>，（</w:t>
            </w:r>
            <w:r>
              <w:rPr>
                <w:rFonts w:ascii="仿宋_GB2312" w:hAnsi="仿宋_GB2312" w:cs="仿宋_GB2312" w:eastAsia="仿宋_GB2312"/>
                <w:sz w:val="20"/>
              </w:rPr>
              <w:t>包括</w:t>
            </w:r>
            <w:r>
              <w:rPr>
                <w:rFonts w:ascii="仿宋_GB2312" w:hAnsi="仿宋_GB2312" w:cs="仿宋_GB2312" w:eastAsia="仿宋_GB2312"/>
                <w:sz w:val="20"/>
              </w:rPr>
              <w:t>：</w:t>
            </w:r>
            <w:r>
              <w:rPr>
                <w:rFonts w:ascii="仿宋_GB2312" w:hAnsi="仿宋_GB2312" w:cs="仿宋_GB2312" w:eastAsia="仿宋_GB2312"/>
                <w:sz w:val="20"/>
              </w:rPr>
              <w:t>教授</w:t>
            </w:r>
            <w:r>
              <w:rPr>
                <w:rFonts w:ascii="仿宋_GB2312" w:hAnsi="仿宋_GB2312" w:cs="仿宋_GB2312" w:eastAsia="仿宋_GB2312"/>
                <w:sz w:val="20"/>
              </w:rPr>
              <w:t>、</w:t>
            </w:r>
            <w:r>
              <w:rPr>
                <w:rFonts w:ascii="仿宋_GB2312" w:hAnsi="仿宋_GB2312" w:cs="仿宋_GB2312" w:eastAsia="仿宋_GB2312"/>
                <w:sz w:val="20"/>
              </w:rPr>
              <w:t>副教授</w:t>
            </w:r>
            <w:r>
              <w:rPr>
                <w:rFonts w:ascii="仿宋_GB2312" w:hAnsi="仿宋_GB2312" w:cs="仿宋_GB2312" w:eastAsia="仿宋_GB2312"/>
                <w:sz w:val="20"/>
              </w:rPr>
              <w:t>、</w:t>
            </w:r>
            <w:r>
              <w:rPr>
                <w:rFonts w:ascii="仿宋_GB2312" w:hAnsi="仿宋_GB2312" w:cs="仿宋_GB2312" w:eastAsia="仿宋_GB2312"/>
                <w:sz w:val="20"/>
              </w:rPr>
              <w:t>讲师</w:t>
            </w:r>
            <w:r>
              <w:rPr>
                <w:rFonts w:ascii="仿宋_GB2312" w:hAnsi="仿宋_GB2312" w:cs="仿宋_GB2312" w:eastAsia="仿宋_GB2312"/>
                <w:sz w:val="20"/>
              </w:rPr>
              <w:t>、</w:t>
            </w:r>
            <w:r>
              <w:rPr>
                <w:rFonts w:ascii="仿宋_GB2312" w:hAnsi="仿宋_GB2312" w:cs="仿宋_GB2312" w:eastAsia="仿宋_GB2312"/>
                <w:sz w:val="20"/>
              </w:rPr>
              <w:t>助教等身份</w:t>
            </w:r>
            <w:r>
              <w:rPr>
                <w:rFonts w:ascii="仿宋_GB2312" w:hAnsi="仿宋_GB2312" w:cs="仿宋_GB2312" w:eastAsia="仿宋_GB2312"/>
                <w:sz w:val="20"/>
              </w:rPr>
              <w:t>）、</w:t>
            </w:r>
            <w:r>
              <w:rPr>
                <w:rFonts w:ascii="仿宋_GB2312" w:hAnsi="仿宋_GB2312" w:cs="仿宋_GB2312" w:eastAsia="仿宋_GB2312"/>
                <w:sz w:val="20"/>
              </w:rPr>
              <w:t>学生学习相关数据</w:t>
            </w:r>
            <w:r>
              <w:rPr>
                <w:rFonts w:ascii="仿宋_GB2312" w:hAnsi="仿宋_GB2312" w:cs="仿宋_GB2312" w:eastAsia="仿宋_GB2312"/>
                <w:sz w:val="20"/>
              </w:rPr>
              <w:t>（</w:t>
            </w:r>
            <w:r>
              <w:rPr>
                <w:rFonts w:ascii="仿宋_GB2312" w:hAnsi="仿宋_GB2312" w:cs="仿宋_GB2312" w:eastAsia="仿宋_GB2312"/>
                <w:sz w:val="20"/>
              </w:rPr>
              <w:t>学生学习人次</w:t>
            </w:r>
            <w:r>
              <w:rPr>
                <w:rFonts w:ascii="仿宋_GB2312" w:hAnsi="仿宋_GB2312" w:cs="仿宋_GB2312" w:eastAsia="仿宋_GB2312"/>
                <w:sz w:val="20"/>
              </w:rPr>
              <w:t>、</w:t>
            </w:r>
            <w:r>
              <w:rPr>
                <w:rFonts w:ascii="仿宋_GB2312" w:hAnsi="仿宋_GB2312" w:cs="仿宋_GB2312" w:eastAsia="仿宋_GB2312"/>
                <w:sz w:val="20"/>
              </w:rPr>
              <w:t>参与学生人数</w:t>
            </w:r>
            <w:r>
              <w:rPr>
                <w:rFonts w:ascii="仿宋_GB2312" w:hAnsi="仿宋_GB2312" w:cs="仿宋_GB2312" w:eastAsia="仿宋_GB2312"/>
                <w:sz w:val="20"/>
              </w:rPr>
              <w:t>、</w:t>
            </w:r>
            <w:r>
              <w:rPr>
                <w:rFonts w:ascii="仿宋_GB2312" w:hAnsi="仿宋_GB2312" w:cs="仿宋_GB2312" w:eastAsia="仿宋_GB2312"/>
                <w:sz w:val="20"/>
              </w:rPr>
              <w:t>参与率</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支持分析课程图谱运行成果</w:t>
            </w:r>
            <w:r>
              <w:rPr>
                <w:rFonts w:ascii="仿宋_GB2312" w:hAnsi="仿宋_GB2312" w:cs="仿宋_GB2312" w:eastAsia="仿宋_GB2312"/>
                <w:sz w:val="20"/>
              </w:rPr>
              <w:t>：</w:t>
            </w:r>
            <w:r>
              <w:rPr>
                <w:rFonts w:ascii="仿宋_GB2312" w:hAnsi="仿宋_GB2312" w:cs="仿宋_GB2312" w:eastAsia="仿宋_GB2312"/>
                <w:sz w:val="20"/>
              </w:rPr>
              <w:t>分析数据包括稳定运行时长</w:t>
            </w:r>
            <w:r>
              <w:rPr>
                <w:rFonts w:ascii="仿宋_GB2312" w:hAnsi="仿宋_GB2312" w:cs="仿宋_GB2312" w:eastAsia="仿宋_GB2312"/>
                <w:sz w:val="20"/>
              </w:rPr>
              <w:t>、</w:t>
            </w:r>
            <w:r>
              <w:rPr>
                <w:rFonts w:ascii="仿宋_GB2312" w:hAnsi="仿宋_GB2312" w:cs="仿宋_GB2312" w:eastAsia="仿宋_GB2312"/>
                <w:sz w:val="20"/>
              </w:rPr>
              <w:t>人均学习进度</w:t>
            </w:r>
            <w:r>
              <w:rPr>
                <w:rFonts w:ascii="仿宋_GB2312" w:hAnsi="仿宋_GB2312" w:cs="仿宋_GB2312" w:eastAsia="仿宋_GB2312"/>
                <w:sz w:val="20"/>
              </w:rPr>
              <w:t>、</w:t>
            </w:r>
            <w:r>
              <w:rPr>
                <w:rFonts w:ascii="仿宋_GB2312" w:hAnsi="仿宋_GB2312" w:cs="仿宋_GB2312" w:eastAsia="仿宋_GB2312"/>
                <w:sz w:val="20"/>
              </w:rPr>
              <w:t>平均掌握度</w:t>
            </w:r>
            <w:r>
              <w:rPr>
                <w:rFonts w:ascii="仿宋_GB2312" w:hAnsi="仿宋_GB2312" w:cs="仿宋_GB2312" w:eastAsia="仿宋_GB2312"/>
                <w:sz w:val="20"/>
              </w:rPr>
              <w:t>、</w:t>
            </w:r>
            <w:r>
              <w:rPr>
                <w:rFonts w:ascii="仿宋_GB2312" w:hAnsi="仿宋_GB2312" w:cs="仿宋_GB2312" w:eastAsia="仿宋_GB2312"/>
                <w:sz w:val="20"/>
              </w:rPr>
              <w:t>学生学习合格率等</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支持分析课程学习变化趋势</w:t>
            </w:r>
            <w:r>
              <w:rPr>
                <w:rFonts w:ascii="仿宋_GB2312" w:hAnsi="仿宋_GB2312" w:cs="仿宋_GB2312" w:eastAsia="仿宋_GB2312"/>
                <w:sz w:val="20"/>
              </w:rPr>
              <w:t>：</w:t>
            </w:r>
            <w:r>
              <w:rPr>
                <w:rFonts w:ascii="仿宋_GB2312" w:hAnsi="仿宋_GB2312" w:cs="仿宋_GB2312" w:eastAsia="仿宋_GB2312"/>
                <w:sz w:val="20"/>
              </w:rPr>
              <w:t>分析包括学习人次变化趋势</w:t>
            </w:r>
            <w:r>
              <w:rPr>
                <w:rFonts w:ascii="仿宋_GB2312" w:hAnsi="仿宋_GB2312" w:cs="仿宋_GB2312" w:eastAsia="仿宋_GB2312"/>
                <w:sz w:val="20"/>
              </w:rPr>
              <w:t>、</w:t>
            </w:r>
            <w:r>
              <w:rPr>
                <w:rFonts w:ascii="仿宋_GB2312" w:hAnsi="仿宋_GB2312" w:cs="仿宋_GB2312" w:eastAsia="仿宋_GB2312"/>
                <w:sz w:val="20"/>
              </w:rPr>
              <w:t>人均学习进度变化趋势</w:t>
            </w:r>
            <w:r>
              <w:rPr>
                <w:rFonts w:ascii="仿宋_GB2312" w:hAnsi="仿宋_GB2312" w:cs="仿宋_GB2312" w:eastAsia="仿宋_GB2312"/>
                <w:sz w:val="20"/>
              </w:rPr>
              <w:t>、</w:t>
            </w:r>
            <w:r>
              <w:rPr>
                <w:rFonts w:ascii="仿宋_GB2312" w:hAnsi="仿宋_GB2312" w:cs="仿宋_GB2312" w:eastAsia="仿宋_GB2312"/>
                <w:sz w:val="20"/>
              </w:rPr>
              <w:t>平均掌握度变化趋势</w:t>
            </w:r>
            <w:r>
              <w:rPr>
                <w:rFonts w:ascii="仿宋_GB2312" w:hAnsi="仿宋_GB2312" w:cs="仿宋_GB2312" w:eastAsia="仿宋_GB2312"/>
                <w:sz w:val="20"/>
              </w:rPr>
              <w:t>、</w:t>
            </w:r>
            <w:r>
              <w:rPr>
                <w:rFonts w:ascii="仿宋_GB2312" w:hAnsi="仿宋_GB2312" w:cs="仿宋_GB2312" w:eastAsia="仿宋_GB2312"/>
                <w:sz w:val="20"/>
              </w:rPr>
              <w:t>合格率变化趋势等</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课程</w:t>
            </w:r>
            <w:r>
              <w:rPr>
                <w:rFonts w:ascii="仿宋_GB2312" w:hAnsi="仿宋_GB2312" w:cs="仿宋_GB2312" w:eastAsia="仿宋_GB2312"/>
                <w:sz w:val="20"/>
              </w:rPr>
              <w:t>图谱学习</w:t>
            </w:r>
            <w:r>
              <w:rPr>
                <w:rFonts w:ascii="仿宋_GB2312" w:hAnsi="仿宋_GB2312" w:cs="仿宋_GB2312" w:eastAsia="仿宋_GB2312"/>
                <w:sz w:val="20"/>
              </w:rPr>
              <w:t>平台</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支持知识图谱学习：基于树状知识地图和网状知识图谱，可查看每一知识点的掌握度情况。支持查看网状知识图谱的任一知识节点（包含主题、知识点、属性等）的知识详情。知识详情包括知识节点的标签、别名、描述、视频资源、教材资源、网络资源、知识关系、知识点属性等内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支持学生通过主题</w:t>
            </w:r>
            <w:r>
              <w:rPr>
                <w:rFonts w:ascii="仿宋_GB2312" w:hAnsi="仿宋_GB2312" w:cs="仿宋_GB2312" w:eastAsia="仿宋_GB2312"/>
                <w:sz w:val="20"/>
              </w:rPr>
              <w:t>－</w:t>
            </w:r>
            <w:r>
              <w:rPr>
                <w:rFonts w:ascii="仿宋_GB2312" w:hAnsi="仿宋_GB2312" w:cs="仿宋_GB2312" w:eastAsia="仿宋_GB2312"/>
                <w:sz w:val="20"/>
              </w:rPr>
              <w:t>子主题</w:t>
            </w:r>
            <w:r>
              <w:rPr>
                <w:rFonts w:ascii="仿宋_GB2312" w:hAnsi="仿宋_GB2312" w:cs="仿宋_GB2312" w:eastAsia="仿宋_GB2312"/>
                <w:sz w:val="20"/>
              </w:rPr>
              <w:t>－</w:t>
            </w:r>
            <w:r>
              <w:rPr>
                <w:rFonts w:ascii="仿宋_GB2312" w:hAnsi="仿宋_GB2312" w:cs="仿宋_GB2312" w:eastAsia="仿宋_GB2312"/>
                <w:sz w:val="20"/>
              </w:rPr>
              <w:t>知识点模式进行学习</w:t>
            </w:r>
            <w:r>
              <w:rPr>
                <w:rFonts w:ascii="仿宋_GB2312" w:hAnsi="仿宋_GB2312" w:cs="仿宋_GB2312" w:eastAsia="仿宋_GB2312"/>
                <w:sz w:val="20"/>
              </w:rPr>
              <w:t>：</w:t>
            </w:r>
            <w:r>
              <w:rPr>
                <w:rFonts w:ascii="仿宋_GB2312" w:hAnsi="仿宋_GB2312" w:cs="仿宋_GB2312" w:eastAsia="仿宋_GB2312"/>
                <w:sz w:val="20"/>
              </w:rPr>
              <w:t>开放传统学习渠道给到学生</w:t>
            </w:r>
            <w:r>
              <w:rPr>
                <w:rFonts w:ascii="仿宋_GB2312" w:hAnsi="仿宋_GB2312" w:cs="仿宋_GB2312" w:eastAsia="仿宋_GB2312"/>
                <w:sz w:val="20"/>
              </w:rPr>
              <w:t>，</w:t>
            </w:r>
            <w:r>
              <w:rPr>
                <w:rFonts w:ascii="仿宋_GB2312" w:hAnsi="仿宋_GB2312" w:cs="仿宋_GB2312" w:eastAsia="仿宋_GB2312"/>
                <w:sz w:val="20"/>
              </w:rPr>
              <w:t>帮助学生完成日常学习</w:t>
            </w:r>
            <w:r>
              <w:rPr>
                <w:rFonts w:ascii="仿宋_GB2312" w:hAnsi="仿宋_GB2312" w:cs="仿宋_GB2312" w:eastAsia="仿宋_GB2312"/>
                <w:sz w:val="20"/>
              </w:rPr>
              <w:t>，</w:t>
            </w:r>
            <w:r>
              <w:rPr>
                <w:rFonts w:ascii="仿宋_GB2312" w:hAnsi="仿宋_GB2312" w:cs="仿宋_GB2312" w:eastAsia="仿宋_GB2312"/>
                <w:sz w:val="20"/>
              </w:rPr>
              <w:t>学还是</w:t>
            </w:r>
            <w:r>
              <w:rPr>
                <w:rFonts w:ascii="仿宋_GB2312" w:hAnsi="仿宋_GB2312" w:cs="仿宋_GB2312" w:eastAsia="仿宋_GB2312"/>
                <w:sz w:val="20"/>
              </w:rPr>
              <w:t>那个</w:t>
            </w:r>
            <w:r>
              <w:rPr>
                <w:rFonts w:ascii="仿宋_GB2312" w:hAnsi="仿宋_GB2312" w:cs="仿宋_GB2312" w:eastAsia="仿宋_GB2312"/>
                <w:sz w:val="20"/>
              </w:rPr>
              <w:t>可通过主题</w:t>
            </w:r>
            <w:r>
              <w:rPr>
                <w:rFonts w:ascii="仿宋_GB2312" w:hAnsi="仿宋_GB2312" w:cs="仿宋_GB2312" w:eastAsia="仿宋_GB2312"/>
                <w:sz w:val="20"/>
              </w:rPr>
              <w:t>－</w:t>
            </w:r>
            <w:r>
              <w:rPr>
                <w:rFonts w:ascii="仿宋_GB2312" w:hAnsi="仿宋_GB2312" w:cs="仿宋_GB2312" w:eastAsia="仿宋_GB2312"/>
                <w:sz w:val="20"/>
              </w:rPr>
              <w:t>子主题</w:t>
            </w:r>
            <w:r>
              <w:rPr>
                <w:rFonts w:ascii="仿宋_GB2312" w:hAnsi="仿宋_GB2312" w:cs="仿宋_GB2312" w:eastAsia="仿宋_GB2312"/>
                <w:sz w:val="20"/>
              </w:rPr>
              <w:t>－</w:t>
            </w:r>
            <w:r>
              <w:rPr>
                <w:rFonts w:ascii="仿宋_GB2312" w:hAnsi="仿宋_GB2312" w:cs="仿宋_GB2312" w:eastAsia="仿宋_GB2312"/>
                <w:sz w:val="20"/>
              </w:rPr>
              <w:t>知识点的模式直观观看全部的知识点内容与知识点掌握度</w:t>
            </w:r>
            <w:r>
              <w:rPr>
                <w:rFonts w:ascii="仿宋_GB2312" w:hAnsi="仿宋_GB2312" w:cs="仿宋_GB2312" w:eastAsia="仿宋_GB2312"/>
                <w:sz w:val="20"/>
              </w:rPr>
              <w:t>，</w:t>
            </w:r>
            <w:r>
              <w:rPr>
                <w:rFonts w:ascii="仿宋_GB2312" w:hAnsi="仿宋_GB2312" w:cs="仿宋_GB2312" w:eastAsia="仿宋_GB2312"/>
                <w:sz w:val="20"/>
              </w:rPr>
              <w:t>并根据个人意愿自主选择学习内容进行学习</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）支持知识点练习：支持客观题（单选题、多选题、判断题）的自动</w:t>
            </w:r>
            <w:r>
              <w:rPr>
                <w:rFonts w:ascii="仿宋_GB2312" w:hAnsi="仿宋_GB2312" w:cs="仿宋_GB2312" w:eastAsia="仿宋_GB2312"/>
                <w:sz w:val="20"/>
              </w:rPr>
              <w:t>判断</w:t>
            </w:r>
            <w:r>
              <w:rPr>
                <w:rFonts w:ascii="仿宋_GB2312" w:hAnsi="仿宋_GB2312" w:cs="仿宋_GB2312" w:eastAsia="仿宋_GB2312"/>
                <w:sz w:val="20"/>
              </w:rPr>
              <w:t>题和主观题（问答题、名词解释题等）的查看学习。</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）支持问题图谱学习：支持以问题为导向的学习，通过</w:t>
            </w:r>
            <w:r>
              <w:rPr>
                <w:rFonts w:ascii="仿宋_GB2312" w:hAnsi="仿宋_GB2312" w:cs="仿宋_GB2312" w:eastAsia="仿宋_GB2312"/>
                <w:sz w:val="20"/>
              </w:rPr>
              <w:t>“全局层问题——概念层问题——方法层问题”三层问题模型结构，查看解决课程经典问题所需要掌握的知识点。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）支持能力图谱学习：可查看支撑课程能力目标所需要掌握的知识点或需要解决的问题，帮助学生有目的</w:t>
            </w:r>
            <w:r>
              <w:rPr>
                <w:rFonts w:ascii="仿宋_GB2312" w:hAnsi="仿宋_GB2312" w:cs="仿宋_GB2312" w:eastAsia="仿宋_GB2312"/>
                <w:sz w:val="20"/>
              </w:rPr>
              <w:t>地</w:t>
            </w:r>
            <w:r>
              <w:rPr>
                <w:rFonts w:ascii="仿宋_GB2312" w:hAnsi="仿宋_GB2312" w:cs="仿宋_GB2312" w:eastAsia="仿宋_GB2312"/>
                <w:sz w:val="20"/>
              </w:rPr>
              <w:t>学习知识点以提高自己的专业素养和能力。</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）支持个人学习数据查看：可查看当前课程的学习进度以及已学内容的平均掌握度，学生可持续关注自己的学习进度和学习效果。</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支持用户一键登录小程序进行学习</w:t>
            </w:r>
            <w:r>
              <w:rPr>
                <w:rFonts w:ascii="仿宋_GB2312" w:hAnsi="仿宋_GB2312" w:cs="仿宋_GB2312" w:eastAsia="仿宋_GB2312"/>
                <w:sz w:val="20"/>
              </w:rPr>
              <w:t>：</w:t>
            </w:r>
            <w:r>
              <w:rPr>
                <w:rFonts w:ascii="仿宋_GB2312" w:hAnsi="仿宋_GB2312" w:cs="仿宋_GB2312" w:eastAsia="仿宋_GB2312"/>
                <w:sz w:val="20"/>
              </w:rPr>
              <w:t>已经入班的学生</w:t>
            </w:r>
            <w:r>
              <w:rPr>
                <w:rFonts w:ascii="仿宋_GB2312" w:hAnsi="仿宋_GB2312" w:cs="仿宋_GB2312" w:eastAsia="仿宋_GB2312"/>
                <w:sz w:val="20"/>
              </w:rPr>
              <w:t>，</w:t>
            </w:r>
            <w:r>
              <w:rPr>
                <w:rFonts w:ascii="仿宋_GB2312" w:hAnsi="仿宋_GB2312" w:cs="仿宋_GB2312" w:eastAsia="仿宋_GB2312"/>
                <w:sz w:val="20"/>
              </w:rPr>
              <w:t>可一键进入小程序</w:t>
            </w:r>
            <w:r>
              <w:rPr>
                <w:rFonts w:ascii="仿宋_GB2312" w:hAnsi="仿宋_GB2312" w:cs="仿宋_GB2312" w:eastAsia="仿宋_GB2312"/>
                <w:sz w:val="20"/>
              </w:rPr>
              <w:t>，</w:t>
            </w:r>
            <w:r>
              <w:rPr>
                <w:rFonts w:ascii="仿宋_GB2312" w:hAnsi="仿宋_GB2312" w:cs="仿宋_GB2312" w:eastAsia="仿宋_GB2312"/>
                <w:sz w:val="20"/>
              </w:rPr>
              <w:t>对于课程内容进行学习</w:t>
            </w:r>
            <w:r>
              <w:rPr>
                <w:rFonts w:ascii="仿宋_GB2312" w:hAnsi="仿宋_GB2312" w:cs="仿宋_GB2312" w:eastAsia="仿宋_GB2312"/>
                <w:sz w:val="20"/>
              </w:rPr>
              <w:t>。</w:t>
            </w:r>
            <w:r>
              <w:rPr>
                <w:rFonts w:ascii="仿宋_GB2312" w:hAnsi="仿宋_GB2312" w:cs="仿宋_GB2312" w:eastAsia="仿宋_GB2312"/>
                <w:sz w:val="20"/>
              </w:rPr>
              <w:t>小程序与网页版</w:t>
            </w:r>
            <w:r>
              <w:rPr>
                <w:rFonts w:ascii="仿宋_GB2312" w:hAnsi="仿宋_GB2312" w:cs="仿宋_GB2312" w:eastAsia="仿宋_GB2312"/>
                <w:sz w:val="20"/>
              </w:rPr>
              <w:t>互通</w:t>
            </w:r>
            <w:r>
              <w:rPr>
                <w:rFonts w:ascii="仿宋_GB2312" w:hAnsi="仿宋_GB2312" w:cs="仿宋_GB2312" w:eastAsia="仿宋_GB2312"/>
                <w:sz w:val="20"/>
              </w:rPr>
              <w:t>学习数据与记录</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支持系统布置教学任务</w:t>
            </w:r>
            <w:r>
              <w:rPr>
                <w:rFonts w:ascii="仿宋_GB2312" w:hAnsi="仿宋_GB2312" w:cs="仿宋_GB2312" w:eastAsia="仿宋_GB2312"/>
                <w:sz w:val="20"/>
              </w:rPr>
              <w:t>，</w:t>
            </w:r>
            <w:r>
              <w:rPr>
                <w:rFonts w:ascii="仿宋_GB2312" w:hAnsi="仿宋_GB2312" w:cs="仿宋_GB2312" w:eastAsia="仿宋_GB2312"/>
                <w:sz w:val="20"/>
              </w:rPr>
              <w:t>通过任务包含知识点学习内容</w:t>
            </w:r>
            <w:r>
              <w:rPr>
                <w:rFonts w:ascii="仿宋_GB2312" w:hAnsi="仿宋_GB2312" w:cs="仿宋_GB2312" w:eastAsia="仿宋_GB2312"/>
                <w:sz w:val="20"/>
              </w:rPr>
              <w:t>，</w:t>
            </w:r>
            <w:r>
              <w:rPr>
                <w:rFonts w:ascii="仿宋_GB2312" w:hAnsi="仿宋_GB2312" w:cs="仿宋_GB2312" w:eastAsia="仿宋_GB2312"/>
                <w:sz w:val="20"/>
              </w:rPr>
              <w:t>支持学生通过收集完成任务学习并收集学生学习数据进行分析</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支持与在线精品课程融合应用</w:t>
            </w:r>
            <w:r>
              <w:rPr>
                <w:rFonts w:ascii="仿宋_GB2312" w:hAnsi="仿宋_GB2312" w:cs="仿宋_GB2312" w:eastAsia="仿宋_GB2312"/>
                <w:sz w:val="20"/>
              </w:rPr>
              <w:t>：</w:t>
            </w:r>
            <w:r>
              <w:rPr>
                <w:rFonts w:ascii="仿宋_GB2312" w:hAnsi="仿宋_GB2312" w:cs="仿宋_GB2312" w:eastAsia="仿宋_GB2312"/>
                <w:sz w:val="20"/>
              </w:rPr>
              <w:t>支持与在线精品课程平台打通</w:t>
            </w:r>
            <w:r>
              <w:rPr>
                <w:rFonts w:ascii="仿宋_GB2312" w:hAnsi="仿宋_GB2312" w:cs="仿宋_GB2312" w:eastAsia="仿宋_GB2312"/>
                <w:sz w:val="20"/>
              </w:rPr>
              <w:t>，</w:t>
            </w:r>
            <w:r>
              <w:rPr>
                <w:rFonts w:ascii="仿宋_GB2312" w:hAnsi="仿宋_GB2312" w:cs="仿宋_GB2312" w:eastAsia="仿宋_GB2312"/>
                <w:sz w:val="20"/>
              </w:rPr>
              <w:t>与在线课程交叉融合</w:t>
            </w:r>
            <w:r>
              <w:rPr>
                <w:rFonts w:ascii="仿宋_GB2312" w:hAnsi="仿宋_GB2312" w:cs="仿宋_GB2312" w:eastAsia="仿宋_GB2312"/>
                <w:sz w:val="20"/>
              </w:rPr>
              <w:t>，</w:t>
            </w:r>
            <w:r>
              <w:rPr>
                <w:rFonts w:ascii="仿宋_GB2312" w:hAnsi="仿宋_GB2312" w:cs="仿宋_GB2312" w:eastAsia="仿宋_GB2312"/>
                <w:sz w:val="20"/>
              </w:rPr>
              <w:t>助力学校</w:t>
            </w:r>
            <w:r>
              <w:rPr>
                <w:rFonts w:ascii="仿宋_GB2312" w:hAnsi="仿宋_GB2312" w:cs="仿宋_GB2312" w:eastAsia="仿宋_GB2312"/>
                <w:sz w:val="20"/>
              </w:rPr>
              <w:t>国家级在线精品</w:t>
            </w:r>
            <w:r>
              <w:rPr>
                <w:rFonts w:ascii="仿宋_GB2312" w:hAnsi="仿宋_GB2312" w:cs="仿宋_GB2312" w:eastAsia="仿宋_GB2312"/>
                <w:sz w:val="20"/>
              </w:rPr>
              <w:t>课程评审</w:t>
            </w:r>
            <w:r>
              <w:rPr>
                <w:rFonts w:ascii="仿宋_GB2312" w:hAnsi="仿宋_GB2312" w:cs="仿宋_GB2312" w:eastAsia="仿宋_GB2312"/>
                <w:sz w:val="20"/>
              </w:rPr>
              <w:t>，</w:t>
            </w:r>
            <w:r>
              <w:rPr>
                <w:rFonts w:ascii="仿宋_GB2312" w:hAnsi="仿宋_GB2312" w:cs="仿宋_GB2312" w:eastAsia="仿宋_GB2312"/>
                <w:sz w:val="20"/>
              </w:rPr>
              <w:t>提供课程评审界面截图</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3.PPT插件</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插入建课数据</w:t>
            </w:r>
          </w:p>
          <w:p>
            <w:pPr>
              <w:pStyle w:val="null3"/>
              <w:ind w:firstLine="400"/>
              <w:jc w:val="left"/>
            </w:pPr>
            <w:r>
              <w:rPr>
                <w:rFonts w:ascii="仿宋_GB2312" w:hAnsi="仿宋_GB2312" w:cs="仿宋_GB2312" w:eastAsia="仿宋_GB2312"/>
                <w:sz w:val="20"/>
              </w:rPr>
              <w:t>支持应用</w:t>
            </w:r>
            <w:r>
              <w:rPr>
                <w:rFonts w:ascii="仿宋_GB2312" w:hAnsi="仿宋_GB2312" w:cs="仿宋_GB2312" w:eastAsia="仿宋_GB2312"/>
                <w:sz w:val="20"/>
              </w:rPr>
              <w:t>PPT插件将知识图谱相关资源加入到PPT建设中</w:t>
            </w:r>
            <w:r>
              <w:rPr>
                <w:rFonts w:ascii="仿宋_GB2312" w:hAnsi="仿宋_GB2312" w:cs="仿宋_GB2312" w:eastAsia="仿宋_GB2312"/>
                <w:sz w:val="20"/>
              </w:rPr>
              <w:t>，</w:t>
            </w:r>
            <w:r>
              <w:rPr>
                <w:rFonts w:ascii="仿宋_GB2312" w:hAnsi="仿宋_GB2312" w:cs="仿宋_GB2312" w:eastAsia="仿宋_GB2312"/>
                <w:sz w:val="20"/>
              </w:rPr>
              <w:t>PPT插件需支持WPS与OFFICE</w:t>
            </w:r>
            <w:r>
              <w:rPr>
                <w:rFonts w:ascii="仿宋_GB2312" w:hAnsi="仿宋_GB2312" w:cs="仿宋_GB2312" w:eastAsia="仿宋_GB2312"/>
                <w:sz w:val="20"/>
              </w:rPr>
              <w:t>，</w:t>
            </w:r>
            <w:r>
              <w:rPr>
                <w:rFonts w:ascii="仿宋_GB2312" w:hAnsi="仿宋_GB2312" w:cs="仿宋_GB2312" w:eastAsia="仿宋_GB2312"/>
                <w:sz w:val="20"/>
              </w:rPr>
              <w:t>同时系统支持</w:t>
            </w:r>
            <w:r>
              <w:rPr>
                <w:rFonts w:ascii="仿宋_GB2312" w:hAnsi="仿宋_GB2312" w:cs="仿宋_GB2312" w:eastAsia="仿宋_GB2312"/>
                <w:sz w:val="20"/>
              </w:rPr>
              <w:t>windows与macos系统</w:t>
            </w:r>
            <w:r>
              <w:rPr>
                <w:rFonts w:ascii="仿宋_GB2312" w:hAnsi="仿宋_GB2312" w:cs="仿宋_GB2312" w:eastAsia="仿宋_GB2312"/>
                <w:sz w:val="20"/>
              </w:rPr>
              <w:t>，</w:t>
            </w:r>
            <w:r>
              <w:rPr>
                <w:rFonts w:ascii="仿宋_GB2312" w:hAnsi="仿宋_GB2312" w:cs="仿宋_GB2312" w:eastAsia="仿宋_GB2312"/>
                <w:sz w:val="20"/>
              </w:rPr>
              <w:t>引用的内容包含知识点</w:t>
            </w:r>
            <w:r>
              <w:rPr>
                <w:rFonts w:ascii="仿宋_GB2312" w:hAnsi="仿宋_GB2312" w:cs="仿宋_GB2312" w:eastAsia="仿宋_GB2312"/>
                <w:sz w:val="20"/>
              </w:rPr>
              <w:t>、</w:t>
            </w:r>
            <w:r>
              <w:rPr>
                <w:rFonts w:ascii="仿宋_GB2312" w:hAnsi="仿宋_GB2312" w:cs="仿宋_GB2312" w:eastAsia="仿宋_GB2312"/>
                <w:sz w:val="20"/>
              </w:rPr>
              <w:t>问题体系</w:t>
            </w:r>
            <w:r>
              <w:rPr>
                <w:rFonts w:ascii="仿宋_GB2312" w:hAnsi="仿宋_GB2312" w:cs="仿宋_GB2312" w:eastAsia="仿宋_GB2312"/>
                <w:sz w:val="20"/>
              </w:rPr>
              <w:t>、</w:t>
            </w:r>
            <w:r>
              <w:rPr>
                <w:rFonts w:ascii="仿宋_GB2312" w:hAnsi="仿宋_GB2312" w:cs="仿宋_GB2312" w:eastAsia="仿宋_GB2312"/>
                <w:sz w:val="20"/>
              </w:rPr>
              <w:t>教学资源</w:t>
            </w:r>
            <w:r>
              <w:rPr>
                <w:rFonts w:ascii="仿宋_GB2312" w:hAnsi="仿宋_GB2312" w:cs="仿宋_GB2312" w:eastAsia="仿宋_GB2312"/>
                <w:sz w:val="20"/>
              </w:rPr>
              <w:t>、</w:t>
            </w:r>
            <w:r>
              <w:rPr>
                <w:rFonts w:ascii="仿宋_GB2312" w:hAnsi="仿宋_GB2312" w:cs="仿宋_GB2312" w:eastAsia="仿宋_GB2312"/>
                <w:sz w:val="20"/>
              </w:rPr>
              <w:t>试题资源</w:t>
            </w:r>
            <w:r>
              <w:rPr>
                <w:rFonts w:ascii="仿宋_GB2312" w:hAnsi="仿宋_GB2312" w:cs="仿宋_GB2312" w:eastAsia="仿宋_GB2312"/>
                <w:sz w:val="20"/>
              </w:rPr>
              <w:t>。支持用户可，根据自身需要选择手机验证码登录或者微信登录等多种方式完成账号登录流程。支持登录完成后，系统会根据当前账号的课程图谱建设信息，选择上方导航栏中</w:t>
            </w:r>
            <w:r>
              <w:rPr>
                <w:rFonts w:ascii="仿宋_GB2312" w:hAnsi="仿宋_GB2312" w:cs="仿宋_GB2312" w:eastAsia="仿宋_GB2312"/>
                <w:sz w:val="20"/>
              </w:rPr>
              <w:t>“开始授课”，选择相应的授课课程。支持点击知识点按钮，在PPT会有图谱内梳理的知识点内容，老师可以搜索，点击知识点可查看知识点详情，找到想要的内容后点击引用，即可插入PPT中进行教学。支持知识点插入成功后，教师在PPT播放页面中点击知识点按钮或者按住ctrl并单击知识点，即可打开相关教学内容进行教学。支持点击“问题图谱”，即可直接查看当前图谱梳理的全部”全面“-”概念“-”方法“层问题，选择想要的内容点击”引入“即可插入PPT中。支持教师在PPT播放页面中点击问题卡片按钮或者按住ctrl并单击问题卡片，即可打开相关教学内容进行教学。支持系统会根据课程内容，AI推送对应资源，教师可直接点击查看，合适的话直接点击“引入”即可插入PPT。支持添加题目资源，可以打开当前图谱梳理的题库内容，选择合适的内容后点击“引入”，即可插入PPT中。</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2）发布随堂测验</w:t>
            </w:r>
          </w:p>
          <w:p>
            <w:pPr>
              <w:pStyle w:val="null3"/>
              <w:ind w:firstLine="400"/>
              <w:jc w:val="left"/>
            </w:pPr>
            <w:r>
              <w:rPr>
                <w:rFonts w:ascii="仿宋_GB2312" w:hAnsi="仿宋_GB2312" w:cs="仿宋_GB2312" w:eastAsia="仿宋_GB2312"/>
                <w:sz w:val="20"/>
              </w:rPr>
              <w:t>支持进入线下课堂后，教师可通过</w:t>
            </w:r>
            <w:r>
              <w:rPr>
                <w:rFonts w:ascii="仿宋_GB2312" w:hAnsi="仿宋_GB2312" w:cs="仿宋_GB2312" w:eastAsia="仿宋_GB2312"/>
                <w:sz w:val="20"/>
              </w:rPr>
              <w:t>PPT软件（如OFFICE、WPS等）打开已经与知识图谱关联的教学课件进行课中混合式教学。教学活动包含：签到、点名、课程录音、知识图谱内容学习</w:t>
            </w:r>
            <w:r>
              <w:rPr>
                <w:rFonts w:ascii="仿宋_GB2312" w:hAnsi="仿宋_GB2312" w:cs="仿宋_GB2312" w:eastAsia="仿宋_GB2312"/>
                <w:sz w:val="20"/>
              </w:rPr>
              <w:t>。</w:t>
            </w:r>
            <w:r>
              <w:rPr>
                <w:rFonts w:ascii="仿宋_GB2312" w:hAnsi="仿宋_GB2312" w:cs="仿宋_GB2312" w:eastAsia="仿宋_GB2312"/>
                <w:sz w:val="20"/>
              </w:rPr>
              <w:t>支持</w:t>
            </w:r>
            <w:r>
              <w:rPr>
                <w:rFonts w:ascii="仿宋_GB2312" w:hAnsi="仿宋_GB2312" w:cs="仿宋_GB2312" w:eastAsia="仿宋_GB2312"/>
                <w:sz w:val="20"/>
              </w:rPr>
              <w:t>PPT教学中，教师可点击插件中的随机点名，系统根据当前班级中已经签到的学生数据，进行随机抽取，随机选择一名班级内的学生，进行后续教学活动。3.3.2 签到点名。</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3）课堂报告</w:t>
            </w:r>
          </w:p>
          <w:p>
            <w:pPr>
              <w:pStyle w:val="null3"/>
              <w:ind w:firstLine="400"/>
              <w:jc w:val="left"/>
            </w:pPr>
            <w:r>
              <w:rPr>
                <w:rFonts w:ascii="仿宋_GB2312" w:hAnsi="仿宋_GB2312" w:cs="仿宋_GB2312" w:eastAsia="仿宋_GB2312"/>
                <w:sz w:val="20"/>
              </w:rPr>
              <w:t>支持教师查看发布的随堂测验的答题情况，包括题目的参与人数、正确率、每个选项选择的人数、以及每位参与同学的答题记录。支持教师查看发布的签到的课堂记录，包括已签到学生的姓名、学号、签到时间，以及未签到学生的姓名和学号。支持教师查看发布的点名的课堂记录，包括已点名学生的姓名、学号、点名时间。</w:t>
            </w:r>
          </w:p>
          <w:p>
            <w:pPr>
              <w:pStyle w:val="null3"/>
              <w:ind w:firstLine="402"/>
              <w:jc w:val="left"/>
            </w:pPr>
            <w:r>
              <w:rPr>
                <w:rFonts w:ascii="仿宋_GB2312" w:hAnsi="仿宋_GB2312" w:cs="仿宋_GB2312" w:eastAsia="仿宋_GB2312"/>
                <w:sz w:val="20"/>
                <w:b/>
              </w:rPr>
              <w:t>（</w:t>
            </w:r>
            <w:r>
              <w:rPr>
                <w:rFonts w:ascii="仿宋_GB2312" w:hAnsi="仿宋_GB2312" w:cs="仿宋_GB2312" w:eastAsia="仿宋_GB2312"/>
                <w:sz w:val="20"/>
                <w:b/>
              </w:rPr>
              <w:t>五</w:t>
            </w:r>
            <w:r>
              <w:rPr>
                <w:rFonts w:ascii="仿宋_GB2312" w:hAnsi="仿宋_GB2312" w:cs="仿宋_GB2312" w:eastAsia="仿宋_GB2312"/>
                <w:sz w:val="20"/>
                <w:b/>
              </w:rPr>
              <w:t>）</w:t>
            </w:r>
            <w:r>
              <w:rPr>
                <w:rFonts w:ascii="仿宋_GB2312" w:hAnsi="仿宋_GB2312" w:cs="仿宋_GB2312" w:eastAsia="仿宋_GB2312"/>
                <w:sz w:val="20"/>
                <w:b/>
              </w:rPr>
              <w:t>AI教学工具</w:t>
            </w:r>
            <w:r>
              <w:rPr>
                <w:rFonts w:ascii="仿宋_GB2312" w:hAnsi="仿宋_GB2312" w:cs="仿宋_GB2312" w:eastAsia="仿宋_GB2312"/>
                <w:sz w:val="20"/>
                <w:b/>
              </w:rPr>
              <w:t>要求</w:t>
            </w:r>
          </w:p>
          <w:p>
            <w:pPr>
              <w:pStyle w:val="null3"/>
              <w:ind w:firstLine="400"/>
              <w:jc w:val="left"/>
            </w:pPr>
            <w:r>
              <w:rPr>
                <w:rFonts w:ascii="仿宋_GB2312" w:hAnsi="仿宋_GB2312" w:cs="仿宋_GB2312" w:eastAsia="仿宋_GB2312"/>
                <w:sz w:val="20"/>
              </w:rPr>
              <w:t>AI知识库</w:t>
            </w:r>
            <w:r>
              <w:rPr>
                <w:rFonts w:ascii="仿宋_GB2312" w:hAnsi="仿宋_GB2312" w:cs="仿宋_GB2312" w:eastAsia="仿宋_GB2312"/>
                <w:sz w:val="20"/>
              </w:rPr>
              <w:t>：</w:t>
            </w:r>
            <w:r>
              <w:rPr>
                <w:rFonts w:ascii="仿宋_GB2312" w:hAnsi="仿宋_GB2312" w:cs="仿宋_GB2312" w:eastAsia="仿宋_GB2312"/>
                <w:sz w:val="20"/>
              </w:rPr>
              <w:t>支持多类型资源解析，通过知识图谱梳理关联形成系统架构，适配多样化展示需求。解析资源可供课程专属</w:t>
            </w:r>
            <w:r>
              <w:rPr>
                <w:rFonts w:ascii="仿宋_GB2312" w:hAnsi="仿宋_GB2312" w:cs="仿宋_GB2312" w:eastAsia="仿宋_GB2312"/>
                <w:sz w:val="20"/>
              </w:rPr>
              <w:t>AI 助教及智能体调用，生成含参考来源、教材定位、关联知识点等的精准回复。</w:t>
            </w:r>
          </w:p>
          <w:p>
            <w:pPr>
              <w:pStyle w:val="null3"/>
              <w:ind w:firstLine="560"/>
              <w:jc w:val="left"/>
            </w:pPr>
            <w:r>
              <w:rPr>
                <w:rFonts w:ascii="仿宋_GB2312" w:hAnsi="仿宋_GB2312" w:cs="仿宋_GB2312" w:eastAsia="仿宋_GB2312"/>
                <w:sz w:val="20"/>
              </w:rPr>
              <w:t>AI备课辅助：支持个性化推荐教学资源，提供AI文档解析、知识萃取、笔记梳理及协助写作等辅助工具，AI协助教师生成教学设计、教学大纲、教案、创作PPT、课程思政案例生成功能，能够AI生成场景问题、文档问答、公式识别、研习室等，助力教师高效备课。</w:t>
            </w:r>
          </w:p>
          <w:p>
            <w:pPr>
              <w:pStyle w:val="null3"/>
              <w:ind w:firstLine="560"/>
              <w:jc w:val="left"/>
            </w:pPr>
            <w:r>
              <w:rPr>
                <w:rFonts w:ascii="仿宋_GB2312" w:hAnsi="仿宋_GB2312" w:cs="仿宋_GB2312" w:eastAsia="仿宋_GB2312"/>
                <w:sz w:val="20"/>
              </w:rPr>
              <w:t>AI资源与科研：支持整合分析海量科研数据，统计关键词相关论文趋势及来源等详情；能开展课程发展相关内容进行科研趋势分析，推荐优质电子资源，为教学研究方向选择与长期规划提供支撑。</w:t>
            </w:r>
          </w:p>
          <w:p>
            <w:pPr>
              <w:pStyle w:val="null3"/>
              <w:ind w:firstLine="560"/>
              <w:jc w:val="left"/>
            </w:pPr>
            <w:r>
              <w:rPr>
                <w:rFonts w:ascii="仿宋_GB2312" w:hAnsi="仿宋_GB2312" w:cs="仿宋_GB2312" w:eastAsia="仿宋_GB2312"/>
                <w:sz w:val="20"/>
              </w:rPr>
              <w:t>AI视频切片和总结：可基于视频涵盖的知识点进行智能切片处理，实现重点内容的快速定位与精准检索；支持快速提取视频核心内容并生成总结，助力学生高效掌握关键信息。</w:t>
            </w:r>
          </w:p>
          <w:p>
            <w:pPr>
              <w:pStyle w:val="null3"/>
              <w:ind w:firstLine="560"/>
              <w:jc w:val="left"/>
            </w:pPr>
            <w:r>
              <w:rPr>
                <w:rFonts w:ascii="仿宋_GB2312" w:hAnsi="仿宋_GB2312" w:cs="仿宋_GB2312" w:eastAsia="仿宋_GB2312"/>
                <w:sz w:val="20"/>
              </w:rPr>
              <w:t>AI出题与评估：可以自定义题型数量、总分等参数、AI按照知识点、参考内容出题、出卷；具备AI自动批阅功能，客观题自动判分，主观题可设置采分点并生成评语与建议分数。</w:t>
            </w:r>
          </w:p>
          <w:p>
            <w:pPr>
              <w:pStyle w:val="null3"/>
              <w:ind w:firstLine="560"/>
              <w:jc w:val="left"/>
            </w:pPr>
            <w:r>
              <w:rPr>
                <w:rFonts w:ascii="仿宋_GB2312" w:hAnsi="仿宋_GB2312" w:cs="仿宋_GB2312" w:eastAsia="仿宋_GB2312"/>
                <w:sz w:val="20"/>
              </w:rPr>
              <w:t>AI智能学伴：可实时解答学生在学习课件、视频、习题等学习场景中的疑问，提供知识点详情、学习路径与个性化推题；支持通过知识图谱、课堂报告辅助学习，关联课外资源，结合AI互动与自动交互推送，助力高效掌握知识、监测学习进度。</w:t>
            </w:r>
          </w:p>
          <w:p>
            <w:pPr>
              <w:pStyle w:val="null3"/>
              <w:ind w:firstLine="560"/>
              <w:jc w:val="left"/>
            </w:pPr>
            <w:r>
              <w:rPr>
                <w:rFonts w:ascii="仿宋_GB2312" w:hAnsi="仿宋_GB2312" w:cs="仿宋_GB2312" w:eastAsia="仿宋_GB2312"/>
                <w:sz w:val="20"/>
              </w:rPr>
              <w:t>AI资源推荐：AI支持根据学生个性化需求智能推荐、检索课程建设所在平台全学科资源，包括视频资源、电子书资源、知识点资源等，帮助学生获取高质量学习资料，提升学习效率。</w:t>
            </w:r>
          </w:p>
          <w:p>
            <w:pPr>
              <w:pStyle w:val="null3"/>
              <w:ind w:firstLine="402"/>
              <w:jc w:val="left"/>
            </w:pPr>
            <w:r>
              <w:rPr>
                <w:rFonts w:ascii="仿宋_GB2312" w:hAnsi="仿宋_GB2312" w:cs="仿宋_GB2312" w:eastAsia="仿宋_GB2312"/>
                <w:sz w:val="20"/>
                <w:b/>
              </w:rPr>
              <w:t>（</w:t>
            </w:r>
            <w:r>
              <w:rPr>
                <w:rFonts w:ascii="仿宋_GB2312" w:hAnsi="仿宋_GB2312" w:cs="仿宋_GB2312" w:eastAsia="仿宋_GB2312"/>
                <w:sz w:val="20"/>
                <w:b/>
              </w:rPr>
              <w:t>六</w:t>
            </w:r>
            <w:r>
              <w:rPr>
                <w:rFonts w:ascii="仿宋_GB2312" w:hAnsi="仿宋_GB2312" w:cs="仿宋_GB2312" w:eastAsia="仿宋_GB2312"/>
                <w:sz w:val="20"/>
                <w:b/>
              </w:rPr>
              <w:t>）混合式课程运行服务技术要求</w:t>
            </w:r>
          </w:p>
          <w:p>
            <w:pPr>
              <w:pStyle w:val="null3"/>
              <w:ind w:firstLine="400"/>
              <w:jc w:val="both"/>
            </w:pPr>
            <w:r>
              <w:rPr>
                <w:rFonts w:ascii="仿宋_GB2312" w:hAnsi="仿宋_GB2312" w:cs="仿宋_GB2312" w:eastAsia="仿宋_GB2312"/>
                <w:sz w:val="20"/>
              </w:rPr>
              <w:t>为课程建设进行落地推广服务，建设属于自己的专属推广页面，页面推广内容包括课程简介、教学大纲、教学团队、教学计划、开放资源、评论、招生、考核标准等信息，并积极推广课程在陕西省区和全国推广运行服务。</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课程运行服务要求</w:t>
            </w:r>
            <w:r>
              <w:rPr>
                <w:rFonts w:ascii="仿宋_GB2312" w:hAnsi="仿宋_GB2312" w:cs="仿宋_GB2312" w:eastAsia="仿宋_GB2312"/>
                <w:sz w:val="20"/>
              </w:rPr>
              <w:t>。</w:t>
            </w:r>
            <w:r>
              <w:rPr>
                <w:rFonts w:ascii="仿宋_GB2312" w:hAnsi="仿宋_GB2312" w:cs="仿宋_GB2312" w:eastAsia="仿宋_GB2312"/>
                <w:sz w:val="20"/>
              </w:rPr>
              <w:t>平台具有不少于</w:t>
            </w:r>
            <w:r>
              <w:rPr>
                <w:rFonts w:ascii="仿宋_GB2312" w:hAnsi="仿宋_GB2312" w:cs="仿宋_GB2312" w:eastAsia="仿宋_GB2312"/>
                <w:sz w:val="20"/>
              </w:rPr>
              <w:t>20门职业教育在线课程，提供平台课程免费使用，并提供证明材料。</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课程运行管理要求</w:t>
            </w:r>
            <w:r>
              <w:rPr>
                <w:rFonts w:ascii="仿宋_GB2312" w:hAnsi="仿宋_GB2312" w:cs="仿宋_GB2312" w:eastAsia="仿宋_GB2312"/>
                <w:sz w:val="20"/>
              </w:rPr>
              <w:t>。</w:t>
            </w:r>
            <w:r>
              <w:rPr>
                <w:rFonts w:ascii="仿宋_GB2312" w:hAnsi="仿宋_GB2312" w:cs="仿宋_GB2312" w:eastAsia="仿宋_GB2312"/>
                <w:sz w:val="20"/>
              </w:rPr>
              <w:t>执行基础信息管理、跨校课程引进管理、课程自主维护管理、课程推荐管理、在线大学门户建设、跨校课程排课、跨校选课、教学班管理、学生管理、成绩管理、跨校学分互认管理，质量管理等工作。</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教学组织服务要求</w:t>
            </w:r>
            <w:r>
              <w:rPr>
                <w:rFonts w:ascii="仿宋_GB2312" w:hAnsi="仿宋_GB2312" w:cs="仿宋_GB2312" w:eastAsia="仿宋_GB2312"/>
                <w:sz w:val="20"/>
              </w:rPr>
              <w:t>。</w:t>
            </w:r>
            <w:r>
              <w:rPr>
                <w:rFonts w:ascii="仿宋_GB2312" w:hAnsi="仿宋_GB2312" w:cs="仿宋_GB2312" w:eastAsia="仿宋_GB2312"/>
                <w:sz w:val="20"/>
              </w:rPr>
              <w:t>提供教学运行的业务组织服务：建设跨校教学团队和组织师资教研培训活动、监督管理在线课程层级论坛互动并提供学习情况报告、监督协助共享课程考核并提交课程质量分析报告。</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互动教学功能要求</w:t>
            </w:r>
            <w:r>
              <w:rPr>
                <w:rFonts w:ascii="仿宋_GB2312" w:hAnsi="仿宋_GB2312" w:cs="仿宋_GB2312" w:eastAsia="仿宋_GB2312"/>
                <w:sz w:val="20"/>
              </w:rPr>
              <w:t>。</w:t>
            </w:r>
            <w:r>
              <w:rPr>
                <w:rFonts w:ascii="仿宋_GB2312" w:hAnsi="仿宋_GB2312" w:cs="仿宋_GB2312" w:eastAsia="仿宋_GB2312"/>
                <w:sz w:val="20"/>
              </w:rPr>
              <w:t>组织完成见面课和平台</w:t>
            </w:r>
            <w:r>
              <w:rPr>
                <w:rFonts w:ascii="仿宋_GB2312" w:hAnsi="仿宋_GB2312" w:cs="仿宋_GB2312" w:eastAsia="仿宋_GB2312"/>
                <w:sz w:val="20"/>
              </w:rPr>
              <w:t>PBL互动教学并支持组内讨论、组内互评、组间互评，教师评价多种评价模式以及任务成功展示，帮助学生能力培养。组织见面课在线直播及直播互动：支持见面课的多校区互动以及网上直播，支持学生在线观看直播、教师进行教学观摩，提供跨校直播互动截图及回放视频。</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考勤管理功能要求</w:t>
            </w:r>
            <w:r>
              <w:rPr>
                <w:rFonts w:ascii="仿宋_GB2312" w:hAnsi="仿宋_GB2312" w:cs="仿宋_GB2312" w:eastAsia="仿宋_GB2312"/>
                <w:sz w:val="20"/>
              </w:rPr>
              <w:t>。</w:t>
            </w:r>
            <w:r>
              <w:rPr>
                <w:rFonts w:ascii="仿宋_GB2312" w:hAnsi="仿宋_GB2312" w:cs="仿宋_GB2312" w:eastAsia="仿宋_GB2312"/>
                <w:sz w:val="20"/>
              </w:rPr>
              <w:t>组织考勤管理：组织学生签到，通过手机签到和考勤数据导入，针对每一次线下课堂进行考勤管理，此外课程负责人还可以按照班级角度、课节角度分析每次见面课的考勤情况，了解学生出席率。</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课程教学运行报告</w:t>
            </w:r>
            <w:r>
              <w:rPr>
                <w:rFonts w:ascii="仿宋_GB2312" w:hAnsi="仿宋_GB2312" w:cs="仿宋_GB2312" w:eastAsia="仿宋_GB2312"/>
                <w:sz w:val="20"/>
              </w:rPr>
              <w:t>。</w:t>
            </w:r>
            <w:r>
              <w:rPr>
                <w:rFonts w:ascii="仿宋_GB2312" w:hAnsi="仿宋_GB2312" w:cs="仿宋_GB2312" w:eastAsia="仿宋_GB2312"/>
                <w:sz w:val="20"/>
              </w:rPr>
              <w:t>提供一门</w:t>
            </w:r>
            <w:r>
              <w:rPr>
                <w:rFonts w:ascii="仿宋_GB2312" w:hAnsi="仿宋_GB2312" w:cs="仿宋_GB2312" w:eastAsia="仿宋_GB2312"/>
                <w:sz w:val="20"/>
              </w:rPr>
              <w:t>mooc课程教学运行报告，其中包括mooc课程开课情况数据：课程建设、课程运行、在线学习、见面课出勤、课程成绩；学生调查数据：课程整体满意度、教学运行测评、网络情况；学生反馈及运行过程展示：学生评价及期望、课程运行过程展示、新闻报道；单节视频观看时长数据分析等。</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见面课保障服务运行要求</w:t>
            </w:r>
            <w:r>
              <w:rPr>
                <w:rFonts w:ascii="仿宋_GB2312" w:hAnsi="仿宋_GB2312" w:cs="仿宋_GB2312" w:eastAsia="仿宋_GB2312"/>
                <w:sz w:val="20"/>
              </w:rPr>
              <w:t>。</w:t>
            </w:r>
            <w:r>
              <w:rPr>
                <w:rFonts w:ascii="仿宋_GB2312" w:hAnsi="仿宋_GB2312" w:cs="仿宋_GB2312" w:eastAsia="仿宋_GB2312"/>
                <w:sz w:val="20"/>
              </w:rPr>
              <w:t>支持</w:t>
            </w:r>
            <w:r>
              <w:rPr>
                <w:rFonts w:ascii="仿宋_GB2312" w:hAnsi="仿宋_GB2312" w:cs="仿宋_GB2312" w:eastAsia="仿宋_GB2312"/>
                <w:sz w:val="20"/>
              </w:rPr>
              <w:t>IOS、安卓两大系统，参与直播学习并纳入学生学习过程性考核，本地教室的学生可以与远程教室中的授课教师以及学生进行互动，并相互可视；本地教室的学生可以在等大还原收视区看到远程教室中授课教师与学生的互动场景；也可同时在远程直播－互动接收屏幕中与至少4间远程教室学生进行互动，并相互可视；提供陕西区域</w:t>
            </w:r>
            <w:r>
              <w:rPr>
                <w:rFonts w:ascii="仿宋_GB2312" w:hAnsi="仿宋_GB2312" w:cs="仿宋_GB2312" w:eastAsia="仿宋_GB2312"/>
                <w:sz w:val="20"/>
                <w:color w:val="FF0000"/>
              </w:rPr>
              <w:t>不少</w:t>
            </w:r>
            <w:r>
              <w:rPr>
                <w:rFonts w:ascii="仿宋_GB2312" w:hAnsi="仿宋_GB2312" w:cs="仿宋_GB2312" w:eastAsia="仿宋_GB2312"/>
                <w:sz w:val="20"/>
              </w:rPr>
              <w:t>与两所学校的直播互动专业教室照片和用于专业直播互动教室的专业设备清单和软件著作权证书。</w:t>
            </w:r>
          </w:p>
          <w:p>
            <w:pPr>
              <w:pStyle w:val="null3"/>
              <w:ind w:firstLine="402"/>
              <w:jc w:val="left"/>
            </w:pPr>
            <w:r>
              <w:rPr>
                <w:rFonts w:ascii="仿宋_GB2312" w:hAnsi="仿宋_GB2312" w:cs="仿宋_GB2312" w:eastAsia="仿宋_GB2312"/>
                <w:sz w:val="20"/>
                <w:b/>
              </w:rPr>
              <w:t>（</w:t>
            </w:r>
            <w:r>
              <w:rPr>
                <w:rFonts w:ascii="仿宋_GB2312" w:hAnsi="仿宋_GB2312" w:cs="仿宋_GB2312" w:eastAsia="仿宋_GB2312"/>
                <w:sz w:val="20"/>
                <w:b/>
              </w:rPr>
              <w:t>七</w:t>
            </w:r>
            <w:r>
              <w:rPr>
                <w:rFonts w:ascii="仿宋_GB2312" w:hAnsi="仿宋_GB2312" w:cs="仿宋_GB2312" w:eastAsia="仿宋_GB2312"/>
                <w:sz w:val="20"/>
                <w:b/>
              </w:rPr>
              <w:t>）平台功能要求</w:t>
            </w:r>
          </w:p>
          <w:p>
            <w:pPr>
              <w:pStyle w:val="null3"/>
              <w:ind w:firstLine="400"/>
              <w:jc w:val="both"/>
            </w:pPr>
            <w:r>
              <w:rPr>
                <w:rFonts w:ascii="仿宋_GB2312" w:hAnsi="仿宋_GB2312" w:cs="仿宋_GB2312" w:eastAsia="仿宋_GB2312"/>
                <w:sz w:val="20"/>
              </w:rPr>
              <w:t>提供课程上线运行的平台，</w:t>
            </w:r>
            <w:r>
              <w:rPr>
                <w:rFonts w:ascii="仿宋_GB2312" w:hAnsi="仿宋_GB2312" w:cs="仿宋_GB2312" w:eastAsia="仿宋_GB2312"/>
                <w:sz w:val="20"/>
              </w:rPr>
              <w:t>运行平台须具备在全国运行推广的服务能力</w:t>
            </w:r>
            <w:r>
              <w:rPr>
                <w:rFonts w:ascii="仿宋_GB2312" w:hAnsi="仿宋_GB2312" w:cs="仿宋_GB2312" w:eastAsia="仿宋_GB2312"/>
                <w:sz w:val="20"/>
              </w:rPr>
              <w:t>,</w:t>
            </w:r>
            <w:r>
              <w:rPr>
                <w:rFonts w:ascii="仿宋_GB2312" w:hAnsi="仿宋_GB2312" w:cs="仿宋_GB2312" w:eastAsia="仿宋_GB2312"/>
                <w:sz w:val="20"/>
              </w:rPr>
              <w:t>提供不少于</w:t>
            </w:r>
            <w:r>
              <w:rPr>
                <w:rFonts w:ascii="仿宋_GB2312" w:hAnsi="仿宋_GB2312" w:cs="仿宋_GB2312" w:eastAsia="仿宋_GB2312"/>
                <w:sz w:val="20"/>
              </w:rPr>
              <w:t>5年的</w:t>
            </w:r>
            <w:r>
              <w:rPr>
                <w:rFonts w:ascii="仿宋_GB2312" w:hAnsi="仿宋_GB2312" w:cs="仿宋_GB2312" w:eastAsia="仿宋_GB2312"/>
                <w:sz w:val="20"/>
              </w:rPr>
              <w:t>后期推广服务。</w:t>
            </w:r>
          </w:p>
          <w:p>
            <w:pPr>
              <w:pStyle w:val="null3"/>
              <w:ind w:firstLine="400"/>
              <w:jc w:val="both"/>
            </w:pPr>
            <w:r>
              <w:rPr>
                <w:rFonts w:ascii="仿宋_GB2312" w:hAnsi="仿宋_GB2312" w:cs="仿宋_GB2312" w:eastAsia="仿宋_GB2312"/>
                <w:sz w:val="20"/>
              </w:rPr>
              <w:t>课程建设完毕后需要提供校内在线平台进行课程混合式教学运行，具备一键切换学生端、老师端功能：包含课程视频、习题、视频弹题、章节测试、见面课考核、期末考试、笔记回放、课程论坛等过程化管理模块和运行大数据分析</w:t>
            </w:r>
            <w:r>
              <w:rPr>
                <w:rFonts w:ascii="仿宋_GB2312" w:hAnsi="仿宋_GB2312" w:cs="仿宋_GB2312" w:eastAsia="仿宋_GB2312"/>
                <w:sz w:val="20"/>
              </w:rPr>
              <w:t>,切实让课程运行起来</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老师端需提供：我的学堂、课程论坛、成绩管理、课程事务、学籍管理、我的题库、课程资料、招生管理、教学计划、教学运行、学情分析等功能模块；</w:t>
            </w:r>
          </w:p>
          <w:p>
            <w:pPr>
              <w:pStyle w:val="null3"/>
              <w:ind w:firstLine="400"/>
              <w:jc w:val="both"/>
            </w:pPr>
            <w:r>
              <w:rPr>
                <w:rFonts w:ascii="仿宋_GB2312" w:hAnsi="仿宋_GB2312" w:cs="仿宋_GB2312" w:eastAsia="仿宋_GB2312"/>
                <w:sz w:val="20"/>
              </w:rPr>
              <w:t>学生端需提供：我的学堂、作业考试、课程论坛、见面课、学习分析、课程资料、学习笔记、我的成绩等功能模块。</w:t>
            </w:r>
          </w:p>
          <w:p>
            <w:pPr>
              <w:pStyle w:val="null3"/>
              <w:ind w:firstLine="400"/>
              <w:jc w:val="both"/>
            </w:pPr>
            <w:r>
              <w:rPr>
                <w:rFonts w:ascii="仿宋_GB2312" w:hAnsi="仿宋_GB2312" w:cs="仿宋_GB2312" w:eastAsia="仿宋_GB2312"/>
                <w:sz w:val="20"/>
              </w:rPr>
              <w:t>课程平台需支持自主新建三种类型课程，具体包含：混合式课程、在线式课程、微课程。运行平台需支持个性化设置，需有自主制定课程概要设计、师资介绍、知识点、内容计划、见面课、考核方式课程推广，其中每步自主设置过程中课程平台需提供参考文档和案例，方便老师一键点击查看借鉴，减轻老师工作量提高效率。平台需具备支持统一发布公告，下发通知或督促学生完成学习进度。平台需支持分步骤创建混合式课程，操作简单易上手。平台需具备根据教师在维护章节计划的设置情况自动生成逻辑清晰的学期混合式教学运行计划。平台需支持自学辅导式的纯线上授课模式和混合式的线上线下模式招生，录取方式支持预报名、直接录取、验证码和入学考试以及报名表方式，满足各种招生需求。平台需具备多种类型的成绩类型、多种方式的创建方式以及客观题自动批阅与选择的随机顺序；实现教师批阅，学生互评多种模式，作业内容可囊括多种题型，作业还可退回重做。</w:t>
            </w:r>
          </w:p>
          <w:p>
            <w:pPr>
              <w:pStyle w:val="null3"/>
              <w:ind w:firstLine="400"/>
              <w:jc w:val="both"/>
            </w:pPr>
            <w:r>
              <w:rPr>
                <w:rFonts w:ascii="仿宋_GB2312" w:hAnsi="仿宋_GB2312" w:cs="仿宋_GB2312" w:eastAsia="仿宋_GB2312"/>
                <w:sz w:val="20"/>
              </w:rPr>
              <w:t>需支持建课进度提醒功能，显示进度完成情况，提示老师还余下多少课程项目未完成，防止遗漏，并提供证明材料。需支持见面课的多校区互动以及网上直播，不但学生可以参与课程，相关老师也可以观摩课程。需支持个性化门户设计，包括课程、师资、内容的展示，提升课程价值感。为提高课程建设和使用的效率，需要提供具备课程建设功能和学习功能的苹果和安卓</w:t>
            </w:r>
            <w:r>
              <w:rPr>
                <w:rFonts w:ascii="仿宋_GB2312" w:hAnsi="仿宋_GB2312" w:cs="仿宋_GB2312" w:eastAsia="仿宋_GB2312"/>
                <w:sz w:val="20"/>
              </w:rPr>
              <w:t>APP手机端的软件，让老师们的建课更便捷，学生的学习更高效，并提供证明材料。</w:t>
            </w:r>
          </w:p>
          <w:p>
            <w:pPr>
              <w:pStyle w:val="null3"/>
              <w:ind w:firstLine="400"/>
              <w:jc w:val="both"/>
            </w:pPr>
            <w:r>
              <w:rPr>
                <w:rFonts w:ascii="仿宋_GB2312" w:hAnsi="仿宋_GB2312" w:cs="仿宋_GB2312" w:eastAsia="仿宋_GB2312"/>
                <w:sz w:val="20"/>
              </w:rPr>
              <w:t>平台必须满足记录每一个学生在平台上的学习记录，作业考试、资料上传、课程问答、学习笔记以及课程学习进度，了解每一个学生的详细的学习情况。平台必须提供以至少以月度为单位的学情大数据分析报告。运行平台需具备校内翻转、全国共享的能力</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八</w:t>
            </w:r>
            <w:r>
              <w:rPr>
                <w:rFonts w:ascii="仿宋_GB2312" w:hAnsi="仿宋_GB2312" w:cs="仿宋_GB2312" w:eastAsia="仿宋_GB2312"/>
                <w:sz w:val="20"/>
                <w:b/>
              </w:rPr>
              <w:t>）拍摄制作团队能力要求</w:t>
            </w:r>
          </w:p>
          <w:p>
            <w:pPr>
              <w:pStyle w:val="null3"/>
              <w:ind w:firstLine="400"/>
              <w:jc w:val="both"/>
            </w:pPr>
            <w:r>
              <w:rPr>
                <w:rFonts w:ascii="仿宋_GB2312" w:hAnsi="仿宋_GB2312" w:cs="仿宋_GB2312" w:eastAsia="仿宋_GB2312"/>
                <w:sz w:val="20"/>
              </w:rPr>
              <w:t>拍摄制作团队经验丰富，含专业的编导、平面设计、摄像、灯光、化妆、剪辑、动画制作及审片人员，并且以满足教学要求为目标提供多种拍摄模式，提供人员名单信息。</w:t>
            </w:r>
          </w:p>
          <w:p>
            <w:pPr>
              <w:pStyle w:val="null3"/>
              <w:ind w:firstLine="400"/>
              <w:jc w:val="both"/>
            </w:pPr>
            <w:r>
              <w:rPr>
                <w:rFonts w:ascii="仿宋_GB2312" w:hAnsi="仿宋_GB2312" w:cs="仿宋_GB2312" w:eastAsia="仿宋_GB2312"/>
                <w:sz w:val="20"/>
              </w:rPr>
              <w:t>课程视频制作团队，</w:t>
            </w:r>
            <w:r>
              <w:rPr>
                <w:rFonts w:ascii="仿宋_GB2312" w:hAnsi="仿宋_GB2312" w:cs="仿宋_GB2312" w:eastAsia="仿宋_GB2312"/>
                <w:sz w:val="20"/>
                <w:color w:val="000000"/>
              </w:rPr>
              <w:t>至少包含课程经理、课程顾问（编导）、视频工程师、课程专员各一名，且已制作过</w:t>
            </w:r>
            <w:r>
              <w:rPr>
                <w:rFonts w:ascii="仿宋_GB2312" w:hAnsi="仿宋_GB2312" w:cs="仿宋_GB2312" w:eastAsia="仿宋_GB2312"/>
                <w:sz w:val="20"/>
                <w:color w:val="000000"/>
              </w:rPr>
              <w:t>MOOC课程的经验，及跨校联合课程建设经验，提供学历证明其中签约课程建设业绩证明合同不少于5份。</w:t>
            </w:r>
          </w:p>
          <w:p>
            <w:pPr>
              <w:pStyle w:val="null3"/>
              <w:ind w:firstLine="400"/>
              <w:jc w:val="both"/>
            </w:pPr>
            <w:r>
              <w:rPr>
                <w:rFonts w:ascii="仿宋_GB2312" w:hAnsi="仿宋_GB2312" w:cs="仿宋_GB2312" w:eastAsia="仿宋_GB2312"/>
                <w:sz w:val="20"/>
                <w:color w:val="000000"/>
              </w:rPr>
              <w:t>课程经理，负责学校、教师、制作团队之间的沟通与协调。</w:t>
            </w:r>
          </w:p>
          <w:p>
            <w:pPr>
              <w:pStyle w:val="null3"/>
              <w:ind w:firstLine="400"/>
              <w:jc w:val="both"/>
            </w:pPr>
            <w:r>
              <w:rPr>
                <w:rFonts w:ascii="仿宋_GB2312" w:hAnsi="仿宋_GB2312" w:cs="仿宋_GB2312" w:eastAsia="仿宋_GB2312"/>
                <w:sz w:val="20"/>
                <w:color w:val="000000"/>
              </w:rPr>
              <w:t>课程顾问（具有三年实际课程咨询、设计经验），至少</w:t>
            </w:r>
            <w:r>
              <w:rPr>
                <w:rFonts w:ascii="仿宋_GB2312" w:hAnsi="仿宋_GB2312" w:cs="仿宋_GB2312" w:eastAsia="仿宋_GB2312"/>
                <w:sz w:val="20"/>
                <w:color w:val="000000"/>
              </w:rPr>
              <w:t>1人，负责现场拍摄、制作监控与管理，课程内容设计、章节及知识点碎片化建议，为课程建设团队制作课程脚本提供专业咨询。</w:t>
            </w:r>
          </w:p>
          <w:p>
            <w:pPr>
              <w:pStyle w:val="null3"/>
              <w:ind w:firstLine="400"/>
              <w:jc w:val="both"/>
            </w:pPr>
            <w:r>
              <w:rPr>
                <w:rFonts w:ascii="仿宋_GB2312" w:hAnsi="仿宋_GB2312" w:cs="仿宋_GB2312" w:eastAsia="仿宋_GB2312"/>
                <w:sz w:val="20"/>
                <w:color w:val="000000"/>
              </w:rPr>
              <w:t>视频工程师，（三年课程视频或宣传片拍摄经验）至少</w:t>
            </w:r>
            <w:r>
              <w:rPr>
                <w:rFonts w:ascii="仿宋_GB2312" w:hAnsi="仿宋_GB2312" w:cs="仿宋_GB2312" w:eastAsia="仿宋_GB2312"/>
                <w:sz w:val="20"/>
                <w:color w:val="000000"/>
              </w:rPr>
              <w:t>1</w:t>
            </w:r>
            <w:r>
              <w:rPr>
                <w:rFonts w:ascii="仿宋_GB2312" w:hAnsi="仿宋_GB2312" w:cs="仿宋_GB2312" w:eastAsia="仿宋_GB2312"/>
                <w:sz w:val="20"/>
                <w:color w:val="000000"/>
              </w:rPr>
              <w:t>人，</w:t>
            </w:r>
            <w:r>
              <w:rPr>
                <w:rFonts w:ascii="仿宋_GB2312" w:hAnsi="仿宋_GB2312" w:cs="仿宋_GB2312" w:eastAsia="仿宋_GB2312"/>
                <w:sz w:val="20"/>
              </w:rPr>
              <w:t>负责主机位、侧机位拍摄。</w:t>
            </w:r>
          </w:p>
          <w:p>
            <w:pPr>
              <w:pStyle w:val="null3"/>
              <w:ind w:firstLine="400"/>
              <w:jc w:val="both"/>
            </w:pPr>
            <w:r>
              <w:rPr>
                <w:rFonts w:ascii="仿宋_GB2312" w:hAnsi="仿宋_GB2312" w:cs="仿宋_GB2312" w:eastAsia="仿宋_GB2312"/>
                <w:sz w:val="20"/>
              </w:rPr>
              <w:t>现场灯光师（三年拍摄现场灯光经验）至少</w:t>
            </w:r>
            <w:r>
              <w:rPr>
                <w:rFonts w:ascii="仿宋_GB2312" w:hAnsi="仿宋_GB2312" w:cs="仿宋_GB2312" w:eastAsia="仿宋_GB2312"/>
                <w:sz w:val="20"/>
              </w:rPr>
              <w:t>1人，负责现场灯光设计及场记。</w:t>
            </w:r>
          </w:p>
          <w:p>
            <w:pPr>
              <w:pStyle w:val="null3"/>
              <w:ind w:firstLine="400"/>
              <w:jc w:val="both"/>
            </w:pPr>
            <w:r>
              <w:rPr>
                <w:rFonts w:ascii="仿宋_GB2312" w:hAnsi="仿宋_GB2312" w:cs="仿宋_GB2312" w:eastAsia="仿宋_GB2312"/>
                <w:sz w:val="20"/>
              </w:rPr>
              <w:t>后期制作及效果包装</w:t>
            </w:r>
            <w:r>
              <w:rPr>
                <w:rFonts w:ascii="仿宋_GB2312" w:hAnsi="仿宋_GB2312" w:cs="仿宋_GB2312" w:eastAsia="仿宋_GB2312"/>
                <w:sz w:val="20"/>
              </w:rPr>
              <w:t>3人及以上。</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九</w:t>
            </w:r>
            <w:r>
              <w:rPr>
                <w:rFonts w:ascii="仿宋_GB2312" w:hAnsi="仿宋_GB2312" w:cs="仿宋_GB2312" w:eastAsia="仿宋_GB2312"/>
                <w:sz w:val="20"/>
                <w:b/>
              </w:rPr>
              <w:t>）拍摄模式和场地要求</w:t>
            </w:r>
          </w:p>
          <w:p>
            <w:pPr>
              <w:pStyle w:val="null3"/>
              <w:ind w:firstLine="400"/>
              <w:jc w:val="both"/>
            </w:pPr>
            <w:r>
              <w:rPr>
                <w:rFonts w:ascii="仿宋_GB2312" w:hAnsi="仿宋_GB2312" w:cs="仿宋_GB2312" w:eastAsia="仿宋_GB2312"/>
                <w:sz w:val="20"/>
              </w:rPr>
              <w:t>根据课程性质，课程顾问团队与教师一起确定课程最合理拍摄方式，提供不少于</w:t>
            </w:r>
            <w:r>
              <w:rPr>
                <w:rFonts w:ascii="仿宋_GB2312" w:hAnsi="仿宋_GB2312" w:cs="仿宋_GB2312" w:eastAsia="仿宋_GB2312"/>
                <w:sz w:val="20"/>
              </w:rPr>
              <w:t>6种的拍摄模式可供老师选择，如拍摄基地PPT模式、拍摄基地演示模式、拍摄基地访谈模式等。根据课程建设多场景的设计和布景需要，提供陕西地区基于学校内的专业拍摄服务基地，要求提供所在学校拍摄场地建设合同证明的同时，提供学校名称、楼号、房间号并附照片。</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《传统纹样线描》</w:t>
            </w:r>
          </w:p>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《传统纹样线描》课程录制</w:t>
            </w:r>
            <w:r>
              <w:rPr>
                <w:rFonts w:ascii="仿宋_GB2312" w:hAnsi="仿宋_GB2312" w:cs="仿宋_GB2312" w:eastAsia="仿宋_GB2312"/>
                <w:sz w:val="20"/>
                <w:color w:val="000000"/>
              </w:rPr>
              <w:t>61个微课</w:t>
            </w:r>
          </w:p>
          <w:tbl>
            <w:tblPr>
              <w:tblBorders>
                <w:top w:val="none" w:color="000000" w:sz="4"/>
                <w:left w:val="none" w:color="000000" w:sz="4"/>
                <w:bottom w:val="none" w:color="000000" w:sz="4"/>
                <w:right w:val="none" w:color="000000" w:sz="4"/>
                <w:insideH w:val="none"/>
                <w:insideV w:val="none"/>
              </w:tblBorders>
            </w:tblPr>
            <w:tblGrid>
              <w:gridCol w:w="233"/>
              <w:gridCol w:w="668"/>
              <w:gridCol w:w="794"/>
              <w:gridCol w:w="1112"/>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序号</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节名</w:t>
                  </w:r>
                </w:p>
              </w:tc>
              <w:tc>
                <w:tcPr>
                  <w:tcW w:type="dxa" w:w="7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学习情境</w:t>
                  </w:r>
                </w:p>
              </w:tc>
              <w:tc>
                <w:tcPr>
                  <w:tcW w:type="dxa" w:w="1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知识（技能）点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项目一</w:t>
                  </w:r>
                </w:p>
                <w:p>
                  <w:pPr>
                    <w:pStyle w:val="null3"/>
                    <w:jc w:val="center"/>
                  </w:pPr>
                  <w:r>
                    <w:rPr>
                      <w:rFonts w:ascii="仿宋_GB2312" w:hAnsi="仿宋_GB2312" w:cs="仿宋_GB2312" w:eastAsia="仿宋_GB2312"/>
                      <w:sz w:val="20"/>
                    </w:rPr>
                    <w:t>纹样之基</w:t>
                  </w:r>
                </w:p>
                <w:p>
                  <w:pPr>
                    <w:pStyle w:val="null3"/>
                    <w:jc w:val="center"/>
                  </w:pPr>
                  <w:r>
                    <w:rPr>
                      <w:rFonts w:ascii="仿宋_GB2312" w:hAnsi="仿宋_GB2312" w:cs="仿宋_GB2312" w:eastAsia="仿宋_GB2312"/>
                      <w:sz w:val="20"/>
                    </w:rPr>
                    <w:t>纹样认知与线描技法与入门</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任务一</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纹样与线描概论</w:t>
                  </w:r>
                  <w:r>
                    <w:rPr>
                      <w:rFonts w:ascii="仿宋_GB2312" w:hAnsi="仿宋_GB2312" w:cs="仿宋_GB2312" w:eastAsia="仿宋_GB2312"/>
                      <w:sz w:val="20"/>
                    </w:rPr>
                    <w:t>——</w:t>
                  </w: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20"/>
                      <w:b/>
                    </w:rPr>
                    <w:t>1.1</w:t>
                  </w:r>
                  <w:r>
                    <w:rPr>
                      <w:rFonts w:ascii="仿宋_GB2312" w:hAnsi="仿宋_GB2312" w:cs="仿宋_GB2312" w:eastAsia="仿宋_GB2312"/>
                      <w:sz w:val="20"/>
                    </w:rPr>
                    <w:t>初识传统纹样</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2"/>
                      <w:numId w:val="2"/>
                    </w:numPr>
                  </w:pPr>
                  <w:r>
                    <w:rPr>
                      <w:rFonts w:ascii="仿宋_GB2312" w:hAnsi="仿宋_GB2312" w:cs="仿宋_GB2312" w:eastAsia="仿宋_GB2312"/>
                      <w:sz w:val="20"/>
                    </w:rPr>
                    <w:t>纹样的定义、功能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2"/>
                      <w:numId w:val="2"/>
                    </w:numPr>
                  </w:pPr>
                  <w:r>
                    <w:rPr>
                      <w:rFonts w:ascii="仿宋_GB2312" w:hAnsi="仿宋_GB2312" w:cs="仿宋_GB2312" w:eastAsia="仿宋_GB2312"/>
                      <w:sz w:val="20"/>
                    </w:rPr>
                    <w:t>纹样的分类（动物纹、植物纹）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2"/>
                      <w:numId w:val="2"/>
                    </w:numPr>
                  </w:pPr>
                  <w:r>
                    <w:rPr>
                      <w:rFonts w:ascii="仿宋_GB2312" w:hAnsi="仿宋_GB2312" w:cs="仿宋_GB2312" w:eastAsia="仿宋_GB2312"/>
                      <w:sz w:val="20"/>
                    </w:rPr>
                    <w:t>纹样的分类（几何纹、吉祥纹）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.4</w:t>
                  </w:r>
                  <w:r>
                    <w:rPr>
                      <w:rFonts w:ascii="仿宋_GB2312" w:hAnsi="仿宋_GB2312" w:cs="仿宋_GB2312" w:eastAsia="仿宋_GB2312"/>
                      <w:sz w:val="20"/>
                    </w:rPr>
                    <w:t xml:space="preserve"> </w:t>
                  </w:r>
                  <w:r>
                    <w:rPr>
                      <w:rFonts w:ascii="仿宋_GB2312" w:hAnsi="仿宋_GB2312" w:cs="仿宋_GB2312" w:eastAsia="仿宋_GB2312"/>
                      <w:sz w:val="20"/>
                    </w:rPr>
                    <w:t>中国传统纹样的发展脉络概览</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68"/>
                  <w:vMerge/>
                  <w:tcBorders>
                    <w:top w:val="none" w:color="000000" w:sz="4"/>
                    <w:left w:val="single" w:color="000000" w:sz="4"/>
                    <w:bottom w:val="single" w:color="000000" w:sz="4"/>
                    <w:right w:val="single" w:color="000000" w:sz="4"/>
                  </w:tcBorders>
                </w:tcP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任务一</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纹样与线描概论</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b/>
                    </w:rPr>
                    <w:t>1.2</w:t>
                  </w:r>
                  <w:r>
                    <w:rPr>
                      <w:rFonts w:ascii="仿宋_GB2312" w:hAnsi="仿宋_GB2312" w:cs="仿宋_GB2312" w:eastAsia="仿宋_GB2312"/>
                      <w:sz w:val="20"/>
                    </w:rPr>
                    <w:t xml:space="preserve"> </w:t>
                  </w:r>
                  <w:r>
                    <w:rPr>
                      <w:rFonts w:ascii="仿宋_GB2312" w:hAnsi="仿宋_GB2312" w:cs="仿宋_GB2312" w:eastAsia="仿宋_GB2312"/>
                      <w:sz w:val="20"/>
                    </w:rPr>
                    <w:t>理解线描美学</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1.2.1 线描在中国画中的地位</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1.2.2线描在文物纹饰中的地位</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3</w:t>
                  </w:r>
                  <w:r>
                    <w:rPr>
                      <w:rFonts w:ascii="仿宋_GB2312" w:hAnsi="仿宋_GB2312" w:cs="仿宋_GB2312" w:eastAsia="仿宋_GB2312"/>
                      <w:sz w:val="20"/>
                    </w:rPr>
                    <w:t xml:space="preserve"> </w:t>
                  </w:r>
                  <w:r>
                    <w:rPr>
                      <w:rFonts w:ascii="仿宋_GB2312" w:hAnsi="仿宋_GB2312" w:cs="仿宋_GB2312" w:eastAsia="仿宋_GB2312"/>
                      <w:sz w:val="20"/>
                    </w:rPr>
                    <w:t>“骨法用笔”与线条的审美标准（圆、厚、润、力）</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68"/>
                  <w:vMerge/>
                  <w:tcBorders>
                    <w:top w:val="none" w:color="000000" w:sz="4"/>
                    <w:left w:val="single" w:color="000000" w:sz="4"/>
                    <w:bottom w:val="single" w:color="000000" w:sz="4"/>
                    <w:right w:val="single" w:color="000000" w:sz="4"/>
                  </w:tcBorders>
                </w:tcP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任务二</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工具与基础笔法</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b/>
                    </w:rPr>
                    <w:t>2.1</w:t>
                  </w:r>
                  <w:r>
                    <w:rPr>
                      <w:rFonts w:ascii="仿宋_GB2312" w:hAnsi="仿宋_GB2312" w:cs="仿宋_GB2312" w:eastAsia="仿宋_GB2312"/>
                      <w:sz w:val="20"/>
                    </w:rPr>
                    <w:t xml:space="preserve"> </w:t>
                  </w:r>
                  <w:r>
                    <w:rPr>
                      <w:rFonts w:ascii="仿宋_GB2312" w:hAnsi="仿宋_GB2312" w:cs="仿宋_GB2312" w:eastAsia="仿宋_GB2312"/>
                      <w:sz w:val="20"/>
                    </w:rPr>
                    <w:t>工具准备与运用</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2.1.1 笔、墨、纸、砚的选择与特性（兼及拷贝台、尺规的使用）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2.1.2 执笔、坐姿与运笔方法（中锋行笔）</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68"/>
                  <w:vMerge/>
                  <w:tcBorders>
                    <w:top w:val="none" w:color="000000" w:sz="4"/>
                    <w:left w:val="single" w:color="000000" w:sz="4"/>
                    <w:bottom w:val="single" w:color="000000" w:sz="4"/>
                    <w:right w:val="single" w:color="000000" w:sz="4"/>
                  </w:tcBorders>
                </w:tcP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任务二</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工具与基础笔法</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b/>
                    </w:rPr>
                    <w:t>2.2</w:t>
                  </w:r>
                  <w:r>
                    <w:rPr>
                      <w:rFonts w:ascii="仿宋_GB2312" w:hAnsi="仿宋_GB2312" w:cs="仿宋_GB2312" w:eastAsia="仿宋_GB2312"/>
                      <w:sz w:val="20"/>
                    </w:rPr>
                    <w:t xml:space="preserve"> </w:t>
                  </w:r>
                  <w:r>
                    <w:rPr>
                      <w:rFonts w:ascii="仿宋_GB2312" w:hAnsi="仿宋_GB2312" w:cs="仿宋_GB2312" w:eastAsia="仿宋_GB2312"/>
                      <w:sz w:val="20"/>
                    </w:rPr>
                    <w:t>线条质感训练</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w:t>
                  </w:r>
                  <w:r>
                    <w:rPr>
                      <w:rFonts w:ascii="仿宋_GB2312" w:hAnsi="仿宋_GB2312" w:cs="仿宋_GB2312" w:eastAsia="仿宋_GB2312"/>
                      <w:sz w:val="20"/>
                    </w:rPr>
                    <w:t>1</w:t>
                  </w:r>
                  <w:r>
                    <w:rPr>
                      <w:rFonts w:ascii="仿宋_GB2312" w:hAnsi="仿宋_GB2312" w:cs="仿宋_GB2312" w:eastAsia="仿宋_GB2312"/>
                      <w:sz w:val="20"/>
                    </w:rPr>
                    <w:t xml:space="preserve"> </w:t>
                  </w:r>
                  <w:r>
                    <w:rPr>
                      <w:rFonts w:ascii="仿宋_GB2312" w:hAnsi="仿宋_GB2312" w:cs="仿宋_GB2312" w:eastAsia="仿宋_GB2312"/>
                      <w:sz w:val="20"/>
                    </w:rPr>
                    <w:t>线条的起笔、行笔与收笔控制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w:t>
                  </w:r>
                  <w:r>
                    <w:rPr>
                      <w:rFonts w:ascii="仿宋_GB2312" w:hAnsi="仿宋_GB2312" w:cs="仿宋_GB2312" w:eastAsia="仿宋_GB2312"/>
                      <w:sz w:val="20"/>
                    </w:rPr>
                    <w:t>2中国画“十八描”法（高古游丝描、钉头鼠尾描）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2.2.3中国画“十八描”法（铁线描、柳叶描）</w:t>
                  </w:r>
                  <w:r>
                    <w:rPr>
                      <w:rFonts w:ascii="仿宋_GB2312" w:hAnsi="仿宋_GB2312" w:cs="仿宋_GB2312" w:eastAsia="仿宋_GB2312"/>
                      <w:sz w:val="20"/>
                    </w:rPr>
                    <w:t>均匀有力的线条练习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w:t>
                  </w:r>
                  <w:r>
                    <w:rPr>
                      <w:rFonts w:ascii="仿宋_GB2312" w:hAnsi="仿宋_GB2312" w:cs="仿宋_GB2312" w:eastAsia="仿宋_GB2312"/>
                      <w:sz w:val="20"/>
                    </w:rPr>
                    <w:t>4</w:t>
                  </w:r>
                  <w:r>
                    <w:rPr>
                      <w:rFonts w:ascii="仿宋_GB2312" w:hAnsi="仿宋_GB2312" w:cs="仿宋_GB2312" w:eastAsia="仿宋_GB2312"/>
                      <w:sz w:val="21"/>
                    </w:rPr>
                    <w:t xml:space="preserve"> </w:t>
                  </w:r>
                  <w:r>
                    <w:rPr>
                      <w:rFonts w:ascii="仿宋_GB2312" w:hAnsi="仿宋_GB2312" w:cs="仿宋_GB2312" w:eastAsia="仿宋_GB2312"/>
                      <w:sz w:val="20"/>
                    </w:rPr>
                    <w:t>“十八描”法（行云流水描、折芦描）</w:t>
                  </w:r>
                  <w:r>
                    <w:rPr>
                      <w:rFonts w:ascii="仿宋_GB2312" w:hAnsi="仿宋_GB2312" w:cs="仿宋_GB2312" w:eastAsia="仿宋_GB2312"/>
                      <w:sz w:val="20"/>
                    </w:rPr>
                    <w:t>纤细连绵的线条练习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2.2.5“十八描”法（战笔水纹描、蚂蟥描）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2.2.6八十七神仙卷线描解析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2.2.7簪花仕女图线描解析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2.2.8虢国夫人游春图线描解析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2.2.9宋代花鸟图线描解析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2.2.10韩熙载夜宴图线描解析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2.2.11任伯年线解析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6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项目二</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循古之法</w:t>
                  </w:r>
                  <w:r>
                    <w:rPr>
                      <w:rFonts w:ascii="仿宋_GB2312" w:hAnsi="仿宋_GB2312" w:cs="仿宋_GB2312" w:eastAsia="仿宋_GB2312"/>
                      <w:sz w:val="20"/>
                    </w:rPr>
                    <w:t>——历代经典平面纹样精临</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任务三</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上古神秘：彩陶与青铜纹样</w:t>
                  </w:r>
                </w:p>
                <w:p>
                  <w:pPr>
                    <w:pStyle w:val="null3"/>
                    <w:jc w:val="center"/>
                  </w:pPr>
                  <w:r>
                    <w:rPr>
                      <w:rFonts w:ascii="仿宋_GB2312" w:hAnsi="仿宋_GB2312" w:cs="仿宋_GB2312" w:eastAsia="仿宋_GB2312"/>
                      <w:sz w:val="20"/>
                    </w:rPr>
                    <w:t>——</w:t>
                  </w:r>
                </w:p>
                <w:p>
                  <w:pPr>
                    <w:pStyle w:val="null3"/>
                    <w:jc w:val="center"/>
                  </w:pPr>
                  <w:r>
                    <w:rPr>
                      <w:rFonts w:ascii="仿宋_GB2312" w:hAnsi="仿宋_GB2312" w:cs="仿宋_GB2312" w:eastAsia="仿宋_GB2312"/>
                      <w:sz w:val="20"/>
                      <w:b/>
                    </w:rPr>
                    <w:t>3.1</w:t>
                  </w:r>
                  <w:r>
                    <w:rPr>
                      <w:rFonts w:ascii="仿宋_GB2312" w:hAnsi="仿宋_GB2312" w:cs="仿宋_GB2312" w:eastAsia="仿宋_GB2312"/>
                      <w:sz w:val="20"/>
                    </w:rPr>
                    <w:t xml:space="preserve"> </w:t>
                  </w:r>
                  <w:r>
                    <w:rPr>
                      <w:rFonts w:ascii="仿宋_GB2312" w:hAnsi="仿宋_GB2312" w:cs="仿宋_GB2312" w:eastAsia="仿宋_GB2312"/>
                      <w:sz w:val="20"/>
                    </w:rPr>
                    <w:t>彩陶纹样摹绘</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3.1.1 彩陶纹样（如鱼纹、涡纹）的抽象与几何化特征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3.1.2 </w:t>
                  </w:r>
                  <w:r>
                    <w:rPr>
                      <w:rFonts w:ascii="仿宋_GB2312" w:hAnsi="仿宋_GB2312" w:cs="仿宋_GB2312" w:eastAsia="仿宋_GB2312"/>
                      <w:sz w:val="20"/>
                    </w:rPr>
                    <w:t>仰韶文化纹样表现（半坡型、庙底沟型）</w:t>
                  </w:r>
                  <w:r>
                    <w:rPr>
                      <w:rFonts w:ascii="仿宋_GB2312" w:hAnsi="仿宋_GB2312" w:cs="仿宋_GB2312" w:eastAsia="仿宋_GB2312"/>
                      <w:sz w:val="20"/>
                    </w:rPr>
                    <w:t>——</w:t>
                  </w:r>
                  <w:r>
                    <w:rPr>
                      <w:rFonts w:ascii="仿宋_GB2312" w:hAnsi="仿宋_GB2312" w:cs="仿宋_GB2312" w:eastAsia="仿宋_GB2312"/>
                      <w:sz w:val="20"/>
                    </w:rPr>
                    <w:t>古朴、稚拙线条的表现手法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3.1.3马家窑文化纹样表现（石岭下型、马家窑型、半山型、马厂型）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668"/>
                  <w:vMerge/>
                  <w:tcBorders>
                    <w:top w:val="none" w:color="000000" w:sz="4"/>
                    <w:left w:val="single" w:color="000000" w:sz="4"/>
                    <w:bottom w:val="single" w:color="000000" w:sz="4"/>
                    <w:right w:val="single" w:color="000000" w:sz="4"/>
                  </w:tcBorders>
                </w:tcP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任务三</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上古神秘：彩陶与青铜纹样</w:t>
                  </w:r>
                </w:p>
                <w:p>
                  <w:pPr>
                    <w:pStyle w:val="null3"/>
                    <w:jc w:val="center"/>
                  </w:pPr>
                  <w:r>
                    <w:rPr>
                      <w:rFonts w:ascii="仿宋_GB2312" w:hAnsi="仿宋_GB2312" w:cs="仿宋_GB2312" w:eastAsia="仿宋_GB2312"/>
                      <w:sz w:val="20"/>
                    </w:rPr>
                    <w:t>——</w:t>
                  </w:r>
                </w:p>
                <w:p>
                  <w:pPr>
                    <w:pStyle w:val="null3"/>
                    <w:jc w:val="center"/>
                  </w:pPr>
                  <w:r>
                    <w:rPr>
                      <w:rFonts w:ascii="仿宋_GB2312" w:hAnsi="仿宋_GB2312" w:cs="仿宋_GB2312" w:eastAsia="仿宋_GB2312"/>
                      <w:sz w:val="20"/>
                      <w:b/>
                    </w:rPr>
                    <w:t>3.2</w:t>
                  </w:r>
                  <w:r>
                    <w:rPr>
                      <w:rFonts w:ascii="仿宋_GB2312" w:hAnsi="仿宋_GB2312" w:cs="仿宋_GB2312" w:eastAsia="仿宋_GB2312"/>
                      <w:sz w:val="20"/>
                    </w:rPr>
                    <w:t xml:space="preserve"> </w:t>
                  </w:r>
                  <w:r>
                    <w:rPr>
                      <w:rFonts w:ascii="仿宋_GB2312" w:hAnsi="仿宋_GB2312" w:cs="仿宋_GB2312" w:eastAsia="仿宋_GB2312"/>
                      <w:sz w:val="20"/>
                    </w:rPr>
                    <w:t>青铜器纹样摹绘</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3.2.1 </w:t>
                  </w:r>
                  <w:r>
                    <w:rPr>
                      <w:rFonts w:ascii="仿宋_GB2312" w:hAnsi="仿宋_GB2312" w:cs="仿宋_GB2312" w:eastAsia="仿宋_GB2312"/>
                      <w:sz w:val="20"/>
                    </w:rPr>
                    <w:t>青铜器的萌生期</w:t>
                  </w:r>
                  <w:r>
                    <w:rPr>
                      <w:rFonts w:ascii="仿宋_GB2312" w:hAnsi="仿宋_GB2312" w:cs="仿宋_GB2312" w:eastAsia="仿宋_GB2312"/>
                      <w:sz w:val="20"/>
                    </w:rPr>
                    <w:t>——</w:t>
                  </w:r>
                  <w:r>
                    <w:rPr>
                      <w:rFonts w:ascii="仿宋_GB2312" w:hAnsi="仿宋_GB2312" w:cs="仿宋_GB2312" w:eastAsia="仿宋_GB2312"/>
                      <w:sz w:val="20"/>
                    </w:rPr>
                    <w:t>兽面纹、夔龙纹的对称性与威严感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3.2.2 </w:t>
                  </w:r>
                  <w:r>
                    <w:rPr>
                      <w:rFonts w:ascii="仿宋_GB2312" w:hAnsi="仿宋_GB2312" w:cs="仿宋_GB2312" w:eastAsia="仿宋_GB2312"/>
                      <w:sz w:val="20"/>
                    </w:rPr>
                    <w:t>青铜器的鼎盛期</w:t>
                  </w:r>
                  <w:r>
                    <w:rPr>
                      <w:rFonts w:ascii="仿宋_GB2312" w:hAnsi="仿宋_GB2312" w:cs="仿宋_GB2312" w:eastAsia="仿宋_GB2312"/>
                      <w:sz w:val="20"/>
                    </w:rPr>
                    <w:t>——</w:t>
                  </w:r>
                  <w:r>
                    <w:rPr>
                      <w:rFonts w:ascii="仿宋_GB2312" w:hAnsi="仿宋_GB2312" w:cs="仿宋_GB2312" w:eastAsia="仿宋_GB2312"/>
                      <w:sz w:val="20"/>
                    </w:rPr>
                    <w:t>如何表现青铜纹样的浑厚与狞厉之美</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3.2.3青铜器的转变期——活泼、细腻的波曲纹与变形兽体纹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3.2.4青铜器的更新期——极度精致、细腻的装饰性发展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668"/>
                  <w:vMerge/>
                  <w:tcBorders>
                    <w:top w:val="none" w:color="000000" w:sz="4"/>
                    <w:left w:val="single" w:color="000000" w:sz="4"/>
                    <w:bottom w:val="single" w:color="000000" w:sz="4"/>
                    <w:right w:val="single" w:color="000000" w:sz="4"/>
                  </w:tcBorders>
                </w:tcP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任务四</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秦汉气象：</w:t>
                  </w:r>
                </w:p>
                <w:p>
                  <w:pPr>
                    <w:pStyle w:val="null3"/>
                    <w:jc w:val="center"/>
                  </w:pPr>
                  <w:r>
                    <w:rPr>
                      <w:rFonts w:ascii="仿宋_GB2312" w:hAnsi="仿宋_GB2312" w:cs="仿宋_GB2312" w:eastAsia="仿宋_GB2312"/>
                      <w:sz w:val="20"/>
                      <w:b/>
                    </w:rPr>
                    <w:t>4.1</w:t>
                  </w:r>
                  <w:r>
                    <w:rPr>
                      <w:rFonts w:ascii="仿宋_GB2312" w:hAnsi="仿宋_GB2312" w:cs="仿宋_GB2312" w:eastAsia="仿宋_GB2312"/>
                      <w:sz w:val="20"/>
                    </w:rPr>
                    <w:t xml:space="preserve"> </w:t>
                  </w:r>
                  <w:r>
                    <w:rPr>
                      <w:rFonts w:ascii="仿宋_GB2312" w:hAnsi="仿宋_GB2312" w:cs="仿宋_GB2312" w:eastAsia="仿宋_GB2312"/>
                      <w:sz w:val="20"/>
                    </w:rPr>
                    <w:t>瓦当纹样摹绘</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4.1.1 瓦当纹样（青龙、白虎、）的适合纹样构图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4.1.2 </w:t>
                  </w:r>
                  <w:r>
                    <w:rPr>
                      <w:rFonts w:ascii="仿宋_GB2312" w:hAnsi="仿宋_GB2312" w:cs="仿宋_GB2312" w:eastAsia="仿宋_GB2312"/>
                      <w:sz w:val="20"/>
                    </w:rPr>
                    <w:t>瓦当纹样（</w:t>
                  </w:r>
                  <w:r>
                    <w:rPr>
                      <w:rFonts w:ascii="仿宋_GB2312" w:hAnsi="仿宋_GB2312" w:cs="仿宋_GB2312" w:eastAsia="仿宋_GB2312"/>
                      <w:sz w:val="20"/>
                    </w:rPr>
                    <w:t>朱雀、玄武</w:t>
                  </w:r>
                  <w:r>
                    <w:rPr>
                      <w:rFonts w:ascii="仿宋_GB2312" w:hAnsi="仿宋_GB2312" w:cs="仿宋_GB2312" w:eastAsia="仿宋_GB2312"/>
                      <w:sz w:val="20"/>
                    </w:rPr>
                    <w:t>）</w:t>
                  </w:r>
                  <w:r>
                    <w:rPr>
                      <w:rFonts w:ascii="仿宋_GB2312" w:hAnsi="仿宋_GB2312" w:cs="仿宋_GB2312" w:eastAsia="仿宋_GB2312"/>
                      <w:sz w:val="20"/>
                    </w:rPr>
                    <w:t>的适合纹样构图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668"/>
                  <w:vMerge/>
                  <w:tcBorders>
                    <w:top w:val="none" w:color="000000" w:sz="4"/>
                    <w:left w:val="single" w:color="000000" w:sz="4"/>
                    <w:bottom w:val="single" w:color="000000" w:sz="4"/>
                    <w:right w:val="single" w:color="000000" w:sz="4"/>
                  </w:tcBorders>
                </w:tcP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任务四</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秦汉气象：</w:t>
                  </w:r>
                </w:p>
                <w:p>
                  <w:pPr>
                    <w:pStyle w:val="null3"/>
                    <w:jc w:val="center"/>
                  </w:pPr>
                  <w:r>
                    <w:rPr>
                      <w:rFonts w:ascii="仿宋_GB2312" w:hAnsi="仿宋_GB2312" w:cs="仿宋_GB2312" w:eastAsia="仿宋_GB2312"/>
                      <w:sz w:val="20"/>
                      <w:b/>
                    </w:rPr>
                    <w:t>4.2</w:t>
                  </w:r>
                  <w:r>
                    <w:rPr>
                      <w:rFonts w:ascii="仿宋_GB2312" w:hAnsi="仿宋_GB2312" w:cs="仿宋_GB2312" w:eastAsia="仿宋_GB2312"/>
                      <w:sz w:val="20"/>
                    </w:rPr>
                    <w:t xml:space="preserve"> </w:t>
                  </w:r>
                  <w:r>
                    <w:rPr>
                      <w:rFonts w:ascii="仿宋_GB2312" w:hAnsi="仿宋_GB2312" w:cs="仿宋_GB2312" w:eastAsia="仿宋_GB2312"/>
                      <w:sz w:val="20"/>
                    </w:rPr>
                    <w:t>漆器纹样摹绘</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4.2</w:t>
                  </w:r>
                  <w:r>
                    <w:rPr>
                      <w:rFonts w:ascii="仿宋_GB2312" w:hAnsi="仿宋_GB2312" w:cs="仿宋_GB2312" w:eastAsia="仿宋_GB2312"/>
                      <w:sz w:val="20"/>
                    </w:rPr>
                    <w:t>漆器纹样</w:t>
                  </w:r>
                  <w:r>
                    <w:rPr>
                      <w:rFonts w:ascii="仿宋_GB2312" w:hAnsi="仿宋_GB2312" w:cs="仿宋_GB2312" w:eastAsia="仿宋_GB2312"/>
                      <w:sz w:val="20"/>
                    </w:rPr>
                    <w:t>云气纹</w:t>
                  </w:r>
                  <w:r>
                    <w:rPr>
                      <w:rFonts w:ascii="仿宋_GB2312" w:hAnsi="仿宋_GB2312" w:cs="仿宋_GB2312" w:eastAsia="仿宋_GB2312"/>
                      <w:sz w:val="20"/>
                    </w:rPr>
                    <w:t>的流动性与韵律感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668"/>
                  <w:vMerge/>
                  <w:tcBorders>
                    <w:top w:val="none" w:color="000000" w:sz="4"/>
                    <w:left w:val="single" w:color="000000" w:sz="4"/>
                    <w:bottom w:val="single" w:color="000000" w:sz="4"/>
                    <w:right w:val="single" w:color="000000" w:sz="4"/>
                  </w:tcBorders>
                </w:tcP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任务四：</w:t>
                  </w:r>
                </w:p>
                <w:p>
                  <w:pPr>
                    <w:pStyle w:val="null3"/>
                    <w:jc w:val="center"/>
                  </w:pPr>
                  <w:r>
                    <w:rPr>
                      <w:rFonts w:ascii="仿宋_GB2312" w:hAnsi="仿宋_GB2312" w:cs="仿宋_GB2312" w:eastAsia="仿宋_GB2312"/>
                      <w:sz w:val="20"/>
                    </w:rPr>
                    <w:t>秦汉气象：</w:t>
                  </w:r>
                </w:p>
                <w:p>
                  <w:pPr>
                    <w:pStyle w:val="null3"/>
                    <w:jc w:val="center"/>
                  </w:pPr>
                  <w:r>
                    <w:rPr>
                      <w:rFonts w:ascii="仿宋_GB2312" w:hAnsi="仿宋_GB2312" w:cs="仿宋_GB2312" w:eastAsia="仿宋_GB2312"/>
                      <w:sz w:val="20"/>
                      <w:b/>
                    </w:rPr>
                    <w:t>4.3</w:t>
                  </w:r>
                  <w:r>
                    <w:rPr>
                      <w:rFonts w:ascii="仿宋_GB2312" w:hAnsi="仿宋_GB2312" w:cs="仿宋_GB2312" w:eastAsia="仿宋_GB2312"/>
                      <w:sz w:val="20"/>
                    </w:rPr>
                    <w:t>织锦纹样摹绘</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4.3织锦</w:t>
                  </w:r>
                  <w:r>
                    <w:rPr>
                      <w:rFonts w:ascii="仿宋_GB2312" w:hAnsi="仿宋_GB2312" w:cs="仿宋_GB2312" w:eastAsia="仿宋_GB2312"/>
                      <w:sz w:val="20"/>
                    </w:rPr>
                    <w:t>瑞兽纹的流动性与韵律感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668"/>
                  <w:vMerge/>
                  <w:tcBorders>
                    <w:top w:val="none" w:color="000000" w:sz="4"/>
                    <w:left w:val="single" w:color="000000" w:sz="4"/>
                    <w:bottom w:val="single" w:color="000000" w:sz="4"/>
                    <w:right w:val="single" w:color="000000" w:sz="4"/>
                  </w:tcBorders>
                </w:tcP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任务五</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隋唐华章：</w:t>
                  </w:r>
                  <w:r>
                    <w:rPr>
                      <w:rFonts w:ascii="仿宋_GB2312" w:hAnsi="仿宋_GB2312" w:cs="仿宋_GB2312" w:eastAsia="仿宋_GB2312"/>
                      <w:sz w:val="20"/>
                    </w:rPr>
                    <w:t>敦煌壁画</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边饰</w:t>
                  </w:r>
                  <w:r>
                    <w:rPr>
                      <w:rFonts w:ascii="仿宋_GB2312" w:hAnsi="仿宋_GB2312" w:cs="仿宋_GB2312" w:eastAsia="仿宋_GB2312"/>
                      <w:sz w:val="20"/>
                    </w:rPr>
                    <w:t>、</w:t>
                  </w:r>
                  <w:r>
                    <w:rPr>
                      <w:rFonts w:ascii="仿宋_GB2312" w:hAnsi="仿宋_GB2312" w:cs="仿宋_GB2312" w:eastAsia="仿宋_GB2312"/>
                      <w:sz w:val="20"/>
                    </w:rPr>
                    <w:t>飞天及藻井</w:t>
                  </w:r>
                  <w:r>
                    <w:rPr>
                      <w:rFonts w:ascii="仿宋_GB2312" w:hAnsi="仿宋_GB2312" w:cs="仿宋_GB2312" w:eastAsia="仿宋_GB2312"/>
                      <w:sz w:val="21"/>
                    </w:rPr>
                    <w:t xml:space="preserve"> </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5.1莲瓣纹、</w:t>
                  </w:r>
                  <w:r>
                    <w:rPr>
                      <w:rFonts w:ascii="仿宋_GB2312" w:hAnsi="仿宋_GB2312" w:cs="仿宋_GB2312" w:eastAsia="仿宋_GB2312"/>
                      <w:sz w:val="20"/>
                    </w:rPr>
                    <w:t>卷草纹</w:t>
                  </w:r>
                  <w:r>
                    <w:rPr>
                      <w:rFonts w:ascii="仿宋_GB2312" w:hAnsi="仿宋_GB2312" w:cs="仿宋_GB2312" w:eastAsia="仿宋_GB2312"/>
                      <w:sz w:val="20"/>
                    </w:rPr>
                    <w:t>的构成与骨式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5.2</w:t>
                  </w:r>
                  <w:r>
                    <w:rPr>
                      <w:rFonts w:ascii="仿宋_GB2312" w:hAnsi="仿宋_GB2312" w:cs="仿宋_GB2312" w:eastAsia="仿宋_GB2312"/>
                      <w:sz w:val="20"/>
                    </w:rPr>
                    <w:t>宝相花纹</w:t>
                  </w:r>
                  <w:r>
                    <w:rPr>
                      <w:rFonts w:ascii="仿宋_GB2312" w:hAnsi="仿宋_GB2312" w:cs="仿宋_GB2312" w:eastAsia="仿宋_GB2312"/>
                      <w:sz w:val="20"/>
                    </w:rPr>
                    <w:t>的构成与骨式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5.3敦煌壁画动植物临摹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5.4敦煌壁画飞天临摹（飞天姿仪：飞天飘带的韵律感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5.5敦煌壁画飞天及菩萨手势的韵律感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5.6敦煌壁画云气的组合</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5.7敦煌壁画中的藻井：隋唐经典藻井结构解析（莲花、飞天、三兔共耳等）</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668"/>
                  <w:vMerge/>
                  <w:tcBorders>
                    <w:top w:val="none" w:color="000000" w:sz="4"/>
                    <w:left w:val="single" w:color="000000" w:sz="4"/>
                    <w:bottom w:val="single" w:color="000000" w:sz="4"/>
                    <w:right w:val="single" w:color="000000" w:sz="4"/>
                  </w:tcBorders>
                </w:tcP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任务六</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山西永乐宫壁画</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“恢宏磅礴的道教神韵与线描集大成”</w:t>
                  </w:r>
                </w:p>
                <w:p>
                  <w:pPr>
                    <w:pStyle w:val="null3"/>
                    <w:jc w:val="center"/>
                  </w:p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6.1道教壁画的旷世杰作（历史背景和艺术成就）</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6.2山西永乐宫壁画核心纹样解析</w:t>
                  </w:r>
                </w:p>
                <w:p>
                  <w:pPr>
                    <w:pStyle w:val="null3"/>
                    <w:jc w:val="both"/>
                  </w:pPr>
                  <w:r>
                    <w:rPr>
                      <w:rFonts w:ascii="仿宋_GB2312" w:hAnsi="仿宋_GB2312" w:cs="仿宋_GB2312" w:eastAsia="仿宋_GB2312"/>
                      <w:sz w:val="20"/>
                    </w:rPr>
                    <w:t>人物队列：帝王、仙真、玉女等不同身份人物的服饰、仪仗纹样</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6.3道教特有纹样：八卦、星宿、仙鹤、灵芝、等符号的线性表达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6.4衣纹组织：重点分析《朝元仙仗图》中宽袖大袍的衣纹勾勒、感受其“疏可走马，密不透风”的疏密关系</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p>
                  <w:pPr>
                    <w:pStyle w:val="null3"/>
                    <w:jc w:val="center"/>
                  </w:pPr>
                </w:p>
              </w:tc>
              <w:tc>
                <w:tcPr>
                  <w:tcW w:type="dxa" w:w="668"/>
                  <w:vMerge/>
                  <w:tcBorders>
                    <w:top w:val="none" w:color="000000" w:sz="4"/>
                    <w:left w:val="single" w:color="000000" w:sz="4"/>
                    <w:bottom w:val="single" w:color="000000" w:sz="4"/>
                    <w:right w:val="single" w:color="000000" w:sz="4"/>
                  </w:tcBorders>
                </w:tcP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任务七</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法海寺壁画</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b/>
                    </w:rPr>
                    <w:t>7.1</w:t>
                  </w:r>
                  <w:r>
                    <w:rPr>
                      <w:rFonts w:ascii="仿宋_GB2312" w:hAnsi="仿宋_GB2312" w:cs="仿宋_GB2312" w:eastAsia="仿宋_GB2312"/>
                      <w:sz w:val="20"/>
                    </w:rPr>
                    <w:t>法海寺壁画宫廷美学</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7.1.1皇家寺院瑰宝的历史背景（明代宫廷艺术的巅峰）</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7.1.2与艺术特色（“沥粉贴金”与“叠晕烘染”）的整体效果认知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668"/>
                  <w:vMerge/>
                  <w:tcBorders>
                    <w:top w:val="none" w:color="000000" w:sz="4"/>
                    <w:left w:val="single" w:color="000000" w:sz="4"/>
                    <w:bottom w:val="single" w:color="000000" w:sz="4"/>
                    <w:right w:val="single" w:color="000000" w:sz="4"/>
                  </w:tcBorders>
                </w:tcP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任务七</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法海寺壁画</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7.2</w:t>
                  </w:r>
                  <w:r>
                    <w:rPr>
                      <w:rFonts w:ascii="仿宋_GB2312" w:hAnsi="仿宋_GB2312" w:cs="仿宋_GB2312" w:eastAsia="仿宋_GB2312"/>
                      <w:sz w:val="20"/>
                    </w:rPr>
                    <w:t>法海寺核心纹样解析：人物服饰与器物</w:t>
                  </w:r>
                </w:p>
                <w:p>
                  <w:pPr>
                    <w:pStyle w:val="null3"/>
                    <w:jc w:val="center"/>
                  </w:p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7.2.1衣冠纹样：水月观音的披纱线描技法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7.2.2水月和天王的头发线描技法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7.2.3天王的铠甲纹饰（学习如何用线表现丝绸的轻薄与金属的坚硬）</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7.2.4花卉植物：宝相花、缠枝莲的勾线方法（感受其庄重、繁复的秩序美）</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6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项目三</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观物之趣</w:t>
                  </w:r>
                  <w:r>
                    <w:rPr>
                      <w:rFonts w:ascii="仿宋_GB2312" w:hAnsi="仿宋_GB2312" w:cs="仿宋_GB2312" w:eastAsia="仿宋_GB2312"/>
                      <w:sz w:val="20"/>
                    </w:rPr>
                    <w:t>——立体器物纹样摹写转换</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任务八</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立体摹写方法论</w:t>
                  </w:r>
                  <w:r>
                    <w:rPr>
                      <w:rFonts w:ascii="仿宋_GB2312" w:hAnsi="仿宋_GB2312" w:cs="仿宋_GB2312" w:eastAsia="仿宋_GB2312"/>
                      <w:sz w:val="2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b/>
                    </w:rPr>
                    <w:t>8.</w:t>
                  </w:r>
                  <w:r>
                    <w:rPr>
                      <w:rFonts w:ascii="仿宋_GB2312" w:hAnsi="仿宋_GB2312" w:cs="仿宋_GB2312" w:eastAsia="仿宋_GB2312"/>
                      <w:sz w:val="21"/>
                      <w:b/>
                    </w:rPr>
                    <w:t xml:space="preserve"> </w:t>
                  </w:r>
                  <w:r>
                    <w:rPr>
                      <w:rFonts w:ascii="仿宋_GB2312" w:hAnsi="仿宋_GB2312" w:cs="仿宋_GB2312" w:eastAsia="仿宋_GB2312"/>
                      <w:sz w:val="20"/>
                    </w:rPr>
                    <w:t>从</w:t>
                  </w:r>
                  <w:r>
                    <w:rPr>
                      <w:rFonts w:ascii="仿宋_GB2312" w:hAnsi="仿宋_GB2312" w:cs="仿宋_GB2312" w:eastAsia="仿宋_GB2312"/>
                      <w:sz w:val="20"/>
                    </w:rPr>
                    <w:t>3D到2D的思维转换</w:t>
                  </w:r>
                </w:p>
                <w:p>
                  <w:pPr>
                    <w:pStyle w:val="null3"/>
                    <w:jc w:val="center"/>
                  </w:p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.1 立体器物摹写的基本步骤与观察方法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.2 如何处理器物弧度带来的透视与变形</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668"/>
                  <w:vMerge/>
                  <w:tcBorders>
                    <w:top w:val="none" w:color="000000" w:sz="4"/>
                    <w:left w:val="single" w:color="000000" w:sz="4"/>
                    <w:bottom w:val="single" w:color="000000" w:sz="4"/>
                    <w:right w:val="single" w:color="000000" w:sz="4"/>
                  </w:tcBorders>
                </w:tcP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任务九</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陶瓷器纹样摹写</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9.</w:t>
                  </w:r>
                  <w:r>
                    <w:rPr>
                      <w:rFonts w:ascii="仿宋_GB2312" w:hAnsi="仿宋_GB2312" w:cs="仿宋_GB2312" w:eastAsia="仿宋_GB2312"/>
                      <w:sz w:val="20"/>
                    </w:rPr>
                    <w:t>宋瓷刻花</w:t>
                  </w:r>
                  <w:r>
                    <w:rPr>
                      <w:rFonts w:ascii="仿宋_GB2312" w:hAnsi="仿宋_GB2312" w:cs="仿宋_GB2312" w:eastAsia="仿宋_GB2312"/>
                      <w:sz w:val="20"/>
                    </w:rPr>
                    <w:t>/划花摹写</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.1 刻花纹样（如耀州窑牡丹纹）的刀痕感与线条表现</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668"/>
                  <w:vMerge/>
                  <w:tcBorders>
                    <w:top w:val="none" w:color="000000" w:sz="4"/>
                    <w:left w:val="single" w:color="000000" w:sz="4"/>
                    <w:bottom w:val="single" w:color="000000" w:sz="4"/>
                    <w:right w:val="single" w:color="000000" w:sz="4"/>
                  </w:tcBorders>
                </w:tcP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任务十</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浮雕、圆雕</w:t>
                  </w:r>
                  <w:r>
                    <w:rPr>
                      <w:rFonts w:ascii="仿宋_GB2312" w:hAnsi="仿宋_GB2312" w:cs="仿宋_GB2312" w:eastAsia="仿宋_GB2312"/>
                      <w:sz w:val="20"/>
                    </w:rPr>
                    <w:t>纹样摹写</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rPr>
                    <w:t xml:space="preserve"> </w:t>
                  </w:r>
                  <w:r>
                    <w:rPr>
                      <w:rFonts w:ascii="仿宋_GB2312" w:hAnsi="仿宋_GB2312" w:cs="仿宋_GB2312" w:eastAsia="仿宋_GB2312"/>
                      <w:sz w:val="20"/>
                    </w:rPr>
                    <w:t>浮雕纹样摹写</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.1 处理浮雕纹样的层次与主次关系</w:t>
                  </w:r>
                  <w:r>
                    <w:rPr>
                      <w:rFonts w:ascii="仿宋_GB2312" w:hAnsi="仿宋_GB2312" w:cs="仿宋_GB2312" w:eastAsia="仿宋_GB2312"/>
                      <w:sz w:val="20"/>
                    </w:rPr>
                    <w:t>、</w:t>
                  </w:r>
                  <w:r>
                    <w:rPr>
                      <w:rFonts w:ascii="仿宋_GB2312" w:hAnsi="仿宋_GB2312" w:cs="仿宋_GB2312" w:eastAsia="仿宋_GB2312"/>
                      <w:sz w:val="20"/>
                    </w:rPr>
                    <w:t>利用线条的粗细、虚实表现立体感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 xml:space="preserve">2 </w:t>
                  </w:r>
                  <w:r>
                    <w:rPr>
                      <w:rFonts w:ascii="仿宋_GB2312" w:hAnsi="仿宋_GB2312" w:cs="仿宋_GB2312" w:eastAsia="仿宋_GB2312"/>
                      <w:sz w:val="20"/>
                    </w:rPr>
                    <w:t>昭陵六骏纹样解析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10.3山西雕塑纹样解析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10.4麦积山雕塑纹样解析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10.5敦煌雕塑纹样解析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6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项目四</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修复之用</w:t>
                  </w:r>
                  <w:r>
                    <w:rPr>
                      <w:rFonts w:ascii="仿宋_GB2312" w:hAnsi="仿宋_GB2312" w:cs="仿宋_GB2312" w:eastAsia="仿宋_GB2312"/>
                      <w:sz w:val="20"/>
                    </w:rPr>
                    <w:t>——纹样复原与综合应用</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任务十一</w:t>
                  </w:r>
                </w:p>
                <w:p>
                  <w:pPr>
                    <w:pStyle w:val="null3"/>
                    <w:jc w:val="both"/>
                  </w:pPr>
                  <w:r>
                    <w:rPr>
                      <w:rFonts w:ascii="仿宋_GB2312" w:hAnsi="仿宋_GB2312" w:cs="仿宋_GB2312" w:eastAsia="仿宋_GB2312"/>
                      <w:sz w:val="20"/>
                    </w:rPr>
                    <w:t>纹样复原理论</w:t>
                  </w:r>
                </w:p>
                <w:p>
                  <w:pPr>
                    <w:pStyle w:val="null3"/>
                    <w:jc w:val="both"/>
                  </w:pPr>
                  <w:r>
                    <w:rPr>
                      <w:rFonts w:ascii="仿宋_GB2312" w:hAnsi="仿宋_GB2312" w:cs="仿宋_GB2312" w:eastAsia="仿宋_GB2312"/>
                      <w:sz w:val="20"/>
                      <w:b/>
                    </w:rPr>
                    <w:t>11</w:t>
                  </w:r>
                  <w:r>
                    <w:rPr>
                      <w:rFonts w:ascii="仿宋_GB2312" w:hAnsi="仿宋_GB2312" w:cs="仿宋_GB2312" w:eastAsia="仿宋_GB2312"/>
                      <w:sz w:val="20"/>
                    </w:rPr>
                    <w:t>.复原原则与伦理</w:t>
                  </w:r>
                </w:p>
                <w:p>
                  <w:pPr>
                    <w:pStyle w:val="null3"/>
                    <w:jc w:val="center"/>
                  </w:p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11.1文物修复中的“可识别性”与“最小干预”原则在纹样复原中的应用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11.2复原的逻辑依据：风格分析、对称法则、单元重复</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p>
                  <w:pPr>
                    <w:pStyle w:val="null3"/>
                    <w:jc w:val="center"/>
                  </w:pPr>
                </w:p>
              </w:tc>
              <w:tc>
                <w:tcPr>
                  <w:tcW w:type="dxa" w:w="668"/>
                  <w:vMerge/>
                  <w:tcBorders>
                    <w:top w:val="none" w:color="000000" w:sz="4"/>
                    <w:left w:val="single" w:color="000000" w:sz="4"/>
                    <w:bottom w:val="single" w:color="000000" w:sz="4"/>
                    <w:right w:val="single" w:color="000000" w:sz="4"/>
                  </w:tcBorders>
                </w:tcP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任务十二</w:t>
                  </w:r>
                </w:p>
                <w:p>
                  <w:pPr>
                    <w:pStyle w:val="null3"/>
                    <w:jc w:val="both"/>
                  </w:pPr>
                  <w:r>
                    <w:rPr>
                      <w:rFonts w:ascii="仿宋_GB2312" w:hAnsi="仿宋_GB2312" w:cs="仿宋_GB2312" w:eastAsia="仿宋_GB2312"/>
                      <w:sz w:val="20"/>
                    </w:rPr>
                    <w:t>残缺纹样复原实践</w:t>
                  </w:r>
                </w:p>
                <w:p>
                  <w:pPr>
                    <w:pStyle w:val="null3"/>
                    <w:jc w:val="both"/>
                  </w:pPr>
                  <w:r>
                    <w:rPr>
                      <w:rFonts w:ascii="仿宋_GB2312" w:hAnsi="仿宋_GB2312" w:cs="仿宋_GB2312" w:eastAsia="仿宋_GB2312"/>
                      <w:sz w:val="20"/>
                      <w:b/>
                    </w:rPr>
                    <w:t>12</w:t>
                  </w:r>
                  <w:r>
                    <w:rPr>
                      <w:rFonts w:ascii="仿宋_GB2312" w:hAnsi="仿宋_GB2312" w:cs="仿宋_GB2312" w:eastAsia="仿宋_GB2312"/>
                      <w:sz w:val="20"/>
                    </w:rPr>
                    <w:t>.单元性纹样复原</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12.1分析残存部分，推断整体骨式与单元形，进行有理有据的补全绘制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668"/>
                  <w:vMerge/>
                  <w:tcBorders>
                    <w:top w:val="none" w:color="000000" w:sz="4"/>
                    <w:left w:val="single" w:color="000000" w:sz="4"/>
                    <w:bottom w:val="single" w:color="000000" w:sz="4"/>
                    <w:right w:val="single" w:color="000000" w:sz="4"/>
                  </w:tcBorders>
                </w:tcP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任务十三</w:t>
                  </w:r>
                </w:p>
                <w:p>
                  <w:pPr>
                    <w:pStyle w:val="null3"/>
                    <w:jc w:val="both"/>
                  </w:pPr>
                  <w:r>
                    <w:rPr>
                      <w:rFonts w:ascii="仿宋_GB2312" w:hAnsi="仿宋_GB2312" w:cs="仿宋_GB2312" w:eastAsia="仿宋_GB2312"/>
                      <w:sz w:val="20"/>
                      <w:b/>
                    </w:rPr>
                    <w:t>13.连续纹样复原</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13.1根据现存周期，推演连续纹样的规律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668"/>
                  <w:vMerge/>
                  <w:tcBorders>
                    <w:top w:val="none" w:color="000000" w:sz="4"/>
                    <w:left w:val="single" w:color="000000" w:sz="4"/>
                    <w:bottom w:val="single" w:color="000000" w:sz="4"/>
                    <w:right w:val="single" w:color="000000" w:sz="4"/>
                  </w:tcBorders>
                </w:tcPr>
                <w:p/>
              </w:tc>
              <w:tc>
                <w:tcPr>
                  <w:tcW w:type="dxa" w:w="794"/>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13.2处理衔接处的自然与流畅</w:t>
                  </w:r>
                </w:p>
              </w:tc>
            </w:tr>
            <w:tr>
              <w:tc>
                <w:tcPr>
                  <w:tcW w:type="dxa" w:w="280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1.企业老师，非物质文化传承人课程录制的两节课需要去西安市文物保护考古研究院进行录制。（此项费用在项目四中涉及）</w:t>
                  </w:r>
                </w:p>
                <w:p>
                  <w:pPr>
                    <w:pStyle w:val="null3"/>
                    <w:jc w:val="both"/>
                  </w:pPr>
                  <w:r>
                    <w:rPr>
                      <w:rFonts w:ascii="仿宋_GB2312" w:hAnsi="仿宋_GB2312" w:cs="仿宋_GB2312" w:eastAsia="仿宋_GB2312"/>
                      <w:sz w:val="20"/>
                    </w:rPr>
                    <w:t>2.在录课过程中，教具会产生费用，如仿制青铜器、仿制瓦当、仿制彩陶等产生费用400元左右。（此项费用在项目二、项目三、项目四中均有涉及）</w:t>
                  </w:r>
                </w:p>
                <w:p>
                  <w:pPr>
                    <w:pStyle w:val="null3"/>
                    <w:jc w:val="both"/>
                  </w:pPr>
                  <w:r>
                    <w:rPr>
                      <w:rFonts w:ascii="仿宋_GB2312" w:hAnsi="仿宋_GB2312" w:cs="仿宋_GB2312" w:eastAsia="仿宋_GB2312"/>
                      <w:sz w:val="20"/>
                    </w:rPr>
                    <w:t>3.在壁画线条录制环节，有3米*6米的壁画需要拉到录影棚，需要小型的搬家车辆运输。（此项费用在项目二任务七中涉及）</w:t>
                  </w:r>
                </w:p>
                <w:p>
                  <w:pPr>
                    <w:pStyle w:val="null3"/>
                    <w:jc w:val="both"/>
                  </w:pPr>
                  <w:r>
                    <w:rPr>
                      <w:rFonts w:ascii="仿宋_GB2312" w:hAnsi="仿宋_GB2312" w:cs="仿宋_GB2312" w:eastAsia="仿宋_GB2312"/>
                      <w:sz w:val="20"/>
                    </w:rPr>
                    <w:t>4.课程团队还需要去大唐西市博物馆敦煌仿制窟进行现场录制两节微课，大概录制20分钟左右。（此项费用在项目二任务五中涉及）</w:t>
                  </w:r>
                </w:p>
                <w:p>
                  <w:pPr>
                    <w:pStyle w:val="null3"/>
                    <w:jc w:val="both"/>
                  </w:pPr>
                  <w:r>
                    <w:rPr>
                      <w:rFonts w:ascii="仿宋_GB2312" w:hAnsi="仿宋_GB2312" w:cs="仿宋_GB2312" w:eastAsia="仿宋_GB2312"/>
                      <w:sz w:val="20"/>
                    </w:rPr>
                    <w:t>5.36个技法实录需要在白鹿原7号楼纸质修复实训室拍摄。21个理论微课在录影棚拍摄，2个课程在文博院拍摄，2个课程在大唐西市敦煌莫高窟仿制洞窟拍摄。</w:t>
                  </w:r>
                </w:p>
              </w:tc>
            </w:tr>
          </w:tbl>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《智慧文旅数字化应用》</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《智慧文旅数字化应用》课程录制</w:t>
            </w:r>
            <w:r>
              <w:rPr>
                <w:rFonts w:ascii="仿宋_GB2312" w:hAnsi="仿宋_GB2312" w:cs="仿宋_GB2312" w:eastAsia="仿宋_GB2312"/>
                <w:sz w:val="20"/>
              </w:rPr>
              <w:t>56个微课</w:t>
            </w:r>
          </w:p>
          <w:tbl>
            <w:tblPr>
              <w:tblBorders>
                <w:top w:val="none" w:color="000000" w:sz="4"/>
                <w:left w:val="none" w:color="000000" w:sz="4"/>
                <w:bottom w:val="none" w:color="000000" w:sz="4"/>
                <w:right w:val="none" w:color="000000" w:sz="4"/>
                <w:insideH w:val="none"/>
                <w:insideV w:val="none"/>
              </w:tblBorders>
            </w:tblPr>
            <w:tblGrid>
              <w:gridCol w:w="233"/>
              <w:gridCol w:w="821"/>
              <w:gridCol w:w="807"/>
              <w:gridCol w:w="951"/>
            </w:tblGrid>
            <w:tr>
              <w:tc>
                <w:tcPr>
                  <w:tcW w:type="dxa" w:w="23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162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按课程类型，前后对应</w:t>
                  </w:r>
                </w:p>
              </w:tc>
              <w:tc>
                <w:tcPr>
                  <w:tcW w:type="dxa" w:w="95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知识（技能）点</w:t>
                  </w:r>
                </w:p>
              </w:tc>
            </w:tr>
            <w:tr>
              <w:tc>
                <w:tcPr>
                  <w:tcW w:type="dxa" w:w="233"/>
                  <w:vMerge/>
                  <w:tcBorders>
                    <w:top w:val="single" w:color="000000" w:sz="4"/>
                    <w:left w:val="single" w:color="000000" w:sz="4"/>
                    <w:bottom w:val="single" w:color="000000" w:sz="4"/>
                    <w:right w:val="single" w:color="000000" w:sz="4"/>
                  </w:tcBorders>
                </w:tcPr>
                <w:p/>
              </w:tc>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r>
                    <w:rPr>
                      <w:rFonts w:ascii="仿宋_GB2312" w:hAnsi="仿宋_GB2312" w:cs="仿宋_GB2312" w:eastAsia="仿宋_GB2312"/>
                      <w:sz w:val="20"/>
                    </w:rPr>
                    <w:t>/学习领域/章节</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w:t>
                  </w:r>
                  <w:r>
                    <w:rPr>
                      <w:rFonts w:ascii="仿宋_GB2312" w:hAnsi="仿宋_GB2312" w:cs="仿宋_GB2312" w:eastAsia="仿宋_GB2312"/>
                      <w:sz w:val="20"/>
                    </w:rPr>
                    <w:t>/学习情境/单元</w:t>
                  </w:r>
                </w:p>
              </w:tc>
              <w:tc>
                <w:tcPr>
                  <w:tcW w:type="dxa" w:w="951"/>
                  <w:vMerge/>
                  <w:tcBorders>
                    <w:top w:val="single" w:color="000000" w:sz="4"/>
                    <w:left w:val="single" w:color="000000" w:sz="4"/>
                    <w:bottom w:val="single" w:color="000000" w:sz="4"/>
                    <w:right w:val="single" w:color="000000" w:sz="4"/>
                  </w:tcBorders>
                </w:tc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项目一：智慧文旅数字化应用场景</w:t>
                  </w: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任务一：</w:t>
                  </w:r>
                  <w:r>
                    <w:rPr>
                      <w:rFonts w:ascii="仿宋_GB2312" w:hAnsi="仿宋_GB2312" w:cs="仿宋_GB2312" w:eastAsia="仿宋_GB2312"/>
                      <w:sz w:val="20"/>
                      <w:color w:val="000000"/>
                    </w:rPr>
                    <w:t>智慧文旅概述</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1.旅游资源数字化、智慧文旅概念与内涵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2.智慧文旅发展现状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3.智慧文旅核心支撑技术</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1"/>
                  <w:vMerge/>
                  <w:tcBorders>
                    <w:top w:val="none" w:color="000000" w:sz="4"/>
                    <w:left w:val="single" w:color="000000" w:sz="4"/>
                    <w:bottom w:val="single" w:color="000000" w:sz="4"/>
                    <w:right w:val="single" w:color="000000" w:sz="4"/>
                  </w:tcBorders>
                </w:tcP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任务二：智慧景区</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1.智慧景区概念与内涵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2.智慧景区管控平台</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3.智慧景区应用成效</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821"/>
                  <w:vMerge/>
                  <w:tcBorders>
                    <w:top w:val="none" w:color="000000" w:sz="4"/>
                    <w:left w:val="single" w:color="000000" w:sz="4"/>
                    <w:bottom w:val="single" w:color="000000" w:sz="4"/>
                    <w:right w:val="single" w:color="000000" w:sz="4"/>
                  </w:tcBorders>
                </w:tcP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任务三：智慧博物馆</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1.智慧博物馆概念与内涵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2.智慧博物馆管控平台</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3.智慧博物馆应用成效</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821"/>
                  <w:vMerge/>
                  <w:tcBorders>
                    <w:top w:val="none" w:color="000000" w:sz="4"/>
                    <w:left w:val="single" w:color="000000" w:sz="4"/>
                    <w:bottom w:val="single" w:color="000000" w:sz="4"/>
                    <w:right w:val="single" w:color="000000" w:sz="4"/>
                  </w:tcBorders>
                </w:tcP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任务四：智慧酒店</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1.智慧化酒店概念与内涵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2.智慧酒店管理系统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3.智慧酒店应用成效</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821"/>
                  <w:vMerge/>
                  <w:tcBorders>
                    <w:top w:val="none" w:color="000000" w:sz="4"/>
                    <w:left w:val="single" w:color="000000" w:sz="4"/>
                    <w:bottom w:val="single" w:color="000000" w:sz="4"/>
                    <w:right w:val="single" w:color="000000" w:sz="4"/>
                  </w:tcBorders>
                </w:tcP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任务五：线上旅行社</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1.线上旅行社概念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2.线上旅行社主要业务</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3.线上旅行社优势</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821"/>
                  <w:vMerge/>
                  <w:tcBorders>
                    <w:top w:val="none" w:color="000000" w:sz="4"/>
                    <w:left w:val="single" w:color="000000" w:sz="4"/>
                    <w:bottom w:val="single" w:color="000000" w:sz="4"/>
                    <w:right w:val="single" w:color="000000" w:sz="4"/>
                  </w:tcBorders>
                </w:tcP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任务六：智行出行</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1.智行出行概念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2.智行出行主流APP</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3.智行出行优势</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8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项目二：旅游大数据技术</w:t>
                  </w: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任务一：数据采集</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1.数据采集分类</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2.数据采集工具介绍</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3.数据采集实战</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821"/>
                  <w:vMerge/>
                  <w:tcBorders>
                    <w:top w:val="none" w:color="000000" w:sz="4"/>
                    <w:left w:val="single" w:color="000000" w:sz="4"/>
                    <w:bottom w:val="single" w:color="000000" w:sz="4"/>
                    <w:right w:val="single" w:color="000000" w:sz="4"/>
                  </w:tcBorders>
                </w:tcP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任务二：数据处理</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1.数据清洗</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2.数据去重</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3.数据转换和分类</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821"/>
                  <w:vMerge/>
                  <w:tcBorders>
                    <w:top w:val="none" w:color="000000" w:sz="4"/>
                    <w:left w:val="single" w:color="000000" w:sz="4"/>
                    <w:bottom w:val="single" w:color="000000" w:sz="4"/>
                    <w:right w:val="single" w:color="000000" w:sz="4"/>
                  </w:tcBorders>
                </w:tcP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任务三：数据分析</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1.聚类分析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2.关联分析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3.预测分析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821"/>
                  <w:vMerge/>
                  <w:tcBorders>
                    <w:top w:val="none" w:color="000000" w:sz="4"/>
                    <w:left w:val="single" w:color="000000" w:sz="4"/>
                    <w:bottom w:val="single" w:color="000000" w:sz="4"/>
                    <w:right w:val="single" w:color="000000" w:sz="4"/>
                  </w:tcBorders>
                </w:tcP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任务四：旅游数据可视化</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1.认知大数据可视化  </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2.数据可视化方法与工具</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3.数据</w:t>
                  </w:r>
                  <w:r>
                    <w:rPr>
                      <w:rFonts w:ascii="仿宋_GB2312" w:hAnsi="仿宋_GB2312" w:cs="仿宋_GB2312" w:eastAsia="仿宋_GB2312"/>
                      <w:sz w:val="20"/>
                      <w:color w:val="000000"/>
                    </w:rPr>
                    <w:t>可视化综合实战</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8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项目三：虚拟现实、人工智能技术</w:t>
                  </w: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任务一：</w:t>
                  </w:r>
                  <w:r>
                    <w:rPr>
                      <w:rFonts w:ascii="仿宋_GB2312" w:hAnsi="仿宋_GB2312" w:cs="仿宋_GB2312" w:eastAsia="仿宋_GB2312"/>
                      <w:sz w:val="20"/>
                      <w:color w:val="000000"/>
                    </w:rPr>
                    <w:t>AIGC文案创作</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1.文本创作基础</w:t>
                  </w:r>
                  <w:r>
                    <w:rPr>
                      <w:rFonts w:ascii="仿宋_GB2312" w:hAnsi="仿宋_GB2312" w:cs="仿宋_GB2312" w:eastAsia="仿宋_GB2312"/>
                      <w:sz w:val="20"/>
                      <w:color w:val="000000"/>
                    </w:rPr>
                    <w:t>技</w:t>
                  </w:r>
                  <w:r>
                    <w:rPr>
                      <w:rFonts w:ascii="仿宋_GB2312" w:hAnsi="仿宋_GB2312" w:cs="仿宋_GB2312" w:eastAsia="仿宋_GB2312"/>
                      <w:sz w:val="20"/>
                      <w:color w:val="000000"/>
                    </w:rPr>
                    <w:t>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AIGC</w:t>
                  </w:r>
                  <w:r>
                    <w:rPr>
                      <w:rFonts w:ascii="仿宋_GB2312" w:hAnsi="仿宋_GB2312" w:cs="仿宋_GB2312" w:eastAsia="仿宋_GB2312"/>
                      <w:sz w:val="20"/>
                    </w:rPr>
                    <w:t>创作社交媒体文案</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AIGC工具优化文本</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821"/>
                  <w:vMerge/>
                  <w:tcBorders>
                    <w:top w:val="none" w:color="000000" w:sz="4"/>
                    <w:left w:val="single" w:color="000000" w:sz="4"/>
                    <w:bottom w:val="single" w:color="000000" w:sz="4"/>
                    <w:right w:val="single" w:color="000000" w:sz="4"/>
                  </w:tcBorders>
                </w:tcP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任务二：</w:t>
                  </w:r>
                  <w:r>
                    <w:rPr>
                      <w:rFonts w:ascii="仿宋_GB2312" w:hAnsi="仿宋_GB2312" w:cs="仿宋_GB2312" w:eastAsia="仿宋_GB2312"/>
                      <w:sz w:val="20"/>
                    </w:rPr>
                    <w:t>AIGC图像创作</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图像创作基础技能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AIGC工具生成图像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3.AIGC工具优化图像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821"/>
                  <w:vMerge/>
                  <w:tcBorders>
                    <w:top w:val="none" w:color="000000" w:sz="4"/>
                    <w:left w:val="single" w:color="000000" w:sz="4"/>
                    <w:bottom w:val="single" w:color="000000" w:sz="4"/>
                    <w:right w:val="single" w:color="000000" w:sz="4"/>
                  </w:tcBorders>
                </w:tcP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任务三：</w:t>
                  </w:r>
                  <w:r>
                    <w:rPr>
                      <w:rFonts w:ascii="仿宋_GB2312" w:hAnsi="仿宋_GB2312" w:cs="仿宋_GB2312" w:eastAsia="仿宋_GB2312"/>
                      <w:sz w:val="20"/>
                    </w:rPr>
                    <w:t>AIGC音频</w:t>
                  </w:r>
                  <w:r>
                    <w:rPr>
                      <w:rFonts w:ascii="仿宋_GB2312" w:hAnsi="仿宋_GB2312" w:cs="仿宋_GB2312" w:eastAsia="仿宋_GB2312"/>
                      <w:sz w:val="20"/>
                    </w:rPr>
                    <w:t>、视频</w:t>
                  </w:r>
                  <w:r>
                    <w:rPr>
                      <w:rFonts w:ascii="仿宋_GB2312" w:hAnsi="仿宋_GB2312" w:cs="仿宋_GB2312" w:eastAsia="仿宋_GB2312"/>
                      <w:sz w:val="20"/>
                    </w:rPr>
                    <w:t>创作</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1.AIGC工具生成音频</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2.AIGC工具生成</w:t>
                  </w:r>
                  <w:r>
                    <w:rPr>
                      <w:rFonts w:ascii="仿宋_GB2312" w:hAnsi="仿宋_GB2312" w:cs="仿宋_GB2312" w:eastAsia="仿宋_GB2312"/>
                      <w:sz w:val="20"/>
                    </w:rPr>
                    <w:t>视</w:t>
                  </w:r>
                  <w:r>
                    <w:rPr>
                      <w:rFonts w:ascii="仿宋_GB2312" w:hAnsi="仿宋_GB2312" w:cs="仿宋_GB2312" w:eastAsia="仿宋_GB2312"/>
                      <w:sz w:val="20"/>
                    </w:rPr>
                    <w:t>频</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3.AIGC工具优化视频</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8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项目四：旅游数字营销技术</w:t>
                  </w:r>
                </w:p>
                <w:p>
                  <w:pPr>
                    <w:pStyle w:val="null3"/>
                    <w:jc w:val="center"/>
                  </w:pP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任务一：游客行为画像</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1.游客基本特征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2.旅游出行偏好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3.APP使用偏好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821"/>
                  <w:vMerge/>
                  <w:tcBorders>
                    <w:top w:val="none" w:color="000000" w:sz="4"/>
                    <w:left w:val="single" w:color="000000" w:sz="4"/>
                    <w:bottom w:val="single" w:color="000000" w:sz="4"/>
                    <w:right w:val="single" w:color="000000" w:sz="4"/>
                  </w:tcBorders>
                </w:tcP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任务二：游客消费画像</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1.旅游客流统计</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2.旅游消费分类分析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3.旅游产品价格策略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821"/>
                  <w:vMerge/>
                  <w:tcBorders>
                    <w:top w:val="none" w:color="000000" w:sz="4"/>
                    <w:left w:val="single" w:color="000000" w:sz="4"/>
                    <w:bottom w:val="single" w:color="000000" w:sz="4"/>
                    <w:right w:val="single" w:color="000000" w:sz="4"/>
                  </w:tcBorders>
                </w:tcP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任务三：旅游需求预测</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1.基于大数据的旅游市场趋势预测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2.基于大数据的旅游活动效果预测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821"/>
                  <w:vMerge/>
                  <w:tcBorders>
                    <w:top w:val="none" w:color="000000" w:sz="4"/>
                    <w:left w:val="single" w:color="000000" w:sz="4"/>
                    <w:bottom w:val="single" w:color="000000" w:sz="4"/>
                    <w:right w:val="single" w:color="000000" w:sz="4"/>
                  </w:tcBorders>
                </w:tcP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任务四：数字文旅消费新趋势</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1.文旅主播、直播带货</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2.文创产品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8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项目五：旅游数字服务技术</w:t>
                  </w: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任务一：基于大数据的游前服务</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1.智能推荐与个性化服务</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2.行程规划与优化</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821"/>
                  <w:vMerge/>
                  <w:tcBorders>
                    <w:top w:val="none" w:color="000000" w:sz="4"/>
                    <w:left w:val="single" w:color="000000" w:sz="4"/>
                    <w:bottom w:val="single" w:color="000000" w:sz="4"/>
                    <w:right w:val="single" w:color="000000" w:sz="4"/>
                  </w:tcBorders>
                </w:tcP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任务二：基于大数据和</w:t>
                  </w:r>
                  <w:r>
                    <w:rPr>
                      <w:rFonts w:ascii="仿宋_GB2312" w:hAnsi="仿宋_GB2312" w:cs="仿宋_GB2312" w:eastAsia="仿宋_GB2312"/>
                      <w:sz w:val="20"/>
                      <w:color w:val="000000"/>
                    </w:rPr>
                    <w:t>AI的游中服务</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1.智能导览导航</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2.动态客流管理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3.个性化服务推荐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821"/>
                  <w:vMerge/>
                  <w:tcBorders>
                    <w:top w:val="none" w:color="000000" w:sz="4"/>
                    <w:left w:val="single" w:color="000000" w:sz="4"/>
                    <w:bottom w:val="single" w:color="000000" w:sz="4"/>
                    <w:right w:val="single" w:color="000000" w:sz="4"/>
                  </w:tcBorders>
                </w:tcP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任务三：基于口碑大数据的游后反馈服务</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1.旅游监测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821"/>
                  <w:vMerge/>
                  <w:tcBorders>
                    <w:top w:val="none" w:color="000000" w:sz="4"/>
                    <w:left w:val="single" w:color="000000" w:sz="4"/>
                    <w:bottom w:val="single" w:color="000000" w:sz="4"/>
                    <w:right w:val="singl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2.游客满意度分析</w:t>
                  </w:r>
                </w:p>
              </w:tc>
            </w:tr>
          </w:tbl>
          <w:p>
            <w:pPr>
              <w:pStyle w:val="null3"/>
              <w:jc w:val="both"/>
            </w:pPr>
            <w:r>
              <w:rPr>
                <w:rFonts w:ascii="仿宋_GB2312" w:hAnsi="仿宋_GB2312" w:cs="仿宋_GB2312" w:eastAsia="仿宋_GB2312"/>
                <w:sz w:val="20"/>
                <w:b/>
              </w:rPr>
              <w:t>三、《融媒体内容制作》</w:t>
            </w:r>
          </w:p>
          <w:p>
            <w:pPr>
              <w:pStyle w:val="null3"/>
              <w:jc w:val="both"/>
            </w:pPr>
            <w:r>
              <w:rPr>
                <w:rFonts w:ascii="仿宋_GB2312" w:hAnsi="仿宋_GB2312" w:cs="仿宋_GB2312" w:eastAsia="仿宋_GB2312"/>
                <w:sz w:val="20"/>
              </w:rPr>
              <w:t>（一）《融媒体内容制作》课程录制</w:t>
            </w:r>
            <w:r>
              <w:rPr>
                <w:rFonts w:ascii="仿宋_GB2312" w:hAnsi="仿宋_GB2312" w:cs="仿宋_GB2312" w:eastAsia="仿宋_GB2312"/>
                <w:sz w:val="20"/>
              </w:rPr>
              <w:t>59个微课</w:t>
            </w:r>
          </w:p>
          <w:tbl>
            <w:tblPr>
              <w:tblBorders>
                <w:top w:val="none" w:color="000000" w:sz="4"/>
                <w:left w:val="none" w:color="000000" w:sz="4"/>
                <w:bottom w:val="none" w:color="000000" w:sz="4"/>
                <w:right w:val="none" w:color="000000" w:sz="4"/>
                <w:insideH w:val="none"/>
                <w:insideV w:val="none"/>
              </w:tblBorders>
            </w:tblPr>
            <w:tblGrid>
              <w:gridCol w:w="233"/>
              <w:gridCol w:w="556"/>
              <w:gridCol w:w="973"/>
              <w:gridCol w:w="1045"/>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学习情景</w:t>
                  </w:r>
                </w:p>
              </w:tc>
              <w:tc>
                <w:tcPr>
                  <w:tcW w:type="dxa" w:w="9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节名</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知识</w:t>
                  </w:r>
                  <w:r>
                    <w:rPr>
                      <w:rFonts w:ascii="仿宋_GB2312" w:hAnsi="仿宋_GB2312" w:cs="仿宋_GB2312" w:eastAsia="仿宋_GB2312"/>
                      <w:sz w:val="21"/>
                      <w:b/>
                    </w:rPr>
                    <w:t>（技能）</w:t>
                  </w:r>
                  <w:r>
                    <w:rPr>
                      <w:rFonts w:ascii="仿宋_GB2312" w:hAnsi="仿宋_GB2312" w:cs="仿宋_GB2312" w:eastAsia="仿宋_GB2312"/>
                      <w:sz w:val="21"/>
                      <w:b/>
                    </w:rPr>
                    <w:t>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融媒体传播与平台制作</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1.融媒体传播与平台制作</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导学：开启融媒体内容创作之旅</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什么是融媒体？</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主流融媒体平台生态解析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2.平台制作</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模板绘制及使用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快速完成完整</w:t>
                  </w:r>
                  <w:r>
                    <w:rPr>
                      <w:rFonts w:ascii="仿宋_GB2312" w:hAnsi="仿宋_GB2312" w:cs="仿宋_GB2312" w:eastAsia="仿宋_GB2312"/>
                      <w:sz w:val="21"/>
                    </w:rPr>
                    <w:t>H5作品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AI素材生成与编辑</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1.简单作品绘制</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绘图工具组的使用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2.图形属性设置</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图形属性设置及排布组合</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图片元素高级处理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图形绘制案例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3.AI辅助素材生成</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文生图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对图片的处理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AI生成短视频素材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短视频素材编辑与处理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动画设计</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1.预置动画</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预置动画设置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2.进度动画</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时间线、帧及进度动画</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3.变形动画</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文字变形动画设置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17</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图形变形动画设置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4.路径动画</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路径动画设置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5.关键帧动画</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关键帧动画设置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6.遮罩动画</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遮罩动画原理与制作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21</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遮罩动画特效应用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22</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7.动画应用案例</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《千年一壶酒》项目动画制作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23</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加载页动画制作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元件动画制作与运用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《陶壶的自白》项目动画制作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长图动画制作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27</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结尾页面制作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28</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交互行为设置</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1.元件交互行为概述</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按钮控制动画交互</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29</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手指滑动控制动画交互</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拖动对比交互</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31</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2.关键帧交互行为设计</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关键帧交互</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元素的显示与隐藏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33</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3.按钮交互行为设计</w:t>
                  </w:r>
                </w:p>
                <w:p>
                  <w:pPr>
                    <w:pStyle w:val="null3"/>
                    <w:jc w:val="left"/>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按钮元件详解</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34</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为按钮添加点击交互</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拖拽设置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页面跳转</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37</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对声音的播放与暂停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38</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对视频的播放与暂停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39</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按钮动画的控制及应用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40</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应用案例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41</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关联与表单</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1.关联</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舞台动画关联</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元件动画关</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43</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公式关联</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44</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自定义表单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获取用户数据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多种表达式的写法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47</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2.实战案例</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升旗动画设置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48</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接接乐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49</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拼图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AI 工具辅助创作项目实战</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1.AI素材生成</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绘制作品原型图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51</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页面设计构思</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AI生成短视频素材编辑</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53</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AI辅助文案生成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54</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2.案例制作</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陶壶的家族谱系制作</w:t>
                  </w:r>
                  <w:r>
                    <w:rPr>
                      <w:rFonts w:ascii="仿宋_GB2312" w:hAnsi="仿宋_GB2312" w:cs="仿宋_GB2312" w:eastAsia="仿宋_GB2312"/>
                      <w:sz w:val="21"/>
                    </w:rPr>
                    <w:t>1</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陶壶的家族谱系制作</w:t>
                  </w:r>
                  <w:r>
                    <w:rPr>
                      <w:rFonts w:ascii="仿宋_GB2312" w:hAnsi="仿宋_GB2312" w:cs="仿宋_GB2312" w:eastAsia="仿宋_GB2312"/>
                      <w:sz w:val="21"/>
                    </w:rPr>
                    <w:t>2</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陶壶的家族谱系制作</w:t>
                  </w:r>
                  <w:r>
                    <w:rPr>
                      <w:rFonts w:ascii="仿宋_GB2312" w:hAnsi="仿宋_GB2312" w:cs="仿宋_GB2312" w:eastAsia="仿宋_GB2312"/>
                      <w:sz w:val="21"/>
                    </w:rPr>
                    <w:t>3</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57</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陶壶的家族谱系制作</w:t>
                  </w:r>
                  <w:r>
                    <w:rPr>
                      <w:rFonts w:ascii="仿宋_GB2312" w:hAnsi="仿宋_GB2312" w:cs="仿宋_GB2312" w:eastAsia="仿宋_GB2312"/>
                      <w:sz w:val="21"/>
                    </w:rPr>
                    <w:t>4</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58</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案例解析与行业标准解读</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1.案例解析与行业标准解读</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《陶壶千年唤醒之旅》</w:t>
                  </w:r>
                  <w:r>
                    <w:rPr>
                      <w:rFonts w:ascii="仿宋_GB2312" w:hAnsi="仿宋_GB2312" w:cs="仿宋_GB2312" w:eastAsia="仿宋_GB2312"/>
                      <w:sz w:val="21"/>
                    </w:rPr>
                    <w:t>H5的设计解析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59</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行业标准解读</w:t>
                  </w:r>
                </w:p>
              </w:tc>
            </w:tr>
          </w:tbl>
          <w:p>
            <w:pPr>
              <w:pStyle w:val="null3"/>
              <w:jc w:val="left"/>
            </w:pPr>
            <w:r>
              <w:rPr>
                <w:rFonts w:ascii="仿宋_GB2312" w:hAnsi="仿宋_GB2312" w:cs="仿宋_GB2312" w:eastAsia="仿宋_GB2312"/>
                <w:sz w:val="20"/>
                <w:b/>
              </w:rPr>
              <w:t>四、</w:t>
            </w:r>
            <w:r>
              <w:rPr>
                <w:rFonts w:ascii="仿宋_GB2312" w:hAnsi="仿宋_GB2312" w:cs="仿宋_GB2312" w:eastAsia="仿宋_GB2312"/>
                <w:sz w:val="20"/>
                <w:b/>
              </w:rPr>
              <w:t>《定制旅行产品设计与运营》</w:t>
            </w:r>
          </w:p>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《定制旅行产品设计与运营》课程录制</w:t>
            </w:r>
            <w:r>
              <w:rPr>
                <w:rFonts w:ascii="仿宋_GB2312" w:hAnsi="仿宋_GB2312" w:cs="仿宋_GB2312" w:eastAsia="仿宋_GB2312"/>
                <w:sz w:val="20"/>
              </w:rPr>
              <w:t>56个微课</w:t>
            </w:r>
          </w:p>
          <w:tbl>
            <w:tblPr>
              <w:tblBorders>
                <w:top w:val="none" w:color="000000" w:sz="4"/>
                <w:left w:val="none" w:color="000000" w:sz="4"/>
                <w:bottom w:val="none" w:color="000000" w:sz="4"/>
                <w:right w:val="none" w:color="000000" w:sz="4"/>
                <w:insideH w:val="none"/>
                <w:insideV w:val="none"/>
              </w:tblBorders>
            </w:tblPr>
            <w:tblGrid>
              <w:gridCol w:w="236"/>
              <w:gridCol w:w="518"/>
              <w:gridCol w:w="795"/>
              <w:gridCol w:w="1260"/>
            </w:tblGrid>
            <w:tr>
              <w:tc>
                <w:tcPr>
                  <w:tcW w:type="dxa" w:w="23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51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学习情景</w:t>
                  </w:r>
                </w:p>
              </w:tc>
              <w:tc>
                <w:tcPr>
                  <w:tcW w:type="dxa" w:w="7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节名</w:t>
                  </w:r>
                </w:p>
              </w:tc>
              <w:tc>
                <w:tcPr>
                  <w:tcW w:type="dxa" w:w="12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知识</w:t>
                  </w:r>
                  <w:r>
                    <w:rPr>
                      <w:rFonts w:ascii="仿宋_GB2312" w:hAnsi="仿宋_GB2312" w:cs="仿宋_GB2312" w:eastAsia="仿宋_GB2312"/>
                      <w:sz w:val="20"/>
                      <w:color w:val="000000"/>
                    </w:rPr>
                    <w:t>（技能）</w:t>
                  </w:r>
                  <w:r>
                    <w:rPr>
                      <w:rFonts w:ascii="仿宋_GB2312" w:hAnsi="仿宋_GB2312" w:cs="仿宋_GB2312" w:eastAsia="仿宋_GB2312"/>
                      <w:sz w:val="20"/>
                      <w:color w:val="000000"/>
                    </w:rPr>
                    <w:t>点</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项目一</w:t>
                  </w:r>
                  <w:r>
                    <w:rPr>
                      <w:rFonts w:ascii="仿宋_GB2312" w:hAnsi="仿宋_GB2312" w:cs="仿宋_GB2312" w:eastAsia="仿宋_GB2312"/>
                      <w:sz w:val="20"/>
                      <w:color w:val="000000"/>
                    </w:rPr>
                    <w:t>定制旅行服务概述</w:t>
                  </w:r>
                </w:p>
              </w:tc>
              <w:tc>
                <w:tcPr>
                  <w:tcW w:type="dxa" w:w="79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任务一</w:t>
                  </w:r>
                </w:p>
                <w:p>
                  <w:pPr>
                    <w:pStyle w:val="null3"/>
                    <w:jc w:val="center"/>
                  </w:pPr>
                  <w:r>
                    <w:rPr>
                      <w:rFonts w:ascii="仿宋_GB2312" w:hAnsi="仿宋_GB2312" w:cs="仿宋_GB2312" w:eastAsia="仿宋_GB2312"/>
                      <w:sz w:val="20"/>
                      <w:color w:val="000000"/>
                    </w:rPr>
                    <w:t>定制旅行服务概述</w:t>
                  </w: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定制旅行产生背景与现状</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定制旅行概念、类型，与传统旅行区别</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定制旅行服务要求</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定制旅行服务概念、特点</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8"/>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任务二</w:t>
                  </w:r>
                  <w:r>
                    <w:rPr>
                      <w:rFonts w:ascii="仿宋_GB2312" w:hAnsi="仿宋_GB2312" w:cs="仿宋_GB2312" w:eastAsia="仿宋_GB2312"/>
                      <w:sz w:val="20"/>
                      <w:color w:val="000000"/>
                    </w:rPr>
                    <w:t>定制师基本要求</w:t>
                  </w: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定制师概述、服务素养</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项目二</w:t>
                  </w:r>
                </w:p>
                <w:p>
                  <w:pPr>
                    <w:pStyle w:val="null3"/>
                    <w:jc w:val="center"/>
                  </w:pPr>
                  <w:r>
                    <w:rPr>
                      <w:rFonts w:ascii="仿宋_GB2312" w:hAnsi="仿宋_GB2312" w:cs="仿宋_GB2312" w:eastAsia="仿宋_GB2312"/>
                      <w:sz w:val="20"/>
                      <w:color w:val="000000"/>
                    </w:rPr>
                    <w:t>定制旅行行前服务与执行</w:t>
                  </w:r>
                </w:p>
              </w:tc>
              <w:tc>
                <w:tcPr>
                  <w:tcW w:type="dxa" w:w="79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任务一</w:t>
                  </w:r>
                </w:p>
                <w:p>
                  <w:pPr>
                    <w:pStyle w:val="null3"/>
                    <w:jc w:val="center"/>
                  </w:pPr>
                  <w:r>
                    <w:rPr>
                      <w:rFonts w:ascii="仿宋_GB2312" w:hAnsi="仿宋_GB2312" w:cs="仿宋_GB2312" w:eastAsia="仿宋_GB2312"/>
                      <w:sz w:val="20"/>
                      <w:color w:val="000000"/>
                    </w:rPr>
                    <w:t>定制方案设计沟通</w:t>
                  </w: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首呼落单呼出电话</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首呼落单完善需求单</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判断客户类型</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调整需求</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寻找产品资源</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8"/>
                  <w:vMerge/>
                  <w:tcBorders>
                    <w:top w:val="none" w:color="000000" w:sz="4"/>
                    <w:left w:val="none" w:color="000000" w:sz="4"/>
                    <w:bottom w:val="single" w:color="000000" w:sz="4"/>
                    <w:right w:val="single" w:color="000000" w:sz="4"/>
                  </w:tcBorders>
                </w:tcPr>
                <w:p/>
              </w:tc>
              <w:tc>
                <w:tcPr>
                  <w:tcW w:type="dxa" w:w="79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任务二</w:t>
                  </w:r>
                </w:p>
                <w:p>
                  <w:pPr>
                    <w:pStyle w:val="null3"/>
                    <w:jc w:val="center"/>
                  </w:pPr>
                  <w:r>
                    <w:rPr>
                      <w:rFonts w:ascii="仿宋_GB2312" w:hAnsi="仿宋_GB2312" w:cs="仿宋_GB2312" w:eastAsia="仿宋_GB2312"/>
                      <w:sz w:val="20"/>
                      <w:color w:val="000000"/>
                    </w:rPr>
                    <w:t>定制旅行方案设计</w:t>
                  </w: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标题设计</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行程特色与亮点设计</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景区及购物设计（一）</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景区及购物设计（二）</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交通设计</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酒店及餐厅设计（一）</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酒店及餐厅设计（二）</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体验活动设计</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体验活动设计经典案例</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宴会设计</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宴会设计经典案例</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团建活动设计</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团建活动经典案例</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组合产品资源</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注意事项</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寻根祭祖定制旅行产品设计（一）</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AI赋能寻根祭祖定制旅行产品设计</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丝绸之路定制旅行产品设计（一）</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AI赋能丝绸之路定制旅行产品设计</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长征之行定制旅行产品设计（一）</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AI赋能长征之行定制旅行产品设计</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非遗之旅定制旅行产品设计（一）</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AI赋能非遗之旅定制旅行产品设计</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研学定制旅游产品设计（一）</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AI赋能研学定制旅游产品设计</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518"/>
                  <w:vMerge/>
                  <w:tcBorders>
                    <w:top w:val="none" w:color="000000" w:sz="4"/>
                    <w:left w:val="none" w:color="000000" w:sz="4"/>
                    <w:bottom w:val="single" w:color="000000" w:sz="4"/>
                    <w:right w:val="single" w:color="000000" w:sz="4"/>
                  </w:tcBorders>
                </w:tcPr>
                <w:p/>
              </w:tc>
              <w:tc>
                <w:tcPr>
                  <w:tcW w:type="dxa" w:w="79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任务三</w:t>
                  </w:r>
                </w:p>
                <w:p>
                  <w:pPr>
                    <w:pStyle w:val="null3"/>
                    <w:jc w:val="center"/>
                  </w:pPr>
                  <w:r>
                    <w:rPr>
                      <w:rFonts w:ascii="仿宋_GB2312" w:hAnsi="仿宋_GB2312" w:cs="仿宋_GB2312" w:eastAsia="仿宋_GB2312"/>
                      <w:sz w:val="20"/>
                      <w:color w:val="000000"/>
                    </w:rPr>
                    <w:t>定制旅行服务预订操作</w:t>
                  </w: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行程报价</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可视化呈现</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518"/>
                  <w:vMerge/>
                  <w:tcBorders>
                    <w:top w:val="none" w:color="000000" w:sz="4"/>
                    <w:left w:val="none" w:color="000000" w:sz="4"/>
                    <w:bottom w:val="single" w:color="000000" w:sz="4"/>
                    <w:right w:val="single" w:color="000000" w:sz="4"/>
                  </w:tcBorders>
                </w:tcPr>
                <w:p/>
              </w:tc>
              <w:tc>
                <w:tcPr>
                  <w:tcW w:type="dxa" w:w="79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任务四</w:t>
                  </w:r>
                </w:p>
                <w:p>
                  <w:pPr>
                    <w:pStyle w:val="null3"/>
                    <w:jc w:val="center"/>
                  </w:pPr>
                  <w:r>
                    <w:rPr>
                      <w:rFonts w:ascii="仿宋_GB2312" w:hAnsi="仿宋_GB2312" w:cs="仿宋_GB2312" w:eastAsia="仿宋_GB2312"/>
                      <w:sz w:val="20"/>
                      <w:color w:val="000000"/>
                    </w:rPr>
                    <w:t>定制旅行产品完善</w:t>
                  </w: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解读产品方案</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调整产品方案</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51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项目三</w:t>
                  </w:r>
                </w:p>
                <w:p>
                  <w:pPr>
                    <w:pStyle w:val="null3"/>
                    <w:jc w:val="center"/>
                  </w:pPr>
                  <w:r>
                    <w:rPr>
                      <w:rFonts w:ascii="仿宋_GB2312" w:hAnsi="仿宋_GB2312" w:cs="仿宋_GB2312" w:eastAsia="仿宋_GB2312"/>
                      <w:sz w:val="20"/>
                      <w:color w:val="000000"/>
                    </w:rPr>
                    <w:t>定制旅行行中服务与执行</w:t>
                  </w:r>
                </w:p>
              </w:tc>
              <w:tc>
                <w:tcPr>
                  <w:tcW w:type="dxa" w:w="79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任务一</w:t>
                  </w:r>
                </w:p>
                <w:p>
                  <w:pPr>
                    <w:pStyle w:val="null3"/>
                    <w:jc w:val="center"/>
                  </w:pPr>
                  <w:r>
                    <w:rPr>
                      <w:rFonts w:ascii="仿宋_GB2312" w:hAnsi="仿宋_GB2312" w:cs="仿宋_GB2312" w:eastAsia="仿宋_GB2312"/>
                      <w:sz w:val="20"/>
                      <w:color w:val="000000"/>
                    </w:rPr>
                    <w:t>行中服务流程</w:t>
                  </w: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服务流程（一）</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服务流程（二）</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服务流程（三）</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518"/>
                  <w:vMerge/>
                  <w:tcBorders>
                    <w:top w:val="none" w:color="000000" w:sz="4"/>
                    <w:left w:val="none" w:color="000000" w:sz="4"/>
                    <w:bottom w:val="single" w:color="000000" w:sz="4"/>
                    <w:right w:val="single" w:color="000000" w:sz="4"/>
                  </w:tcBorders>
                </w:tcPr>
                <w:p/>
              </w:tc>
              <w:tc>
                <w:tcPr>
                  <w:tcW w:type="dxa" w:w="79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任务二</w:t>
                  </w:r>
                </w:p>
                <w:p>
                  <w:pPr>
                    <w:pStyle w:val="null3"/>
                    <w:jc w:val="center"/>
                  </w:pPr>
                  <w:r>
                    <w:rPr>
                      <w:rFonts w:ascii="仿宋_GB2312" w:hAnsi="仿宋_GB2312" w:cs="仿宋_GB2312" w:eastAsia="仿宋_GB2312"/>
                      <w:sz w:val="20"/>
                      <w:color w:val="000000"/>
                    </w:rPr>
                    <w:t>行中服务要求与技能</w:t>
                  </w: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服务要求</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服务技能</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个性化服务技能</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518"/>
                  <w:vMerge/>
                  <w:tcBorders>
                    <w:top w:val="none" w:color="000000" w:sz="4"/>
                    <w:left w:val="none" w:color="000000" w:sz="4"/>
                    <w:bottom w:val="single" w:color="000000" w:sz="4"/>
                    <w:right w:val="single" w:color="000000" w:sz="4"/>
                  </w:tcBorders>
                </w:tcPr>
                <w:p/>
              </w:tc>
              <w:tc>
                <w:tcPr>
                  <w:tcW w:type="dxa" w:w="79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任务三</w:t>
                  </w:r>
                </w:p>
                <w:p>
                  <w:pPr>
                    <w:pStyle w:val="null3"/>
                    <w:jc w:val="center"/>
                  </w:pPr>
                  <w:r>
                    <w:rPr>
                      <w:rFonts w:ascii="仿宋_GB2312" w:hAnsi="仿宋_GB2312" w:cs="仿宋_GB2312" w:eastAsia="仿宋_GB2312"/>
                      <w:sz w:val="20"/>
                      <w:color w:val="000000"/>
                    </w:rPr>
                    <w:t>行中供应商管理</w:t>
                  </w: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供应商选择</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供应商管理</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518"/>
                  <w:vMerge/>
                  <w:tcBorders>
                    <w:top w:val="none" w:color="000000" w:sz="4"/>
                    <w:left w:val="none" w:color="000000" w:sz="4"/>
                    <w:bottom w:val="single" w:color="000000" w:sz="4"/>
                    <w:right w:val="single" w:color="000000" w:sz="4"/>
                  </w:tcBorders>
                </w:tcPr>
                <w:p/>
              </w:tc>
              <w:tc>
                <w:tcPr>
                  <w:tcW w:type="dxa" w:w="79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任务四</w:t>
                  </w:r>
                </w:p>
                <w:p>
                  <w:pPr>
                    <w:pStyle w:val="null3"/>
                    <w:jc w:val="center"/>
                  </w:pPr>
                  <w:r>
                    <w:rPr>
                      <w:rFonts w:ascii="仿宋_GB2312" w:hAnsi="仿宋_GB2312" w:cs="仿宋_GB2312" w:eastAsia="仿宋_GB2312"/>
                      <w:sz w:val="20"/>
                      <w:color w:val="000000"/>
                    </w:rPr>
                    <w:t>行中应急与安全管理</w:t>
                  </w: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行中应急与安全管理要点</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突发事故处理（一）</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突发事故处理（二）</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51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项目四</w:t>
                  </w:r>
                </w:p>
                <w:p>
                  <w:pPr>
                    <w:pStyle w:val="null3"/>
                    <w:jc w:val="center"/>
                  </w:pPr>
                  <w:r>
                    <w:rPr>
                      <w:rFonts w:ascii="仿宋_GB2312" w:hAnsi="仿宋_GB2312" w:cs="仿宋_GB2312" w:eastAsia="仿宋_GB2312"/>
                      <w:sz w:val="20"/>
                      <w:color w:val="000000"/>
                    </w:rPr>
                    <w:t>定制旅行行后服务与执行</w:t>
                  </w:r>
                </w:p>
              </w:tc>
              <w:tc>
                <w:tcPr>
                  <w:tcW w:type="dxa" w:w="7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任务一</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退款操作与发票开具</w:t>
                  </w: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退款操作与发票开具流程、注意事项</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518"/>
                  <w:vMerge/>
                  <w:tcBorders>
                    <w:top w:val="none" w:color="000000" w:sz="4"/>
                    <w:left w:val="none" w:color="000000" w:sz="4"/>
                    <w:bottom w:val="single" w:color="000000" w:sz="4"/>
                    <w:right w:val="single" w:color="000000" w:sz="4"/>
                  </w:tcBorders>
                </w:tcPr>
                <w:p/>
              </w:tc>
              <w:tc>
                <w:tcPr>
                  <w:tcW w:type="dxa" w:w="79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任务二</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定制旅行客户管理</w:t>
                  </w: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客户管理与关怀</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客户评价</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518"/>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c>
                <w:tcPr>
                  <w:tcW w:type="dxa" w:w="1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客户意见和投诉</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51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项目五</w:t>
                  </w:r>
                </w:p>
                <w:p>
                  <w:pPr>
                    <w:pStyle w:val="null3"/>
                    <w:jc w:val="center"/>
                  </w:pPr>
                  <w:r>
                    <w:rPr>
                      <w:rFonts w:ascii="仿宋_GB2312" w:hAnsi="仿宋_GB2312" w:cs="仿宋_GB2312" w:eastAsia="仿宋_GB2312"/>
                      <w:sz w:val="20"/>
                      <w:color w:val="000000"/>
                    </w:rPr>
                    <w:t>企业前沿</w:t>
                  </w: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任务一</w:t>
                  </w:r>
                  <w:r>
                    <w:rPr>
                      <w:rFonts w:ascii="仿宋_GB2312" w:hAnsi="仿宋_GB2312" w:cs="仿宋_GB2312" w:eastAsia="仿宋_GB2312"/>
                      <w:sz w:val="20"/>
                      <w:color w:val="000000"/>
                    </w:rPr>
                    <w:t>定制旅行的发展趋势和前景</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518"/>
                  <w:vMerge/>
                  <w:tcBorders>
                    <w:top w:val="none" w:color="000000" w:sz="4"/>
                    <w:left w:val="none" w:color="000000" w:sz="4"/>
                    <w:bottom w:val="single" w:color="000000" w:sz="4"/>
                    <w:right w:val="single" w:color="000000" w:sz="4"/>
                  </w:tcBorders>
                </w:tcP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任务一</w:t>
                  </w:r>
                  <w:r>
                    <w:rPr>
                      <w:rFonts w:ascii="仿宋_GB2312" w:hAnsi="仿宋_GB2312" w:cs="仿宋_GB2312" w:eastAsia="仿宋_GB2312"/>
                      <w:sz w:val="20"/>
                      <w:color w:val="000000"/>
                    </w:rPr>
                    <w:t>定制旅行师与导游不同之处与个性化服务</w:t>
                  </w:r>
                </w:p>
              </w:tc>
            </w:tr>
            <w:tr>
              <w:tc>
                <w:tcPr>
                  <w:tcW w:type="dxa" w:w="2809"/>
                  <w:gridSpan w:val="4"/>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00"/>
                    </w:rPr>
                    <w:t>（二）《定制旅行产品设计与运营》</w:t>
                  </w:r>
                  <w:r>
                    <w:rPr>
                      <w:rFonts w:ascii="仿宋_GB2312" w:hAnsi="仿宋_GB2312" w:cs="仿宋_GB2312" w:eastAsia="仿宋_GB2312"/>
                      <w:sz w:val="20"/>
                    </w:rPr>
                    <w:t>课程录制</w:t>
                  </w:r>
                  <w:r>
                    <w:rPr>
                      <w:rFonts w:ascii="仿宋_GB2312" w:hAnsi="仿宋_GB2312" w:cs="仿宋_GB2312" w:eastAsia="仿宋_GB2312"/>
                      <w:sz w:val="20"/>
                    </w:rPr>
                    <w:t>20个动画</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51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w:t>
                  </w:r>
                </w:p>
              </w:tc>
              <w:tc>
                <w:tcPr>
                  <w:tcW w:type="dxa" w:w="2055"/>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内容</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项目二</w:t>
                  </w:r>
                </w:p>
                <w:p>
                  <w:pPr>
                    <w:pStyle w:val="null3"/>
                    <w:jc w:val="center"/>
                  </w:pPr>
                  <w:r>
                    <w:rPr>
                      <w:rFonts w:ascii="仿宋_GB2312" w:hAnsi="仿宋_GB2312" w:cs="仿宋_GB2312" w:eastAsia="仿宋_GB2312"/>
                      <w:sz w:val="20"/>
                      <w:color w:val="000000"/>
                    </w:rPr>
                    <w:t>定制旅行行前服务与执行</w:t>
                  </w: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首呼落单呼出电话</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8"/>
                  <w:vMerge/>
                  <w:tcBorders>
                    <w:top w:val="none" w:color="000000" w:sz="4"/>
                    <w:left w:val="none" w:color="000000" w:sz="4"/>
                    <w:bottom w:val="single" w:color="000000" w:sz="4"/>
                    <w:right w:val="single" w:color="000000" w:sz="4"/>
                  </w:tcBorders>
                </w:tcP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首呼落单完善需求单</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8"/>
                  <w:vMerge/>
                  <w:tcBorders>
                    <w:top w:val="none" w:color="000000" w:sz="4"/>
                    <w:left w:val="none" w:color="000000" w:sz="4"/>
                    <w:bottom w:val="single" w:color="000000" w:sz="4"/>
                    <w:right w:val="single" w:color="000000" w:sz="4"/>
                  </w:tcBorders>
                </w:tcP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判断客户类型</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8"/>
                  <w:vMerge/>
                  <w:tcBorders>
                    <w:top w:val="none" w:color="000000" w:sz="4"/>
                    <w:left w:val="none" w:color="000000" w:sz="4"/>
                    <w:bottom w:val="single" w:color="000000" w:sz="4"/>
                    <w:right w:val="single" w:color="000000" w:sz="4"/>
                  </w:tcBorders>
                </w:tcP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调整需求</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8"/>
                  <w:vMerge/>
                  <w:tcBorders>
                    <w:top w:val="none" w:color="000000" w:sz="4"/>
                    <w:left w:val="none" w:color="000000" w:sz="4"/>
                    <w:bottom w:val="single" w:color="000000" w:sz="4"/>
                    <w:right w:val="single" w:color="000000" w:sz="4"/>
                  </w:tcBorders>
                </w:tcP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寻找产品资源</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8"/>
                  <w:vMerge/>
                  <w:tcBorders>
                    <w:top w:val="none" w:color="000000" w:sz="4"/>
                    <w:left w:val="none" w:color="000000" w:sz="4"/>
                    <w:bottom w:val="single" w:color="000000" w:sz="4"/>
                    <w:right w:val="single" w:color="000000" w:sz="4"/>
                  </w:tcBorders>
                </w:tcP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行程特色与亮点设计</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8"/>
                  <w:vMerge/>
                  <w:tcBorders>
                    <w:top w:val="none" w:color="000000" w:sz="4"/>
                    <w:left w:val="none" w:color="000000" w:sz="4"/>
                    <w:bottom w:val="single" w:color="000000" w:sz="4"/>
                    <w:right w:val="single" w:color="000000" w:sz="4"/>
                  </w:tcBorders>
                </w:tcP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景区及购物设计</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8"/>
                  <w:vMerge/>
                  <w:tcBorders>
                    <w:top w:val="none" w:color="000000" w:sz="4"/>
                    <w:left w:val="none" w:color="000000" w:sz="4"/>
                    <w:bottom w:val="single" w:color="000000" w:sz="4"/>
                    <w:right w:val="single" w:color="000000" w:sz="4"/>
                  </w:tcBorders>
                </w:tcP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交通设计</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8"/>
                  <w:vMerge/>
                  <w:tcBorders>
                    <w:top w:val="none" w:color="000000" w:sz="4"/>
                    <w:left w:val="none" w:color="000000" w:sz="4"/>
                    <w:bottom w:val="single" w:color="000000" w:sz="4"/>
                    <w:right w:val="single" w:color="000000" w:sz="4"/>
                  </w:tcBorders>
                </w:tcP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酒店及餐厅设计</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8"/>
                  <w:vMerge/>
                  <w:tcBorders>
                    <w:top w:val="none" w:color="000000" w:sz="4"/>
                    <w:left w:val="none" w:color="000000" w:sz="4"/>
                    <w:bottom w:val="single" w:color="000000" w:sz="4"/>
                    <w:right w:val="single" w:color="000000" w:sz="4"/>
                  </w:tcBorders>
                </w:tcP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宴会设计</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8"/>
                  <w:vMerge/>
                  <w:tcBorders>
                    <w:top w:val="none" w:color="000000" w:sz="4"/>
                    <w:left w:val="none" w:color="000000" w:sz="4"/>
                    <w:bottom w:val="single" w:color="000000" w:sz="4"/>
                    <w:right w:val="single" w:color="000000" w:sz="4"/>
                  </w:tcBorders>
                </w:tcP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团建活动设计</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8"/>
                  <w:vMerge/>
                  <w:tcBorders>
                    <w:top w:val="none" w:color="000000" w:sz="4"/>
                    <w:left w:val="none" w:color="000000" w:sz="4"/>
                    <w:bottom w:val="single" w:color="000000" w:sz="4"/>
                    <w:right w:val="single" w:color="000000" w:sz="4"/>
                  </w:tcBorders>
                </w:tcP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寻根祭祖定制旅行产品推荐</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8"/>
                  <w:vMerge/>
                  <w:tcBorders>
                    <w:top w:val="none" w:color="000000" w:sz="4"/>
                    <w:left w:val="none" w:color="000000" w:sz="4"/>
                    <w:bottom w:val="single" w:color="000000" w:sz="4"/>
                    <w:right w:val="single" w:color="000000" w:sz="4"/>
                  </w:tcBorders>
                </w:tcP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丝绸之路定制旅行产品推荐</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8"/>
                  <w:vMerge/>
                  <w:tcBorders>
                    <w:top w:val="none" w:color="000000" w:sz="4"/>
                    <w:left w:val="none" w:color="000000" w:sz="4"/>
                    <w:bottom w:val="single" w:color="000000" w:sz="4"/>
                    <w:right w:val="single" w:color="000000" w:sz="4"/>
                  </w:tcBorders>
                </w:tcP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长征之行定制旅行产品推荐</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8"/>
                  <w:vMerge/>
                  <w:tcBorders>
                    <w:top w:val="none" w:color="000000" w:sz="4"/>
                    <w:left w:val="none" w:color="000000" w:sz="4"/>
                    <w:bottom w:val="single" w:color="000000" w:sz="4"/>
                    <w:right w:val="single" w:color="000000" w:sz="4"/>
                  </w:tcBorders>
                </w:tcP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非遗之旅定制旅行产品推荐</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8"/>
                  <w:vMerge/>
                  <w:tcBorders>
                    <w:top w:val="none" w:color="000000" w:sz="4"/>
                    <w:left w:val="none" w:color="000000" w:sz="4"/>
                    <w:bottom w:val="single" w:color="000000" w:sz="4"/>
                    <w:right w:val="single" w:color="000000" w:sz="4"/>
                  </w:tcBorders>
                </w:tcP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研学定制旅游产品推荐推荐</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项目三</w:t>
                  </w:r>
                </w:p>
                <w:p>
                  <w:pPr>
                    <w:pStyle w:val="null3"/>
                    <w:jc w:val="center"/>
                  </w:pPr>
                  <w:r>
                    <w:rPr>
                      <w:rFonts w:ascii="仿宋_GB2312" w:hAnsi="仿宋_GB2312" w:cs="仿宋_GB2312" w:eastAsia="仿宋_GB2312"/>
                      <w:sz w:val="20"/>
                      <w:color w:val="000000"/>
                    </w:rPr>
                    <w:t>定制旅行行中服务与执行</w:t>
                  </w: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服务流程</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18"/>
                  <w:vMerge/>
                  <w:tcBorders>
                    <w:top w:val="none" w:color="000000" w:sz="4"/>
                    <w:left w:val="none" w:color="000000" w:sz="4"/>
                    <w:bottom w:val="single" w:color="000000" w:sz="4"/>
                    <w:right w:val="single" w:color="000000" w:sz="4"/>
                  </w:tcBorders>
                </w:tcP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服务技能</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1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项目四</w:t>
                  </w:r>
                </w:p>
                <w:p>
                  <w:pPr>
                    <w:pStyle w:val="null3"/>
                    <w:jc w:val="center"/>
                  </w:pPr>
                  <w:r>
                    <w:rPr>
                      <w:rFonts w:ascii="仿宋_GB2312" w:hAnsi="仿宋_GB2312" w:cs="仿宋_GB2312" w:eastAsia="仿宋_GB2312"/>
                      <w:sz w:val="20"/>
                      <w:color w:val="000000"/>
                    </w:rPr>
                    <w:t>定制旅行行后服务与执行</w:t>
                  </w: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客户管理与关怀</w:t>
                  </w:r>
                </w:p>
              </w:tc>
            </w:tr>
            <w:tr>
              <w:tc>
                <w:tcPr>
                  <w:tcW w:type="dxa" w:w="2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18"/>
                  <w:vMerge/>
                  <w:tcBorders>
                    <w:top w:val="none" w:color="000000" w:sz="4"/>
                    <w:left w:val="none" w:color="000000" w:sz="4"/>
                    <w:bottom w:val="single" w:color="000000" w:sz="4"/>
                    <w:right w:val="single" w:color="000000" w:sz="4"/>
                  </w:tcBorders>
                </w:tcPr>
                <w:p/>
              </w:tc>
              <w:tc>
                <w:tcPr>
                  <w:tcW w:type="dxa" w:w="205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客户意见和投诉</w:t>
                  </w:r>
                </w:p>
              </w:tc>
            </w:tr>
          </w:tbl>
          <w:p>
            <w:pPr>
              <w:pStyle w:val="null3"/>
              <w:jc w:val="left"/>
            </w:pPr>
            <w:r>
              <w:rPr>
                <w:rFonts w:ascii="仿宋_GB2312" w:hAnsi="仿宋_GB2312" w:cs="仿宋_GB2312" w:eastAsia="仿宋_GB2312"/>
                <w:sz w:val="20"/>
                <w:b/>
                <w:color w:val="000000"/>
              </w:rPr>
              <w:t>五、</w:t>
            </w:r>
            <w:r>
              <w:rPr>
                <w:rFonts w:ascii="仿宋_GB2312" w:hAnsi="仿宋_GB2312" w:cs="仿宋_GB2312" w:eastAsia="仿宋_GB2312"/>
                <w:sz w:val="20"/>
                <w:b/>
                <w:color w:val="000000"/>
              </w:rPr>
              <w:t>《商务数据分析与应用》</w:t>
            </w:r>
          </w:p>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《商务数据分析与应用》课程录制</w:t>
            </w:r>
            <w:r>
              <w:rPr>
                <w:rFonts w:ascii="仿宋_GB2312" w:hAnsi="仿宋_GB2312" w:cs="仿宋_GB2312" w:eastAsia="仿宋_GB2312"/>
                <w:sz w:val="20"/>
                <w:color w:val="000000"/>
              </w:rPr>
              <w:t>68个微课</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序号</w:t>
                  </w:r>
                </w:p>
              </w:tc>
              <w:tc>
                <w:tcPr>
                  <w:tcW w:type="dxa" w:w="127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按课程类型，前后对应</w:t>
                  </w:r>
                </w:p>
              </w:tc>
              <w:tc>
                <w:tcPr>
                  <w:tcW w:type="dxa" w:w="63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知识</w:t>
                  </w:r>
                  <w:r>
                    <w:rPr>
                      <w:rFonts w:ascii="仿宋_GB2312" w:hAnsi="仿宋_GB2312" w:cs="仿宋_GB2312" w:eastAsia="仿宋_GB2312"/>
                      <w:sz w:val="20"/>
                      <w:color w:val="000000"/>
                    </w:rPr>
                    <w:t>（技能）</w:t>
                  </w:r>
                  <w:r>
                    <w:rPr>
                      <w:rFonts w:ascii="仿宋_GB2312" w:hAnsi="仿宋_GB2312" w:cs="仿宋_GB2312" w:eastAsia="仿宋_GB2312"/>
                      <w:sz w:val="20"/>
                      <w:color w:val="000000"/>
                    </w:rPr>
                    <w:t>点</w:t>
                  </w:r>
                </w:p>
              </w:tc>
            </w:tr>
            <w:tr>
              <w:tc>
                <w:tcPr>
                  <w:tcW w:type="dxa" w:w="638"/>
                  <w:vMerge/>
                  <w:tcBorders>
                    <w:top w:val="singl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任务</w:t>
                  </w:r>
                </w:p>
              </w:tc>
              <w:tc>
                <w:tcPr>
                  <w:tcW w:type="dxa" w:w="638"/>
                  <w:vMerge/>
                  <w:tcBorders>
                    <w:top w:val="single" w:color="000000" w:sz="4"/>
                    <w:left w:val="single" w:color="000000" w:sz="4"/>
                    <w:bottom w:val="single" w:color="000000" w:sz="4"/>
                    <w:right w:val="single" w:color="000000" w:sz="4"/>
                  </w:tcBorders>
                </w:tc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项目一：挖掘市场数据，寻找蓝海商机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市场分析方案设计</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市场分析目标设定、分析维度的确定、数据采集需求规划、指标体系构建，</w:t>
                  </w:r>
                  <w:r>
                    <w:rPr>
                      <w:rFonts w:ascii="仿宋_GB2312" w:hAnsi="仿宋_GB2312" w:cs="仿宋_GB2312" w:eastAsia="仿宋_GB2312"/>
                      <w:sz w:val="20"/>
                      <w:color w:val="000000"/>
                    </w:rPr>
                    <w:t>AI辅助市场分析框架设计</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市场公共网站数据采集与信息收集</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公开数据采集、</w:t>
                  </w:r>
                  <w:r>
                    <w:rPr>
                      <w:rFonts w:ascii="仿宋_GB2312" w:hAnsi="仿宋_GB2312" w:cs="仿宋_GB2312" w:eastAsia="仿宋_GB2312"/>
                      <w:sz w:val="20"/>
                      <w:color w:val="000000"/>
                    </w:rPr>
                    <w:t>AI工具整合政策文件、行业研报等非结构化数据，生成市场趋势摘要</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市场数据预处理</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AI辅助Excel定位空缺值、修正格式，数据标准化处理</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市场环境及业态分析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PEST环境分析，计算市场规模占比，饼图与环形图可视化展示；计算赫芬达尔指数，利用AI进行市场结构分析，雷达图对比分析</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市场潜力与选品分析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计算蛋糕指数，趋势分析法及折线图可视化</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关键词热度与需求分析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检索关键词搜索热度，绘制词云图，</w:t>
                  </w:r>
                  <w:r>
                    <w:rPr>
                      <w:rFonts w:ascii="仿宋_GB2312" w:hAnsi="仿宋_GB2312" w:cs="仿宋_GB2312" w:eastAsia="仿宋_GB2312"/>
                      <w:sz w:val="20"/>
                      <w:color w:val="000000"/>
                    </w:rPr>
                    <w:t>AI辅助关键词趋势预测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商品属性需求分析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计算交易指数，绘制散点图，矩阵分析法分析商品属性</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竞品识别与定位分析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通过属性检索识别竞争对手，使用交易数据定位竞争对手，对比分析图表</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竞店竞品分析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对比竞店与本店产品表现，分析竞争优劣势，堆叠柱形图与组合图可视化</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市场分析方案设计</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撰写描述性报告，基础汇报</w:t>
                  </w:r>
                  <w:r>
                    <w:rPr>
                      <w:rFonts w:ascii="仿宋_GB2312" w:hAnsi="仿宋_GB2312" w:cs="仿宋_GB2312" w:eastAsia="仿宋_GB2312"/>
                      <w:sz w:val="20"/>
                      <w:color w:val="000000"/>
                    </w:rPr>
                    <w:t>PPT架构及制作，AI辅助报告生成</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w:t>
                  </w:r>
                  <w:r>
                    <w:rPr>
                      <w:rFonts w:ascii="仿宋_GB2312" w:hAnsi="仿宋_GB2312" w:cs="仿宋_GB2312" w:eastAsia="仿宋_GB2312"/>
                      <w:sz w:val="20"/>
                      <w:color w:val="000000"/>
                    </w:rPr>
                    <w:t>二</w:t>
                  </w:r>
                  <w:r>
                    <w:rPr>
                      <w:rFonts w:ascii="仿宋_GB2312" w:hAnsi="仿宋_GB2312" w:cs="仿宋_GB2312" w:eastAsia="仿宋_GB2312"/>
                      <w:sz w:val="20"/>
                      <w:color w:val="000000"/>
                    </w:rPr>
                    <w:t>：分析平台数据，构建商品格局</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商品与供应链数据化管理方案设计</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商品数据化管理目标设定，供应链分析维度确定，数据采集规划</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电商平台商品数据采集</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电商平台公开数据采集，</w:t>
                  </w:r>
                  <w:r>
                    <w:rPr>
                      <w:rFonts w:ascii="仿宋_GB2312" w:hAnsi="仿宋_GB2312" w:cs="仿宋_GB2312" w:eastAsia="仿宋_GB2312"/>
                      <w:sz w:val="20"/>
                      <w:color w:val="000000"/>
                    </w:rPr>
                    <w:t>HTML基础结构、浏览器插件使用，八爪鱼RPA模板抓取</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商品数据预处理</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数据清洗：重复值处理，日期格式统一，文本函数提取有效数据</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传统商品定价方法</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基础定价模型；定价心理学基础</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精准定价方法</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顾客敏感度定价策略；竞争环境定价策略；动态定价策略</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商品结构分析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波士顿矩阵分析，数据透视表进阶应用，动态图表展示</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商品定位与优化</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数据透视图、商品角色定位（引流、利润、形象、活动）</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店铺及产品类目销售分析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店铺销售概况分析，产品类目销售分析，数据透视表进阶应用</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单品销售情况分析与预测</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单品销售分析，销售预测模型，趋势线图表展示</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商品采购分析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采购需求量分析、采购供应商选择与评估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库存管理可视化</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库存预警模型，库存可视化看板设计，</w:t>
                  </w:r>
                  <w:r>
                    <w:rPr>
                      <w:rFonts w:ascii="仿宋_GB2312" w:hAnsi="仿宋_GB2312" w:cs="仿宋_GB2312" w:eastAsia="仿宋_GB2312"/>
                      <w:sz w:val="20"/>
                      <w:color w:val="000000"/>
                    </w:rPr>
                    <w:t>AI辅助库存预测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商品数据分析报告与汇报</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撰写商品数据分析报告，</w:t>
                  </w:r>
                  <w:r>
                    <w:rPr>
                      <w:rFonts w:ascii="仿宋_GB2312" w:hAnsi="仿宋_GB2312" w:cs="仿宋_GB2312" w:eastAsia="仿宋_GB2312"/>
                      <w:sz w:val="20"/>
                      <w:color w:val="000000"/>
                    </w:rPr>
                    <w:t>PPT报演示文稿的基本结构与逻辑闭环。</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项目三：解析本店数据，运维诊断全覆盖</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店铺运营诊断方案设计</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店铺运营诊断目标设定，核心指标确定，数据采集规划</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店铺后台数据采集</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淘宝店铺后台数据下载，数据整理与分类</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店铺数据预处理</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数据清洗：错误值处理，数据格式转换，</w:t>
                  </w:r>
                  <w:r>
                    <w:rPr>
                      <w:rFonts w:ascii="仿宋_GB2312" w:hAnsi="仿宋_GB2312" w:cs="仿宋_GB2312" w:eastAsia="仿宋_GB2312"/>
                      <w:sz w:val="20"/>
                      <w:color w:val="000000"/>
                    </w:rPr>
                    <w:t>VLOOKUP函数应用</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店铺常规问题诊断思路及</w:t>
                  </w:r>
                  <w:r>
                    <w:rPr>
                      <w:rFonts w:ascii="仿宋_GB2312" w:hAnsi="仿宋_GB2312" w:cs="仿宋_GB2312" w:eastAsia="仿宋_GB2312"/>
                      <w:sz w:val="20"/>
                      <w:color w:val="000000"/>
                    </w:rPr>
                    <w:t>DSR评分；</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DDR的采分要素及计算规则；各要素优化手段；</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30天内服务情况数据诊断；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30天内店铺基础服务指标（退款时常、退款率、介入率、品质退款率、投诉率等）</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产品规划诊断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主营占比健康度诊断；产品动销率合理性诊断；产品类目及定价优化；</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页面数据诊断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详情页转化率、收藏率、加购率、跳失率诊断；</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流量与来源分析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流量来源构成健康度分析</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流量质量评估</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各渠道流量</w:t>
                  </w:r>
                  <w:r>
                    <w:rPr>
                      <w:rFonts w:ascii="仿宋_GB2312" w:hAnsi="仿宋_GB2312" w:cs="仿宋_GB2312" w:eastAsia="仿宋_GB2312"/>
                      <w:sz w:val="20"/>
                      <w:color w:val="000000"/>
                    </w:rPr>
                    <w:t>UV及访问深度分析</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物流异常预警及合作商选择</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异常标准及预警设计、合作商权重分配及评估选择；</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客服服务评价</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客服人员评价</w:t>
                  </w:r>
                  <w:r>
                    <w:rPr>
                      <w:rFonts w:ascii="仿宋_GB2312" w:hAnsi="仿宋_GB2312" w:cs="仿宋_GB2312" w:eastAsia="仿宋_GB2312"/>
                      <w:sz w:val="20"/>
                      <w:color w:val="000000"/>
                    </w:rPr>
                    <w:t>KPI体系及评价</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退货分析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退货原因分析及优化</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店铺运营分析报告与汇报</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撰写店铺运营诊断报告，数据仪表板设计，</w:t>
                  </w:r>
                  <w:r>
                    <w:rPr>
                      <w:rFonts w:ascii="仿宋_GB2312" w:hAnsi="仿宋_GB2312" w:cs="仿宋_GB2312" w:eastAsia="仿宋_GB2312"/>
                      <w:sz w:val="20"/>
                      <w:color w:val="000000"/>
                    </w:rPr>
                    <w:t>PPT汇报</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项目四：追踪营销数据，驱动业绩增长</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营销活动分析方案设计</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营销活动分析目标设定，关键指标确定，数据采集规划</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营销活动数据采集</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拼多多店铺后台数据下载，营销活动数据整理</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营销数据预处理</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Power Query更新EXCEL数据源；</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转化拉新活动效果分析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转化拉新核心指标表现及效果分析</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促活沉淀活动效果分析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促活沉淀核心指标表现及效果分析</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流量渠道效益分析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免费</w:t>
                  </w:r>
                  <w:r>
                    <w:rPr>
                      <w:rFonts w:ascii="仿宋_GB2312" w:hAnsi="仿宋_GB2312" w:cs="仿宋_GB2312" w:eastAsia="仿宋_GB2312"/>
                      <w:sz w:val="20"/>
                      <w:color w:val="000000"/>
                    </w:rPr>
                    <w:t>/付费流量渠道效果评估，ROI计算，成本效益分析</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渠道贡献度分析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渠道效果对比分析，渠道贡献度可视化，</w:t>
                  </w:r>
                  <w:r>
                    <w:rPr>
                      <w:rFonts w:ascii="仿宋_GB2312" w:hAnsi="仿宋_GB2312" w:cs="仿宋_GB2312" w:eastAsia="仿宋_GB2312"/>
                      <w:sz w:val="20"/>
                      <w:color w:val="000000"/>
                    </w:rPr>
                    <w:t>Finbi仪表板设计</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关键词效果分析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关键词投入对利润的影响预测，关键词效果评估指标</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关键词成本与利润营销预测分析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关键词优化策略，</w:t>
                  </w:r>
                  <w:r>
                    <w:rPr>
                      <w:rFonts w:ascii="仿宋_GB2312" w:hAnsi="仿宋_GB2312" w:cs="仿宋_GB2312" w:eastAsia="仿宋_GB2312"/>
                      <w:sz w:val="20"/>
                      <w:color w:val="000000"/>
                    </w:rPr>
                    <w:t>AI辅助关键词效果预测，优化方案可视化</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内容营销设计</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基于客户前序行为数据与兴趣标签，设计内容营销内容；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内容营销效果分析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基于内容营销核心指标分析营销效果；</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营销活动分析报告与汇报</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撰写营销活动分析报告，营销投放综合优化策略，多维度效果评估，优化方案设计，完成营销优化方案</w:t>
                  </w:r>
                  <w:r>
                    <w:rPr>
                      <w:rFonts w:ascii="仿宋_GB2312" w:hAnsi="仿宋_GB2312" w:cs="仿宋_GB2312" w:eastAsia="仿宋_GB2312"/>
                      <w:sz w:val="20"/>
                      <w:color w:val="000000"/>
                    </w:rPr>
                    <w:t>PPT制作与汇报</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项目五：解码客户数据，实现精准运维</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用户行为分析方案设计</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用户行为分析目标设定，用户旅程规划（淘宝店铺客户画像采数规则），数据采集方案及核心指标与细分指标。</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用户行为数据采集</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京东店铺后台数据下载，用户行为数据采集与整理</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用户行为数据预处理</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数据格式：</w:t>
                  </w:r>
                  <w:r>
                    <w:rPr>
                      <w:rFonts w:ascii="仿宋_GB2312" w:hAnsi="仿宋_GB2312" w:cs="仿宋_GB2312" w:eastAsia="仿宋_GB2312"/>
                      <w:sz w:val="20"/>
                      <w:color w:val="000000"/>
                    </w:rPr>
                    <w:t>BI字段格式转换</w:t>
                  </w:r>
                  <w:r>
                    <w:br/>
                  </w:r>
                  <w:r>
                    <w:rPr>
                      <w:rFonts w:ascii="仿宋_GB2312" w:hAnsi="仿宋_GB2312" w:cs="仿宋_GB2312" w:eastAsia="仿宋_GB2312"/>
                      <w:sz w:val="20"/>
                      <w:color w:val="000000"/>
                    </w:rPr>
                    <w:t>数据集成：</w:t>
                  </w:r>
                  <w:r>
                    <w:rPr>
                      <w:rFonts w:ascii="仿宋_GB2312" w:hAnsi="仿宋_GB2312" w:cs="仿宋_GB2312" w:eastAsia="仿宋_GB2312"/>
                      <w:sz w:val="20"/>
                      <w:color w:val="000000"/>
                    </w:rPr>
                    <w:t>BI表连接、字段提取</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用户生命周期分析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用户生命周期阶段分析（新客、熟客、流失），生命周期价值计算；</w:t>
                  </w:r>
                  <w:r>
                    <w:br/>
                  </w:r>
                  <w:r>
                    <w:rPr>
                      <w:rFonts w:ascii="仿宋_GB2312" w:hAnsi="仿宋_GB2312" w:cs="仿宋_GB2312" w:eastAsia="仿宋_GB2312"/>
                      <w:sz w:val="20"/>
                      <w:color w:val="000000"/>
                    </w:rPr>
                    <w:t>独立访客积累情况；新老客户结构分析；会员分层结构及分布情况。</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用户流失分析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5W2H模型分析用户流失原因</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客户行为特征分析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客户行为偏好分析、兴趣偏好分析、购买路径分析与可视化</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标签体系及客户画像</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客户基础属性分析；客群标签设计及画像提炼，精准营销效果评估，</w:t>
                  </w:r>
                  <w:r>
                    <w:rPr>
                      <w:rFonts w:ascii="仿宋_GB2312" w:hAnsi="仿宋_GB2312" w:cs="仿宋_GB2312" w:eastAsia="仿宋_GB2312"/>
                      <w:sz w:val="20"/>
                      <w:color w:val="000000"/>
                    </w:rPr>
                    <w:t>A/B测试设计，营销效果可视化</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客户价值分层</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RFM模型构建，客户价值矩阵可视化，细分客户特征分析，分群策略制定</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客户忠诚度分析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客户复购行为分析，忠诚度指标计算，流失预警模型；会员分层结构及分布情况</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用户行为分析报告与汇报</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依据动态</w:t>
                  </w:r>
                  <w:r>
                    <w:rPr>
                      <w:rFonts w:ascii="仿宋_GB2312" w:hAnsi="仿宋_GB2312" w:cs="仿宋_GB2312" w:eastAsia="仿宋_GB2312"/>
                      <w:sz w:val="20"/>
                      <w:color w:val="000000"/>
                    </w:rPr>
                    <w:t>Finbi数据驾驶舱进行数据探索，撰写用户行为分析报告，精准营销方案PPT制作与汇报</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项目六：运营诊断与营销活动复盘综合实战</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运营推广复盘方案设计</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运营推广复盘目标设定，复盘维度确定，数据采集规划</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综合数据采集</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Python爬虫获取公开数据，店铺后台数据下载，多源数据整合</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综合数据预处理</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Python处理空缺值、重复值、异常值，pandas数据格式处理</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店铺运营监控诊断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店铺运营监控指标分析，运营异常诊断</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店铺活动设计与核心指标拆解</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设立活动目标如提升</w:t>
                  </w:r>
                  <w:r>
                    <w:rPr>
                      <w:rFonts w:ascii="仿宋_GB2312" w:hAnsi="仿宋_GB2312" w:cs="仿宋_GB2312" w:eastAsia="仿宋_GB2312"/>
                      <w:sz w:val="20"/>
                      <w:color w:val="000000"/>
                    </w:rPr>
                    <w:t>GMV、拉新、清仓等，设计活动方案</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活动数据监测分析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追踪衡量活动目标达成的指标，阶段性分析活动数据，</w:t>
                  </w:r>
                  <w:r>
                    <w:rPr>
                      <w:rFonts w:ascii="仿宋_GB2312" w:hAnsi="仿宋_GB2312" w:cs="仿宋_GB2312" w:eastAsia="仿宋_GB2312"/>
                      <w:sz w:val="20"/>
                      <w:color w:val="000000"/>
                    </w:rPr>
                    <w:t>pandas数据排序与分组聚合，目标追踪看板</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全链路效果评估</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围绕流量、转化、拉新、留存等核心活动目标进行全链路效果评估，链路效率分析</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数据复盘与总结</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与活动目标进行差异对比，总结活动效果；</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深度归因分析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关键问题深度归因分析，多维度影响因素识别。运营经验沉淀，优化方案设计，</w:t>
                  </w:r>
                  <w:r>
                    <w:rPr>
                      <w:rFonts w:ascii="仿宋_GB2312" w:hAnsi="仿宋_GB2312" w:cs="仿宋_GB2312" w:eastAsia="仿宋_GB2312"/>
                      <w:sz w:val="20"/>
                      <w:color w:val="000000"/>
                    </w:rPr>
                    <w:t>AI辅助经验总结</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综合复盘报告</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撰写综合复盘报告</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推广复盘分析汇报</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方案</w:t>
                  </w:r>
                  <w:r>
                    <w:rPr>
                      <w:rFonts w:ascii="仿宋_GB2312" w:hAnsi="仿宋_GB2312" w:cs="仿宋_GB2312" w:eastAsia="仿宋_GB2312"/>
                      <w:sz w:val="20"/>
                      <w:color w:val="000000"/>
                    </w:rPr>
                    <w:t>PPT制作，课程总结汇报</w:t>
                  </w:r>
                </w:p>
              </w:tc>
            </w:tr>
          </w:tbl>
          <w:p>
            <w:pPr>
              <w:pStyle w:val="null3"/>
              <w:ind w:firstLine="400"/>
              <w:jc w:val="both"/>
            </w:pPr>
            <w:r>
              <w:rPr>
                <w:rFonts w:ascii="仿宋_GB2312" w:hAnsi="仿宋_GB2312" w:cs="仿宋_GB2312" w:eastAsia="仿宋_GB2312"/>
                <w:sz w:val="20"/>
              </w:rPr>
              <w:t>（二）《商务数据分析与应用》课程录制</w:t>
            </w:r>
            <w:r>
              <w:rPr>
                <w:rFonts w:ascii="仿宋_GB2312" w:hAnsi="仿宋_GB2312" w:cs="仿宋_GB2312" w:eastAsia="仿宋_GB2312"/>
                <w:sz w:val="20"/>
              </w:rPr>
              <w:t>20个动画</w:t>
            </w:r>
          </w:p>
          <w:tbl>
            <w:tblPr>
              <w:tblInd w:type="dxa" w:w="135"/>
              <w:tblBorders>
                <w:top w:val="none" w:color="000000" w:sz="4"/>
                <w:left w:val="none" w:color="000000" w:sz="4"/>
                <w:bottom w:val="none" w:color="000000" w:sz="4"/>
                <w:right w:val="none" w:color="000000" w:sz="4"/>
                <w:insideH w:val="none"/>
                <w:insideV w:val="none"/>
              </w:tblBorders>
            </w:tblPr>
            <w:tblGrid>
              <w:gridCol w:w="379"/>
              <w:gridCol w:w="322"/>
              <w:gridCol w:w="229"/>
              <w:gridCol w:w="4"/>
              <w:gridCol w:w="1424"/>
            </w:tblGrid>
            <w:tr>
              <w:tc>
                <w:tcPr>
                  <w:tcW w:type="dxa" w:w="37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p>
                  <w:pPr>
                    <w:pStyle w:val="null3"/>
                    <w:jc w:val="center"/>
                  </w:pPr>
                  <w:r>
                    <w:rPr>
                      <w:rFonts w:ascii="仿宋_GB2312" w:hAnsi="仿宋_GB2312" w:cs="仿宋_GB2312" w:eastAsia="仿宋_GB2312"/>
                      <w:sz w:val="20"/>
                    </w:rPr>
                    <w:t>维动画</w:t>
                  </w:r>
                </w:p>
              </w:tc>
              <w:tc>
                <w:tcPr>
                  <w:tcW w:type="dxa" w:w="32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数据分析流程动画</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2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市场分析流程动画</w:t>
                  </w:r>
                </w:p>
              </w:tc>
            </w:tr>
            <w:tr>
              <w:tc>
                <w:tcPr>
                  <w:tcW w:type="dxa" w:w="379"/>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商品与供应链分析流程动画</w:t>
                  </w:r>
                </w:p>
              </w:tc>
            </w:tr>
            <w:tr>
              <w:tc>
                <w:tcPr>
                  <w:tcW w:type="dxa" w:w="379"/>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店铺运营诊断分析流程动画</w:t>
                  </w:r>
                </w:p>
              </w:tc>
            </w:tr>
            <w:tr>
              <w:tc>
                <w:tcPr>
                  <w:tcW w:type="dxa" w:w="379"/>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营销活动分析流程动画</w:t>
                  </w:r>
                </w:p>
              </w:tc>
            </w:tr>
            <w:tr>
              <w:tc>
                <w:tcPr>
                  <w:tcW w:type="dxa" w:w="379"/>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用户行为分析流程动画</w:t>
                  </w:r>
                </w:p>
              </w:tc>
            </w:tr>
            <w:tr>
              <w:tc>
                <w:tcPr>
                  <w:tcW w:type="dxa" w:w="379"/>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运营推广复盘分析流程动画</w:t>
                  </w:r>
                </w:p>
              </w:tc>
            </w:tr>
            <w:tr>
              <w:tc>
                <w:tcPr>
                  <w:tcW w:type="dxa" w:w="379"/>
                  <w:vMerge/>
                  <w:tcBorders>
                    <w:top w:val="single" w:color="000000" w:sz="4"/>
                    <w:left w:val="single" w:color="000000" w:sz="4"/>
                    <w:bottom w:val="single" w:color="000000" w:sz="4"/>
                    <w:right w:val="single" w:color="000000" w:sz="4"/>
                  </w:tcBorders>
                </w:tcPr>
                <w:p/>
              </w:tc>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可视化看板联动动画</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65"/>
                    <w:jc w:val="center"/>
                  </w:pPr>
                  <w:r>
                    <w:rPr>
                      <w:rFonts w:ascii="仿宋_GB2312" w:hAnsi="仿宋_GB2312" w:cs="仿宋_GB2312" w:eastAsia="仿宋_GB2312"/>
                      <w:sz w:val="20"/>
                    </w:rPr>
                    <w:t>7</w:t>
                  </w:r>
                </w:p>
              </w:tc>
              <w:tc>
                <w:tcPr>
                  <w:tcW w:type="dxa" w:w="1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市场分析可视化看板演示动画</w:t>
                  </w:r>
                </w:p>
              </w:tc>
            </w:tr>
            <w:tr>
              <w:tc>
                <w:tcPr>
                  <w:tcW w:type="dxa" w:w="379"/>
                  <w:vMerge/>
                  <w:tcBorders>
                    <w:top w:val="singl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65"/>
                    <w:jc w:val="center"/>
                  </w:pPr>
                  <w:r>
                    <w:rPr>
                      <w:rFonts w:ascii="仿宋_GB2312" w:hAnsi="仿宋_GB2312" w:cs="仿宋_GB2312" w:eastAsia="仿宋_GB2312"/>
                      <w:sz w:val="20"/>
                    </w:rPr>
                    <w:t>8</w:t>
                  </w:r>
                </w:p>
              </w:tc>
              <w:tc>
                <w:tcPr>
                  <w:tcW w:type="dxa" w:w="1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商品与供应链可视化看板演示动画</w:t>
                  </w:r>
                </w:p>
              </w:tc>
            </w:tr>
            <w:tr>
              <w:tc>
                <w:tcPr>
                  <w:tcW w:type="dxa" w:w="379"/>
                  <w:vMerge/>
                  <w:tcBorders>
                    <w:top w:val="singl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65"/>
                    <w:jc w:val="center"/>
                  </w:pPr>
                  <w:r>
                    <w:rPr>
                      <w:rFonts w:ascii="仿宋_GB2312" w:hAnsi="仿宋_GB2312" w:cs="仿宋_GB2312" w:eastAsia="仿宋_GB2312"/>
                      <w:sz w:val="20"/>
                    </w:rPr>
                    <w:t>9</w:t>
                  </w:r>
                </w:p>
              </w:tc>
              <w:tc>
                <w:tcPr>
                  <w:tcW w:type="dxa" w:w="1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店铺运营诊断可视化看板演示动画</w:t>
                  </w:r>
                </w:p>
              </w:tc>
            </w:tr>
            <w:tr>
              <w:tc>
                <w:tcPr>
                  <w:tcW w:type="dxa" w:w="379"/>
                  <w:vMerge/>
                  <w:tcBorders>
                    <w:top w:val="singl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65"/>
                    <w:jc w:val="center"/>
                  </w:pPr>
                  <w:r>
                    <w:rPr>
                      <w:rFonts w:ascii="仿宋_GB2312" w:hAnsi="仿宋_GB2312" w:cs="仿宋_GB2312" w:eastAsia="仿宋_GB2312"/>
                      <w:sz w:val="20"/>
                    </w:rPr>
                    <w:t>10</w:t>
                  </w:r>
                </w:p>
              </w:tc>
              <w:tc>
                <w:tcPr>
                  <w:tcW w:type="dxa" w:w="1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营销活动可视化看板演示动画</w:t>
                  </w:r>
                </w:p>
              </w:tc>
            </w:tr>
            <w:tr>
              <w:tc>
                <w:tcPr>
                  <w:tcW w:type="dxa" w:w="379"/>
                  <w:vMerge/>
                  <w:tcBorders>
                    <w:top w:val="singl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65"/>
                    <w:jc w:val="center"/>
                  </w:pPr>
                  <w:r>
                    <w:rPr>
                      <w:rFonts w:ascii="仿宋_GB2312" w:hAnsi="仿宋_GB2312" w:cs="仿宋_GB2312" w:eastAsia="仿宋_GB2312"/>
                      <w:sz w:val="20"/>
                    </w:rPr>
                    <w:t>11</w:t>
                  </w:r>
                </w:p>
              </w:tc>
              <w:tc>
                <w:tcPr>
                  <w:tcW w:type="dxa" w:w="1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用户行为可视化看板演示动画</w:t>
                  </w:r>
                </w:p>
              </w:tc>
            </w:tr>
            <w:tr>
              <w:tc>
                <w:tcPr>
                  <w:tcW w:type="dxa" w:w="379"/>
                  <w:vMerge/>
                  <w:tcBorders>
                    <w:top w:val="singl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65"/>
                    <w:jc w:val="center"/>
                  </w:pPr>
                  <w:r>
                    <w:rPr>
                      <w:rFonts w:ascii="仿宋_GB2312" w:hAnsi="仿宋_GB2312" w:cs="仿宋_GB2312" w:eastAsia="仿宋_GB2312"/>
                      <w:sz w:val="20"/>
                    </w:rPr>
                    <w:t>12</w:t>
                  </w:r>
                </w:p>
              </w:tc>
              <w:tc>
                <w:tcPr>
                  <w:tcW w:type="dxa" w:w="1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运营推广复盘可视化看板演示动画</w:t>
                  </w:r>
                </w:p>
              </w:tc>
            </w:tr>
            <w:tr>
              <w:tc>
                <w:tcPr>
                  <w:tcW w:type="dxa" w:w="379"/>
                  <w:vMerge/>
                  <w:tcBorders>
                    <w:top w:val="single" w:color="000000" w:sz="4"/>
                    <w:left w:val="single" w:color="000000" w:sz="4"/>
                    <w:bottom w:val="single" w:color="000000" w:sz="4"/>
                    <w:right w:val="single" w:color="000000" w:sz="4"/>
                  </w:tcBorders>
                </w:tcPr>
                <w:p/>
              </w:tc>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岗位职业成长路径动画</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数据分析核心岗位职业成长路径动画</w:t>
                  </w:r>
                </w:p>
              </w:tc>
            </w:tr>
            <w:tr>
              <w:tc>
                <w:tcPr>
                  <w:tcW w:type="dxa" w:w="379"/>
                  <w:vMerge/>
                  <w:tcBorders>
                    <w:top w:val="singl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数据分析相关岗位职业成长路径动画</w:t>
                  </w:r>
                </w:p>
              </w:tc>
            </w:tr>
            <w:tr>
              <w:tc>
                <w:tcPr>
                  <w:tcW w:type="dxa" w:w="379"/>
                  <w:vMerge/>
                  <w:tcBorders>
                    <w:top w:val="single" w:color="000000" w:sz="4"/>
                    <w:left w:val="single" w:color="000000" w:sz="4"/>
                    <w:bottom w:val="single" w:color="000000" w:sz="4"/>
                    <w:right w:val="single" w:color="000000" w:sz="4"/>
                  </w:tcBorders>
                </w:tcPr>
                <w:p/>
              </w:tc>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数据分析模型动画</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65"/>
                    <w:jc w:val="left"/>
                  </w:pPr>
                  <w:r>
                    <w:rPr>
                      <w:rFonts w:ascii="仿宋_GB2312" w:hAnsi="仿宋_GB2312" w:cs="仿宋_GB2312" w:eastAsia="仿宋_GB2312"/>
                      <w:sz w:val="20"/>
                    </w:rPr>
                    <w:t>PEST模型分析市场宏观环境</w:t>
                  </w:r>
                </w:p>
              </w:tc>
            </w:tr>
            <w:tr>
              <w:tc>
                <w:tcPr>
                  <w:tcW w:type="dxa" w:w="379"/>
                  <w:vMerge/>
                  <w:tcBorders>
                    <w:top w:val="singl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65"/>
                    <w:jc w:val="left"/>
                  </w:pPr>
                  <w:r>
                    <w:rPr>
                      <w:rFonts w:ascii="仿宋_GB2312" w:hAnsi="仿宋_GB2312" w:cs="仿宋_GB2312" w:eastAsia="仿宋_GB2312"/>
                      <w:sz w:val="20"/>
                    </w:rPr>
                    <w:t>SWOT模型分析店铺经营战略</w:t>
                  </w:r>
                </w:p>
              </w:tc>
            </w:tr>
            <w:tr>
              <w:tc>
                <w:tcPr>
                  <w:tcW w:type="dxa" w:w="379"/>
                  <w:vMerge/>
                  <w:tcBorders>
                    <w:top w:val="singl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65"/>
                    <w:jc w:val="left"/>
                  </w:pPr>
                  <w:r>
                    <w:rPr>
                      <w:rFonts w:ascii="仿宋_GB2312" w:hAnsi="仿宋_GB2312" w:cs="仿宋_GB2312" w:eastAsia="仿宋_GB2312"/>
                      <w:sz w:val="20"/>
                    </w:rPr>
                    <w:t>波士顿矩阵分析商品结构</w:t>
                  </w:r>
                </w:p>
              </w:tc>
            </w:tr>
            <w:tr>
              <w:tc>
                <w:tcPr>
                  <w:tcW w:type="dxa" w:w="379"/>
                  <w:vMerge/>
                  <w:tcBorders>
                    <w:top w:val="singl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65"/>
                    <w:jc w:val="left"/>
                  </w:pPr>
                  <w:r>
                    <w:rPr>
                      <w:rFonts w:ascii="仿宋_GB2312" w:hAnsi="仿宋_GB2312" w:cs="仿宋_GB2312" w:eastAsia="仿宋_GB2312"/>
                      <w:sz w:val="20"/>
                    </w:rPr>
                    <w:t>销售漏斗模型分析转化效果</w:t>
                  </w:r>
                </w:p>
              </w:tc>
            </w:tr>
            <w:tr>
              <w:tc>
                <w:tcPr>
                  <w:tcW w:type="dxa" w:w="379"/>
                  <w:vMerge/>
                  <w:tcBorders>
                    <w:top w:val="singl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65"/>
                    <w:jc w:val="left"/>
                  </w:pPr>
                  <w:r>
                    <w:rPr>
                      <w:rFonts w:ascii="仿宋_GB2312" w:hAnsi="仿宋_GB2312" w:cs="仿宋_GB2312" w:eastAsia="仿宋_GB2312"/>
                      <w:sz w:val="20"/>
                    </w:rPr>
                    <w:t>AARRR模型分析店铺营销环节效果</w:t>
                  </w:r>
                </w:p>
              </w:tc>
            </w:tr>
            <w:tr>
              <w:tc>
                <w:tcPr>
                  <w:tcW w:type="dxa" w:w="379"/>
                  <w:vMerge/>
                  <w:tcBorders>
                    <w:top w:val="singl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2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65"/>
                    <w:jc w:val="left"/>
                  </w:pPr>
                  <w:r>
                    <w:rPr>
                      <w:rFonts w:ascii="仿宋_GB2312" w:hAnsi="仿宋_GB2312" w:cs="仿宋_GB2312" w:eastAsia="仿宋_GB2312"/>
                      <w:sz w:val="20"/>
                    </w:rPr>
                    <w:t>RFM客户价值模型分析店铺客户客户价值分层</w:t>
                  </w:r>
                </w:p>
              </w:tc>
            </w:tr>
          </w:tbl>
          <w:p>
            <w:pPr>
              <w:pStyle w:val="null3"/>
              <w:jc w:val="left"/>
            </w:pPr>
            <w:r>
              <w:rPr>
                <w:rFonts w:ascii="仿宋_GB2312" w:hAnsi="仿宋_GB2312" w:cs="仿宋_GB2312" w:eastAsia="仿宋_GB2312"/>
                <w:sz w:val="20"/>
                <w:b/>
              </w:rPr>
              <w:t>六、</w:t>
            </w:r>
            <w:r>
              <w:rPr>
                <w:rFonts w:ascii="仿宋_GB2312" w:hAnsi="仿宋_GB2312" w:cs="仿宋_GB2312" w:eastAsia="仿宋_GB2312"/>
                <w:sz w:val="20"/>
                <w:b/>
              </w:rPr>
              <w:t>《</w:t>
            </w:r>
            <w:r>
              <w:rPr>
                <w:rFonts w:ascii="仿宋_GB2312" w:hAnsi="仿宋_GB2312" w:cs="仿宋_GB2312" w:eastAsia="仿宋_GB2312"/>
                <w:sz w:val="20"/>
                <w:b/>
              </w:rPr>
              <w:t>AIGC+短视频策划制作》</w:t>
            </w:r>
          </w:p>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w:t>
            </w:r>
            <w:r>
              <w:rPr>
                <w:rFonts w:ascii="仿宋_GB2312" w:hAnsi="仿宋_GB2312" w:cs="仿宋_GB2312" w:eastAsia="仿宋_GB2312"/>
                <w:sz w:val="20"/>
              </w:rPr>
              <w:t>AIGC+短视频策划制作》</w:t>
            </w:r>
            <w:r>
              <w:rPr>
                <w:rFonts w:ascii="仿宋_GB2312" w:hAnsi="仿宋_GB2312" w:cs="仿宋_GB2312" w:eastAsia="仿宋_GB2312"/>
                <w:sz w:val="20"/>
                <w:color w:val="000000"/>
              </w:rPr>
              <w:t>课程录制</w:t>
            </w:r>
            <w:r>
              <w:rPr>
                <w:rFonts w:ascii="仿宋_GB2312" w:hAnsi="仿宋_GB2312" w:cs="仿宋_GB2312" w:eastAsia="仿宋_GB2312"/>
                <w:sz w:val="20"/>
              </w:rPr>
              <w:t>56</w:t>
            </w:r>
            <w:r>
              <w:rPr>
                <w:rFonts w:ascii="仿宋_GB2312" w:hAnsi="仿宋_GB2312" w:cs="仿宋_GB2312" w:eastAsia="仿宋_GB2312"/>
                <w:sz w:val="20"/>
                <w:color w:val="000000"/>
              </w:rPr>
              <w:t>个微课</w:t>
            </w:r>
          </w:p>
          <w:tbl>
            <w:tblPr>
              <w:tblBorders>
                <w:top w:val="none" w:color="000000" w:sz="4"/>
                <w:left w:val="none" w:color="000000" w:sz="4"/>
                <w:bottom w:val="none" w:color="000000" w:sz="4"/>
                <w:right w:val="none" w:color="000000" w:sz="4"/>
                <w:insideH w:val="none"/>
                <w:insideV w:val="none"/>
              </w:tblBorders>
            </w:tblPr>
            <w:tblGrid>
              <w:gridCol w:w="233"/>
              <w:gridCol w:w="556"/>
              <w:gridCol w:w="973"/>
              <w:gridCol w:w="1045"/>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学习情景</w:t>
                  </w:r>
                </w:p>
              </w:tc>
              <w:tc>
                <w:tcPr>
                  <w:tcW w:type="dxa" w:w="9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节名</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知识</w:t>
                  </w:r>
                  <w:r>
                    <w:rPr>
                      <w:rFonts w:ascii="仿宋_GB2312" w:hAnsi="仿宋_GB2312" w:cs="仿宋_GB2312" w:eastAsia="仿宋_GB2312"/>
                      <w:sz w:val="20"/>
                      <w:b/>
                    </w:rPr>
                    <w:t>（技能）</w:t>
                  </w:r>
                  <w:r>
                    <w:rPr>
                      <w:rFonts w:ascii="仿宋_GB2312" w:hAnsi="仿宋_GB2312" w:cs="仿宋_GB2312" w:eastAsia="仿宋_GB2312"/>
                      <w:sz w:val="20"/>
                      <w:b/>
                    </w:rPr>
                    <w:t>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AIGC在短视频制作中的应用</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初识短视频</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短视频的定义、</w:t>
                  </w:r>
                  <w:r>
                    <w:rPr>
                      <w:rFonts w:ascii="仿宋_GB2312" w:hAnsi="仿宋_GB2312" w:cs="仿宋_GB2312" w:eastAsia="仿宋_GB2312"/>
                      <w:sz w:val="20"/>
                    </w:rPr>
                    <w:t>特点、</w:t>
                  </w:r>
                  <w:r>
                    <w:rPr>
                      <w:rFonts w:ascii="仿宋_GB2312" w:hAnsi="仿宋_GB2312" w:cs="仿宋_GB2312" w:eastAsia="仿宋_GB2312"/>
                      <w:sz w:val="20"/>
                    </w:rPr>
                    <w:t>分类（如剧情类、科普类、带货类等）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主流平台特性（抖音、快手、视频号等用户画像与内容偏好）</w:t>
                  </w:r>
                  <w:r>
                    <w:rPr>
                      <w:rFonts w:ascii="仿宋_GB2312" w:hAnsi="仿宋_GB2312" w:cs="仿宋_GB2312" w:eastAsia="仿宋_GB2312"/>
                      <w:sz w:val="20"/>
                    </w:rPr>
                    <w:t>。</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短视频</w:t>
                  </w:r>
                  <w:r>
                    <w:rPr>
                      <w:rFonts w:ascii="仿宋_GB2312" w:hAnsi="仿宋_GB2312" w:cs="仿宋_GB2312" w:eastAsia="仿宋_GB2312"/>
                      <w:sz w:val="20"/>
                    </w:rPr>
                    <w:t>创作基础</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短视频创作核心要素（脚本、镜头、节奏、音效等）；</w:t>
                  </w:r>
                </w:p>
                <w:p>
                  <w:pPr>
                    <w:pStyle w:val="null3"/>
                    <w:jc w:val="both"/>
                  </w:pPr>
                  <w:r>
                    <w:rPr>
                      <w:rFonts w:ascii="仿宋_GB2312" w:hAnsi="仿宋_GB2312" w:cs="仿宋_GB2312" w:eastAsia="仿宋_GB2312"/>
                      <w:sz w:val="20"/>
                    </w:rPr>
                    <w:t>结合案例解析短视频创作的底层逻辑与爆款规律。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短视频</w:t>
                  </w:r>
                  <w:r>
                    <w:rPr>
                      <w:rFonts w:ascii="仿宋_GB2312" w:hAnsi="仿宋_GB2312" w:cs="仿宋_GB2312" w:eastAsia="仿宋_GB2312"/>
                      <w:sz w:val="20"/>
                    </w:rPr>
                    <w:t>创作人才的岗位职责</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短视频</w:t>
                  </w:r>
                  <w:r>
                    <w:rPr>
                      <w:rFonts w:ascii="仿宋_GB2312" w:hAnsi="仿宋_GB2312" w:cs="仿宋_GB2312" w:eastAsia="仿宋_GB2312"/>
                      <w:sz w:val="20"/>
                    </w:rPr>
                    <w:t>创作人才的岗位职责、技能要求、素养要求。</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w:t>
                  </w:r>
                  <w:r>
                    <w:rPr>
                      <w:rFonts w:ascii="仿宋_GB2312" w:hAnsi="仿宋_GB2312" w:cs="仿宋_GB2312" w:eastAsia="仿宋_GB2312"/>
                      <w:sz w:val="20"/>
                    </w:rPr>
                    <w:t>基础知识</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AIGC技术原理与发展现状</w:t>
                  </w:r>
                  <w:r>
                    <w:rPr>
                      <w:rFonts w:ascii="仿宋_GB2312" w:hAnsi="仿宋_GB2312" w:cs="仿宋_GB2312" w:eastAsia="仿宋_GB2312"/>
                      <w:sz w:val="20"/>
                    </w:rPr>
                    <w:t>。</w:t>
                  </w:r>
                </w:p>
                <w:p>
                  <w:pPr>
                    <w:pStyle w:val="null3"/>
                    <w:jc w:val="both"/>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短视频制作中</w:t>
                  </w:r>
                  <w:r>
                    <w:rPr>
                      <w:rFonts w:ascii="仿宋_GB2312" w:hAnsi="仿宋_GB2312" w:cs="仿宋_GB2312" w:eastAsia="仿宋_GB2312"/>
                      <w:sz w:val="20"/>
                    </w:rPr>
                    <w:t>常用</w:t>
                  </w:r>
                  <w:r>
                    <w:rPr>
                      <w:rFonts w:ascii="仿宋_GB2312" w:hAnsi="仿宋_GB2312" w:cs="仿宋_GB2312" w:eastAsia="仿宋_GB2312"/>
                      <w:sz w:val="20"/>
                    </w:rPr>
                    <w:t>AI工具</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聚焦短视频创作场景，重点演示</w:t>
                  </w:r>
                  <w:r>
                    <w:rPr>
                      <w:rFonts w:ascii="仿宋_GB2312" w:hAnsi="仿宋_GB2312" w:cs="仿宋_GB2312" w:eastAsia="仿宋_GB2312"/>
                      <w:sz w:val="20"/>
                    </w:rPr>
                    <w:t>Deepseek</w:t>
                  </w:r>
                  <w:r>
                    <w:rPr>
                      <w:rFonts w:ascii="仿宋_GB2312" w:hAnsi="仿宋_GB2312" w:cs="仿宋_GB2312" w:eastAsia="仿宋_GB2312"/>
                      <w:sz w:val="20"/>
                    </w:rPr>
                    <w:t>等文本生成工具、</w:t>
                  </w:r>
                  <w:r>
                    <w:rPr>
                      <w:rFonts w:ascii="仿宋_GB2312" w:hAnsi="仿宋_GB2312" w:cs="仿宋_GB2312" w:eastAsia="仿宋_GB2312"/>
                      <w:sz w:val="20"/>
                    </w:rPr>
                    <w:t>即梦</w:t>
                  </w:r>
                  <w:r>
                    <w:rPr>
                      <w:rFonts w:ascii="仿宋_GB2312" w:hAnsi="仿宋_GB2312" w:cs="仿宋_GB2312" w:eastAsia="仿宋_GB2312"/>
                      <w:sz w:val="20"/>
                    </w:rPr>
                    <w:t>AI</w:t>
                  </w:r>
                  <w:r>
                    <w:rPr>
                      <w:rFonts w:ascii="仿宋_GB2312" w:hAnsi="仿宋_GB2312" w:cs="仿宋_GB2312" w:eastAsia="仿宋_GB2312"/>
                      <w:sz w:val="20"/>
                    </w:rPr>
                    <w:t>等图像</w:t>
                  </w:r>
                  <w:r>
                    <w:rPr>
                      <w:rFonts w:ascii="仿宋_GB2312" w:hAnsi="仿宋_GB2312" w:cs="仿宋_GB2312" w:eastAsia="仿宋_GB2312"/>
                      <w:sz w:val="20"/>
                    </w:rPr>
                    <w:t>、</w:t>
                  </w:r>
                  <w:r>
                    <w:rPr>
                      <w:rFonts w:ascii="仿宋_GB2312" w:hAnsi="仿宋_GB2312" w:cs="仿宋_GB2312" w:eastAsia="仿宋_GB2312"/>
                      <w:sz w:val="20"/>
                    </w:rPr>
                    <w:t>视频生成与编辑工具、剪映</w:t>
                  </w:r>
                  <w:r>
                    <w:rPr>
                      <w:rFonts w:ascii="仿宋_GB2312" w:hAnsi="仿宋_GB2312" w:cs="仿宋_GB2312" w:eastAsia="仿宋_GB2312"/>
                      <w:sz w:val="20"/>
                    </w:rPr>
                    <w:t>AI等垂直领域工具的核心功能；</w:t>
                  </w:r>
                </w:p>
                <w:p>
                  <w:pPr>
                    <w:pStyle w:val="null3"/>
                    <w:jc w:val="both"/>
                  </w:pPr>
                  <w:r>
                    <w:rPr>
                      <w:rFonts w:ascii="仿宋_GB2312" w:hAnsi="仿宋_GB2312" w:cs="仿宋_GB2312" w:eastAsia="仿宋_GB2312"/>
                      <w:sz w:val="20"/>
                    </w:rPr>
                    <w:t>通过案例对比传统制作与</w:t>
                  </w:r>
                  <w:r>
                    <w:rPr>
                      <w:rFonts w:ascii="仿宋_GB2312" w:hAnsi="仿宋_GB2312" w:cs="仿宋_GB2312" w:eastAsia="仿宋_GB2312"/>
                      <w:sz w:val="20"/>
                    </w:rPr>
                    <w:t>AIGC辅助制作的效率差异，明确AIGC在脚本生成、素材创作、后期剪辑等环节的应用场景。</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AIGC辅助短视频策划与制作流程</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短视频策划核心环节</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短视频策划的完整流程</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创作团队的人员配置及分工；</w:t>
                  </w:r>
                </w:p>
                <w:p>
                  <w:pPr>
                    <w:pStyle w:val="null3"/>
                    <w:jc w:val="both"/>
                  </w:pPr>
                  <w:r>
                    <w:rPr>
                      <w:rFonts w:ascii="仿宋_GB2312" w:hAnsi="仿宋_GB2312" w:cs="仿宋_GB2312" w:eastAsia="仿宋_GB2312"/>
                      <w:sz w:val="20"/>
                    </w:rPr>
                    <w:t>策划选题的原则及方法。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短视频</w:t>
                  </w:r>
                  <w:r>
                    <w:rPr>
                      <w:rFonts w:ascii="仿宋_GB2312" w:hAnsi="仿宋_GB2312" w:cs="仿宋_GB2312" w:eastAsia="仿宋_GB2312"/>
                      <w:sz w:val="20"/>
                    </w:rPr>
                    <w:t>内容创意</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短视频的内容类型；</w:t>
                  </w:r>
                </w:p>
                <w:p>
                  <w:pPr>
                    <w:pStyle w:val="null3"/>
                    <w:jc w:val="both"/>
                  </w:pPr>
                  <w:r>
                    <w:rPr>
                      <w:rFonts w:ascii="仿宋_GB2312" w:hAnsi="仿宋_GB2312" w:cs="仿宋_GB2312" w:eastAsia="仿宋_GB2312"/>
                      <w:sz w:val="20"/>
                    </w:rPr>
                    <w:t>短视频的内容结构。</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AIGC辅助策划技巧</w:t>
                  </w:r>
                </w:p>
                <w:p>
                  <w:pPr>
                    <w:pStyle w:val="null3"/>
                    <w:jc w:val="left"/>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AIGC工具在策划中的实操应用，包括利用AIGC进行受众画像分析、主题创意；借助AI数据分析工具（如蝉妈妈AI版）调研行业热点，定位高流量内容方向。</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AIGC辅助优化技巧</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通过</w:t>
                  </w:r>
                  <w:r>
                    <w:rPr>
                      <w:rFonts w:ascii="仿宋_GB2312" w:hAnsi="仿宋_GB2312" w:cs="仿宋_GB2312" w:eastAsia="仿宋_GB2312"/>
                      <w:sz w:val="20"/>
                    </w:rPr>
                    <w:t>AI工具生成多版策划方案并进行优化筛选。</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制作流程规范</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基于</w:t>
                  </w:r>
                  <w:r>
                    <w:rPr>
                      <w:rFonts w:ascii="仿宋_GB2312" w:hAnsi="仿宋_GB2312" w:cs="仿宋_GB2312" w:eastAsia="仿宋_GB2312"/>
                      <w:sz w:val="20"/>
                    </w:rPr>
                    <w:t>AIGC辅助策划结果，制定标准化的短视频制作流程表，明确各环节时间节点、责任人与质量标准；</w:t>
                  </w:r>
                </w:p>
                <w:p>
                  <w:pPr>
                    <w:pStyle w:val="null3"/>
                    <w:jc w:val="both"/>
                  </w:pPr>
                  <w:r>
                    <w:rPr>
                      <w:rFonts w:ascii="仿宋_GB2312" w:hAnsi="仿宋_GB2312" w:cs="仿宋_GB2312" w:eastAsia="仿宋_GB2312"/>
                      <w:sz w:val="20"/>
                    </w:rPr>
                    <w:t>讲解如何利用</w:t>
                  </w:r>
                  <w:r>
                    <w:rPr>
                      <w:rFonts w:ascii="仿宋_GB2312" w:hAnsi="仿宋_GB2312" w:cs="仿宋_GB2312" w:eastAsia="仿宋_GB2312"/>
                      <w:sz w:val="20"/>
                    </w:rPr>
                    <w:t>AIGC工具进行流程进度管控与风险预判。</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短视频制作的基本技能</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短视频脚本基础知识</w:t>
                  </w:r>
                </w:p>
                <w:p>
                  <w:pPr>
                    <w:pStyle w:val="null3"/>
                    <w:jc w:val="left"/>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短视频脚本的常见类型（如分镜头脚本、口播脚本），</w:t>
                  </w:r>
                </w:p>
                <w:p>
                  <w:pPr>
                    <w:pStyle w:val="null3"/>
                    <w:jc w:val="both"/>
                  </w:pPr>
                  <w:r>
                    <w:rPr>
                      <w:rFonts w:ascii="仿宋_GB2312" w:hAnsi="仿宋_GB2312" w:cs="仿宋_GB2312" w:eastAsia="仿宋_GB2312"/>
                      <w:sz w:val="20"/>
                    </w:rPr>
                    <w:t>分镜头脚本的核心要素（镜头序号、景别、画面内容、台词、音效等）；</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脚本撰写技能</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通过实例演练掌握不同风格短视频的脚本撰写技巧。</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AIGC生成脚本的方法</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AIGC提示词的结构；</w:t>
                  </w:r>
                </w:p>
                <w:p>
                  <w:pPr>
                    <w:pStyle w:val="null3"/>
                    <w:jc w:val="both"/>
                  </w:pPr>
                  <w:r>
                    <w:rPr>
                      <w:rFonts w:ascii="仿宋_GB2312" w:hAnsi="仿宋_GB2312" w:cs="仿宋_GB2312" w:eastAsia="仿宋_GB2312"/>
                      <w:sz w:val="20"/>
                    </w:rPr>
                    <w:t>如何撰写画面描述的提示词；</w:t>
                  </w:r>
                </w:p>
                <w:p>
                  <w:pPr>
                    <w:pStyle w:val="null3"/>
                    <w:jc w:val="both"/>
                  </w:pPr>
                  <w:r>
                    <w:rPr>
                      <w:rFonts w:ascii="仿宋_GB2312" w:hAnsi="仿宋_GB2312" w:cs="仿宋_GB2312" w:eastAsia="仿宋_GB2312"/>
                      <w:sz w:val="20"/>
                    </w:rPr>
                    <w:t>如何使用</w:t>
                  </w:r>
                  <w:r>
                    <w:rPr>
                      <w:rFonts w:ascii="仿宋_GB2312" w:hAnsi="仿宋_GB2312" w:cs="仿宋_GB2312" w:eastAsia="仿宋_GB2312"/>
                      <w:sz w:val="20"/>
                    </w:rPr>
                    <w:t>AI工具辅助生成视频脚本。</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拍摄基础技能（</w:t>
                  </w:r>
                  <w:r>
                    <w:rPr>
                      <w:rFonts w:ascii="仿宋_GB2312" w:hAnsi="仿宋_GB2312" w:cs="仿宋_GB2312" w:eastAsia="仿宋_GB2312"/>
                      <w:sz w:val="20"/>
                    </w:rPr>
                    <w:t>1）拍摄设备</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认识相机的重要拍摄参数；</w:t>
                  </w:r>
                </w:p>
                <w:p>
                  <w:pPr>
                    <w:pStyle w:val="null3"/>
                    <w:jc w:val="both"/>
                  </w:pPr>
                  <w:r>
                    <w:rPr>
                      <w:rFonts w:ascii="仿宋_GB2312" w:hAnsi="仿宋_GB2312" w:cs="仿宋_GB2312" w:eastAsia="仿宋_GB2312"/>
                      <w:sz w:val="20"/>
                    </w:rPr>
                    <w:t>认识手机的重要拍摄参数；</w:t>
                  </w:r>
                </w:p>
                <w:p>
                  <w:pPr>
                    <w:pStyle w:val="null3"/>
                    <w:jc w:val="both"/>
                  </w:pPr>
                  <w:r>
                    <w:rPr>
                      <w:rFonts w:ascii="仿宋_GB2312" w:hAnsi="仿宋_GB2312" w:cs="仿宋_GB2312" w:eastAsia="仿宋_GB2312"/>
                      <w:sz w:val="20"/>
                    </w:rPr>
                    <w:t>保持画面稳定的技巧。</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拍摄基础技能（</w:t>
                  </w:r>
                  <w:r>
                    <w:rPr>
                      <w:rFonts w:ascii="仿宋_GB2312" w:hAnsi="仿宋_GB2312" w:cs="仿宋_GB2312" w:eastAsia="仿宋_GB2312"/>
                      <w:sz w:val="20"/>
                    </w:rPr>
                    <w:t>2）设计拍摄角度与构图</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景别（远、全、中、近、特）；</w:t>
                  </w:r>
                </w:p>
                <w:p>
                  <w:pPr>
                    <w:pStyle w:val="null3"/>
                    <w:jc w:val="both"/>
                  </w:pPr>
                  <w:r>
                    <w:rPr>
                      <w:rFonts w:ascii="仿宋_GB2312" w:hAnsi="仿宋_GB2312" w:cs="仿宋_GB2312" w:eastAsia="仿宋_GB2312"/>
                      <w:sz w:val="20"/>
                    </w:rPr>
                    <w:t>拍摄的方向与高度；</w:t>
                  </w:r>
                </w:p>
                <w:p>
                  <w:pPr>
                    <w:pStyle w:val="null3"/>
                    <w:jc w:val="both"/>
                  </w:pPr>
                  <w:r>
                    <w:rPr>
                      <w:rFonts w:ascii="仿宋_GB2312" w:hAnsi="仿宋_GB2312" w:cs="仿宋_GB2312" w:eastAsia="仿宋_GB2312"/>
                      <w:sz w:val="20"/>
                    </w:rPr>
                    <w:t>设计画面构图。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拍摄基础技能（</w:t>
                  </w:r>
                  <w:r>
                    <w:rPr>
                      <w:rFonts w:ascii="仿宋_GB2312" w:hAnsi="仿宋_GB2312" w:cs="仿宋_GB2312" w:eastAsia="仿宋_GB2312"/>
                      <w:sz w:val="20"/>
                    </w:rPr>
                    <w:t>3）</w:t>
                  </w:r>
                </w:p>
                <w:p>
                  <w:pPr>
                    <w:pStyle w:val="null3"/>
                    <w:jc w:val="left"/>
                  </w:pPr>
                  <w:r>
                    <w:rPr>
                      <w:rFonts w:ascii="仿宋_GB2312" w:hAnsi="仿宋_GB2312" w:cs="仿宋_GB2312" w:eastAsia="仿宋_GB2312"/>
                      <w:sz w:val="20"/>
                    </w:rPr>
                    <w:t>突出画面的技巧</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突出画面主体的技巧；</w:t>
                  </w:r>
                </w:p>
                <w:p>
                  <w:pPr>
                    <w:pStyle w:val="null3"/>
                    <w:jc w:val="both"/>
                  </w:pPr>
                  <w:r>
                    <w:rPr>
                      <w:rFonts w:ascii="仿宋_GB2312" w:hAnsi="仿宋_GB2312" w:cs="仿宋_GB2312" w:eastAsia="仿宋_GB2312"/>
                      <w:sz w:val="20"/>
                    </w:rPr>
                    <w:t>光线的运用。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拍摄基础技能（</w:t>
                  </w:r>
                  <w:r>
                    <w:rPr>
                      <w:rFonts w:ascii="仿宋_GB2312" w:hAnsi="仿宋_GB2312" w:cs="仿宋_GB2312" w:eastAsia="仿宋_GB2312"/>
                      <w:sz w:val="20"/>
                    </w:rPr>
                    <w:t>4）</w:t>
                  </w:r>
                </w:p>
                <w:p>
                  <w:pPr>
                    <w:pStyle w:val="null3"/>
                    <w:jc w:val="left"/>
                  </w:pPr>
                  <w:r>
                    <w:rPr>
                      <w:rFonts w:ascii="仿宋_GB2312" w:hAnsi="仿宋_GB2312" w:cs="仿宋_GB2312" w:eastAsia="仿宋_GB2312"/>
                      <w:sz w:val="20"/>
                    </w:rPr>
                    <w:t>运镜与转场</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镜头运动（推、拉、摇、移、跟）；</w:t>
                  </w:r>
                </w:p>
                <w:p>
                  <w:pPr>
                    <w:pStyle w:val="null3"/>
                    <w:jc w:val="both"/>
                  </w:pPr>
                  <w:r>
                    <w:rPr>
                      <w:rFonts w:ascii="仿宋_GB2312" w:hAnsi="仿宋_GB2312" w:cs="仿宋_GB2312" w:eastAsia="仿宋_GB2312"/>
                      <w:sz w:val="20"/>
                    </w:rPr>
                    <w:t>设计镜头组接与转场。</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素材管理技能</w:t>
                  </w:r>
                </w:p>
                <w:p>
                  <w:pPr>
                    <w:pStyle w:val="null3"/>
                    <w:jc w:val="left"/>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短视频素材的采集、分类、筛选与整理方法；</w:t>
                  </w:r>
                </w:p>
                <w:p>
                  <w:pPr>
                    <w:pStyle w:val="null3"/>
                    <w:jc w:val="both"/>
                  </w:pPr>
                  <w:r>
                    <w:rPr>
                      <w:rFonts w:ascii="仿宋_GB2312" w:hAnsi="仿宋_GB2312" w:cs="仿宋_GB2312" w:eastAsia="仿宋_GB2312"/>
                      <w:sz w:val="20"/>
                    </w:rPr>
                    <w:t>讲解素材归档的规范与技巧，为后期剪辑提升效率。</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AIGC辅助短视频的拍摄</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AIGC辅助拍摄前期准备</w:t>
                  </w:r>
                </w:p>
                <w:p>
                  <w:pPr>
                    <w:pStyle w:val="null3"/>
                    <w:jc w:val="left"/>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利用</w:t>
                  </w:r>
                  <w:r>
                    <w:rPr>
                      <w:rFonts w:ascii="仿宋_GB2312" w:hAnsi="仿宋_GB2312" w:cs="仿宋_GB2312" w:eastAsia="仿宋_GB2312"/>
                      <w:sz w:val="20"/>
                    </w:rPr>
                    <w:t>AIGC工具优化拍摄方案，包括通过AI生成拍摄场景示意图、利用AI工具模拟不同光线条件下的拍摄效果；借助AI脚本解析工具生成拍摄要点清单。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AIGC在拍摄中的实时应用</w:t>
                  </w:r>
                </w:p>
                <w:p>
                  <w:pPr>
                    <w:pStyle w:val="null3"/>
                    <w:jc w:val="left"/>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讲解</w:t>
                  </w:r>
                  <w:r>
                    <w:rPr>
                      <w:rFonts w:ascii="仿宋_GB2312" w:hAnsi="仿宋_GB2312" w:cs="仿宋_GB2312" w:eastAsia="仿宋_GB2312"/>
                      <w:sz w:val="20"/>
                    </w:rPr>
                    <w:t>AI辅助拍摄设备（如AI跟拍稳定器）的操作技巧；</w:t>
                  </w:r>
                </w:p>
                <w:p>
                  <w:pPr>
                    <w:pStyle w:val="null3"/>
                    <w:jc w:val="both"/>
                  </w:pPr>
                  <w:r>
                    <w:rPr>
                      <w:rFonts w:ascii="仿宋_GB2312" w:hAnsi="仿宋_GB2312" w:cs="仿宋_GB2312" w:eastAsia="仿宋_GB2312"/>
                      <w:sz w:val="20"/>
                    </w:rPr>
                    <w:t>演示如何利用手机</w:t>
                  </w:r>
                  <w:r>
                    <w:rPr>
                      <w:rFonts w:ascii="仿宋_GB2312" w:hAnsi="仿宋_GB2312" w:cs="仿宋_GB2312" w:eastAsia="仿宋_GB2312"/>
                      <w:sz w:val="20"/>
                    </w:rPr>
                    <w:t>AI拍摄功能提升拍摄质量。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w:t>
                  </w:r>
                  <w:r>
                    <w:rPr>
                      <w:rFonts w:ascii="仿宋_GB2312" w:hAnsi="仿宋_GB2312" w:cs="仿宋_GB2312" w:eastAsia="仿宋_GB2312"/>
                      <w:sz w:val="20"/>
                    </w:rPr>
                    <w:t>AIGC进行多镜头组合</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介绍</w:t>
                  </w:r>
                  <w:r>
                    <w:rPr>
                      <w:rFonts w:ascii="仿宋_GB2312" w:hAnsi="仿宋_GB2312" w:cs="仿宋_GB2312" w:eastAsia="仿宋_GB2312"/>
                      <w:sz w:val="20"/>
                    </w:rPr>
                    <w:t>AIGC工具在多镜头组合方案生成中的应用。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拍摄素材的</w:t>
                  </w:r>
                  <w:r>
                    <w:rPr>
                      <w:rFonts w:ascii="仿宋_GB2312" w:hAnsi="仿宋_GB2312" w:cs="仿宋_GB2312" w:eastAsia="仿宋_GB2312"/>
                      <w:sz w:val="20"/>
                    </w:rPr>
                    <w:t>AI初步处理</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使用</w:t>
                  </w:r>
                  <w:r>
                    <w:rPr>
                      <w:rFonts w:ascii="仿宋_GB2312" w:hAnsi="仿宋_GB2312" w:cs="仿宋_GB2312" w:eastAsia="仿宋_GB2312"/>
                      <w:sz w:val="20"/>
                    </w:rPr>
                    <w:t>AI工具对拍摄素材进行快速筛选、瑕疵修复（如去水印、画面降噪）、智能裁剪等初步处理，为后期剪辑减负。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常用的视频制作</w:t>
                  </w:r>
                  <w:r>
                    <w:rPr>
                      <w:rFonts w:ascii="仿宋_GB2312" w:hAnsi="仿宋_GB2312" w:cs="仿宋_GB2312" w:eastAsia="仿宋_GB2312"/>
                      <w:sz w:val="20"/>
                    </w:rPr>
                    <w:t>AI 工具</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即梦</w:t>
                  </w:r>
                  <w:r>
                    <w:rPr>
                      <w:rFonts w:ascii="仿宋_GB2312" w:hAnsi="仿宋_GB2312" w:cs="仿宋_GB2312" w:eastAsia="仿宋_GB2312"/>
                      <w:sz w:val="20"/>
                    </w:rPr>
                    <w:t>AI介绍</w:t>
                  </w:r>
                </w:p>
                <w:p>
                  <w:pPr>
                    <w:pStyle w:val="null3"/>
                    <w:jc w:val="both"/>
                  </w:pPr>
                  <w:r>
                    <w:rPr>
                      <w:rFonts w:ascii="仿宋_GB2312" w:hAnsi="仿宋_GB2312" w:cs="仿宋_GB2312" w:eastAsia="仿宋_GB2312"/>
                      <w:sz w:val="20"/>
                    </w:rPr>
                    <w:t>通义万相制作视频的步骤</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使用</w:t>
                  </w:r>
                  <w:r>
                    <w:rPr>
                      <w:rFonts w:ascii="仿宋_GB2312" w:hAnsi="仿宋_GB2312" w:cs="仿宋_GB2312" w:eastAsia="仿宋_GB2312"/>
                      <w:sz w:val="20"/>
                    </w:rPr>
                    <w:t>AI工具生成视频素材</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需通过精准文本提示、合理参数设置及多轮迭代优化来生成内容。</w:t>
                  </w:r>
                </w:p>
                <w:p>
                  <w:pPr>
                    <w:pStyle w:val="null3"/>
                    <w:jc w:val="both"/>
                  </w:pPr>
                  <w:r>
                    <w:rPr>
                      <w:rFonts w:ascii="仿宋_GB2312" w:hAnsi="仿宋_GB2312" w:cs="仿宋_GB2312" w:eastAsia="仿宋_GB2312"/>
                      <w:sz w:val="20"/>
                    </w:rPr>
                    <w:t>使用</w:t>
                  </w:r>
                  <w:r>
                    <w:rPr>
                      <w:rFonts w:ascii="仿宋_GB2312" w:hAnsi="仿宋_GB2312" w:cs="仿宋_GB2312" w:eastAsia="仿宋_GB2312"/>
                      <w:sz w:val="20"/>
                    </w:rPr>
                    <w:t>AI 生成视频素材要注意版权问题。</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AIGC进行抖音短视频的制作</w:t>
                  </w:r>
                </w:p>
                <w:p>
                  <w:pPr>
                    <w:pStyle w:val="null3"/>
                    <w:jc w:val="center"/>
                  </w:p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抖音平台规则</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解析抖音平台算法机制、流量推荐规则、内容审核标准。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抖音平台内容偏好</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结合案例分析抖音爆款短视频的共性特征（如强开头、高互动、清晰人设）。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AIGC适配抖音的创作技巧</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AIGC工具在抖音内容创作中的精准应用，包括利用AI生成抖音风格的标题与文案、借助AI数字人工具制作虚拟主播出镜内容、通过AI工具生成符合抖音调性的背景音乐与音效；</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AIGC快速生成热门话题</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演示如何利用</w:t>
                  </w:r>
                  <w:r>
                    <w:rPr>
                      <w:rFonts w:ascii="仿宋_GB2312" w:hAnsi="仿宋_GB2312" w:cs="仿宋_GB2312" w:eastAsia="仿宋_GB2312"/>
                      <w:sz w:val="20"/>
                    </w:rPr>
                    <w:t>AI工具快速生成抖音热门话题相关的内容创意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抖音短视频全流程制作</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整合前期策划与拍摄技能，结合</w:t>
                  </w:r>
                  <w:r>
                    <w:rPr>
                      <w:rFonts w:ascii="仿宋_GB2312" w:hAnsi="仿宋_GB2312" w:cs="仿宋_GB2312" w:eastAsia="仿宋_GB2312"/>
                      <w:sz w:val="20"/>
                    </w:rPr>
                    <w:t>AIGC工具完成一条抖音短视频的制作，重点关注画面节奏、字幕样式、话题适配等平台化细节。</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抖音平台三农产品推荐短视频制作</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三农产品推荐短视频内容策划；</w:t>
                  </w:r>
                </w:p>
                <w:p>
                  <w:pPr>
                    <w:pStyle w:val="null3"/>
                    <w:jc w:val="both"/>
                  </w:pPr>
                  <w:r>
                    <w:rPr>
                      <w:rFonts w:ascii="仿宋_GB2312" w:hAnsi="仿宋_GB2312" w:cs="仿宋_GB2312" w:eastAsia="仿宋_GB2312"/>
                      <w:sz w:val="20"/>
                    </w:rPr>
                    <w:t>三农产品推荐短短视频创作要点；</w:t>
                  </w:r>
                </w:p>
                <w:p>
                  <w:pPr>
                    <w:pStyle w:val="null3"/>
                    <w:jc w:val="both"/>
                  </w:pPr>
                  <w:r>
                    <w:rPr>
                      <w:rFonts w:ascii="仿宋_GB2312" w:hAnsi="仿宋_GB2312" w:cs="仿宋_GB2312" w:eastAsia="仿宋_GB2312"/>
                      <w:sz w:val="20"/>
                    </w:rPr>
                    <w:t>三农产品短视频拍摄要点。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移动端短视频的后期制作</w:t>
                  </w:r>
                </w:p>
                <w:p>
                  <w:pPr>
                    <w:pStyle w:val="null3"/>
                    <w:jc w:val="center"/>
                  </w:p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主流移动端剪辑工具操作：认识剪映</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以剪映为例，讲解移动端剪辑的核心功能，包括素材导入与拼接、剪辑与分割、转场特效添加、字幕制作、背景音乐搭配等基础操作。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剪辑视频素材</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素材导入与分割</w:t>
                  </w:r>
                </w:p>
                <w:p>
                  <w:pPr>
                    <w:pStyle w:val="null3"/>
                    <w:jc w:val="both"/>
                  </w:pPr>
                  <w:r>
                    <w:rPr>
                      <w:rFonts w:ascii="仿宋_GB2312" w:hAnsi="仿宋_GB2312" w:cs="仿宋_GB2312" w:eastAsia="仿宋_GB2312"/>
                      <w:sz w:val="20"/>
                    </w:rPr>
                    <w:t>视频片段精剪</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视频特效的使用</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设计与制作视频特效</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使用剪映制作画面特效</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画中画功能的使用</w:t>
                  </w:r>
                </w:p>
                <w:p>
                  <w:pPr>
                    <w:pStyle w:val="null3"/>
                    <w:jc w:val="both"/>
                  </w:pPr>
                  <w:r>
                    <w:rPr>
                      <w:rFonts w:ascii="仿宋_GB2312" w:hAnsi="仿宋_GB2312" w:cs="仿宋_GB2312" w:eastAsia="仿宋_GB2312"/>
                      <w:sz w:val="20"/>
                    </w:rPr>
                    <w:t>蒙版功能的使用</w:t>
                  </w:r>
                </w:p>
                <w:p>
                  <w:pPr>
                    <w:pStyle w:val="null3"/>
                    <w:jc w:val="both"/>
                  </w:pPr>
                  <w:r>
                    <w:rPr>
                      <w:rFonts w:ascii="仿宋_GB2312" w:hAnsi="仿宋_GB2312" w:cs="仿宋_GB2312" w:eastAsia="仿宋_GB2312"/>
                      <w:sz w:val="20"/>
                    </w:rPr>
                    <w:t>关键帧的使用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制作视频效果与专场</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视频效果设计</w:t>
                  </w:r>
                </w:p>
                <w:p>
                  <w:pPr>
                    <w:pStyle w:val="null3"/>
                    <w:jc w:val="both"/>
                  </w:pPr>
                  <w:r>
                    <w:rPr>
                      <w:rFonts w:ascii="仿宋_GB2312" w:hAnsi="仿宋_GB2312" w:cs="仿宋_GB2312" w:eastAsia="仿宋_GB2312"/>
                      <w:sz w:val="20"/>
                    </w:rPr>
                    <w:t>专场设置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设置画面滤镜与色调</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设置滤镜</w:t>
                  </w:r>
                </w:p>
                <w:p>
                  <w:pPr>
                    <w:pStyle w:val="null3"/>
                    <w:jc w:val="both"/>
                  </w:pPr>
                  <w:r>
                    <w:rPr>
                      <w:rFonts w:ascii="仿宋_GB2312" w:hAnsi="仿宋_GB2312" w:cs="仿宋_GB2312" w:eastAsia="仿宋_GB2312"/>
                      <w:sz w:val="20"/>
                    </w:rPr>
                    <w:t>调整画面颜色</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编辑音频与字幕</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设置音频</w:t>
                  </w:r>
                </w:p>
                <w:p>
                  <w:pPr>
                    <w:pStyle w:val="null3"/>
                    <w:jc w:val="both"/>
                  </w:pPr>
                  <w:r>
                    <w:rPr>
                      <w:rFonts w:ascii="仿宋_GB2312" w:hAnsi="仿宋_GB2312" w:cs="仿宋_GB2312" w:eastAsia="仿宋_GB2312"/>
                      <w:sz w:val="20"/>
                    </w:rPr>
                    <w:t>设置字幕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制作片头与片尾</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制作片头</w:t>
                  </w:r>
                </w:p>
                <w:p>
                  <w:pPr>
                    <w:pStyle w:val="null3"/>
                    <w:jc w:val="both"/>
                  </w:pPr>
                  <w:r>
                    <w:rPr>
                      <w:rFonts w:ascii="仿宋_GB2312" w:hAnsi="仿宋_GB2312" w:cs="仿宋_GB2312" w:eastAsia="仿宋_GB2312"/>
                      <w:sz w:val="20"/>
                    </w:rPr>
                    <w:t>制作片尾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移动端</w:t>
                  </w:r>
                  <w:r>
                    <w:rPr>
                      <w:rFonts w:ascii="仿宋_GB2312" w:hAnsi="仿宋_GB2312" w:cs="仿宋_GB2312" w:eastAsia="仿宋_GB2312"/>
                      <w:sz w:val="20"/>
                    </w:rPr>
                    <w:t>AIGC剪辑技巧</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演示剪映的</w:t>
                  </w:r>
                  <w:r>
                    <w:rPr>
                      <w:rFonts w:ascii="仿宋_GB2312" w:hAnsi="仿宋_GB2312" w:cs="仿宋_GB2312" w:eastAsia="仿宋_GB2312"/>
                      <w:sz w:val="20"/>
                    </w:rPr>
                    <w:t>AI功能应用，如AI自动字幕生成与校对、AI智能剪辑AI特效推荐、AI画质增强等；</w:t>
                  </w:r>
                </w:p>
                <w:p>
                  <w:pPr>
                    <w:pStyle w:val="null3"/>
                    <w:jc w:val="both"/>
                  </w:pPr>
                  <w:r>
                    <w:rPr>
                      <w:rFonts w:ascii="仿宋_GB2312" w:hAnsi="仿宋_GB2312" w:cs="仿宋_GB2312" w:eastAsia="仿宋_GB2312"/>
                      <w:sz w:val="20"/>
                    </w:rPr>
                    <w:t>利用移动端</w:t>
                  </w:r>
                  <w:r>
                    <w:rPr>
                      <w:rFonts w:ascii="仿宋_GB2312" w:hAnsi="仿宋_GB2312" w:cs="仿宋_GB2312" w:eastAsia="仿宋_GB2312"/>
                      <w:sz w:val="20"/>
                    </w:rPr>
                    <w:t>AI工具快速制作卡点视频、图文成片等热门形式。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轻量化后期优化</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讲解移动端短视频的快速调色、滤镜搭配、水印添加等优化技巧；</w:t>
                  </w:r>
                </w:p>
                <w:p>
                  <w:pPr>
                    <w:pStyle w:val="null3"/>
                    <w:jc w:val="both"/>
                  </w:pPr>
                  <w:r>
                    <w:rPr>
                      <w:rFonts w:ascii="仿宋_GB2312" w:hAnsi="仿宋_GB2312" w:cs="仿宋_GB2312" w:eastAsia="仿宋_GB2312"/>
                      <w:sz w:val="20"/>
                    </w:rPr>
                    <w:t>介绍如何利用</w:t>
                  </w:r>
                  <w:r>
                    <w:rPr>
                      <w:rFonts w:ascii="仿宋_GB2312" w:hAnsi="仿宋_GB2312" w:cs="仿宋_GB2312" w:eastAsia="仿宋_GB2312"/>
                      <w:sz w:val="20"/>
                    </w:rPr>
                    <w:t>AI工具快速处理移动端拍摄的瑕疵素材。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AIGC辅助PC端短视频的后期制作</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PC端专业剪辑工具基础</w:t>
                  </w:r>
                </w:p>
                <w:p>
                  <w:pPr>
                    <w:pStyle w:val="null3"/>
                    <w:jc w:val="left"/>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认知</w:t>
                  </w:r>
                  <w:r>
                    <w:rPr>
                      <w:rFonts w:ascii="仿宋_GB2312" w:hAnsi="仿宋_GB2312" w:cs="仿宋_GB2312" w:eastAsia="仿宋_GB2312"/>
                      <w:sz w:val="20"/>
                    </w:rPr>
                    <w:t>PR,讲解PC端剪辑的进阶操作，包括多轨道剪辑、精准调色、音频混音、关键帧动画制作等核心技能；</w:t>
                  </w:r>
                </w:p>
                <w:p>
                  <w:pPr>
                    <w:pStyle w:val="null3"/>
                    <w:jc w:val="both"/>
                  </w:pPr>
                  <w:r>
                    <w:rPr>
                      <w:rFonts w:ascii="仿宋_GB2312" w:hAnsi="仿宋_GB2312" w:cs="仿宋_GB2312" w:eastAsia="仿宋_GB2312"/>
                      <w:sz w:val="20"/>
                    </w:rPr>
                    <w:t>对比移动端与</w:t>
                  </w:r>
                  <w:r>
                    <w:rPr>
                      <w:rFonts w:ascii="仿宋_GB2312" w:hAnsi="仿宋_GB2312" w:cs="仿宋_GB2312" w:eastAsia="仿宋_GB2312"/>
                      <w:sz w:val="20"/>
                    </w:rPr>
                    <w:t>PC端剪辑的适用场景。</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Premiere剪辑短视频的基本流程（1）</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粗剪视频：素材导入、管理素材、创建序列、将素材添加到序列、修剪视频、复制、移动与替换剪辑。</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Premiere剪辑短视频的基本流程（2）</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精剪视频：调整视频播放速度、添加视频效果、添加动画效果。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Premirer剪辑短视频的基本流程（3）</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精剪视频：添加专场效果、设置时间重映射。</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设置画面色调与滤镜</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认识调色示波器；</w:t>
                  </w:r>
                </w:p>
                <w:p>
                  <w:pPr>
                    <w:pStyle w:val="null3"/>
                    <w:jc w:val="both"/>
                  </w:pPr>
                  <w:r>
                    <w:rPr>
                      <w:rFonts w:ascii="仿宋_GB2312" w:hAnsi="仿宋_GB2312" w:cs="仿宋_GB2312" w:eastAsia="仿宋_GB2312"/>
                      <w:sz w:val="20"/>
                    </w:rPr>
                    <w:t>视频颜色校正；</w:t>
                  </w:r>
                </w:p>
                <w:p>
                  <w:pPr>
                    <w:pStyle w:val="null3"/>
                    <w:jc w:val="both"/>
                  </w:pPr>
                  <w:r>
                    <w:rPr>
                      <w:rFonts w:ascii="仿宋_GB2312" w:hAnsi="仿宋_GB2312" w:cs="仿宋_GB2312" w:eastAsia="仿宋_GB2312"/>
                      <w:sz w:val="20"/>
                    </w:rPr>
                    <w:t>使用滤镜调色。</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编辑音频与字幕</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添加与编辑音频；</w:t>
                  </w:r>
                </w:p>
                <w:p>
                  <w:pPr>
                    <w:pStyle w:val="null3"/>
                    <w:jc w:val="both"/>
                  </w:pPr>
                  <w:r>
                    <w:rPr>
                      <w:rFonts w:ascii="仿宋_GB2312" w:hAnsi="仿宋_GB2312" w:cs="仿宋_GB2312" w:eastAsia="仿宋_GB2312"/>
                      <w:sz w:val="20"/>
                    </w:rPr>
                    <w:t>添加与编辑旁白字幕。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制作片头与片尾</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制作片头</w:t>
                  </w:r>
                </w:p>
                <w:p>
                  <w:pPr>
                    <w:pStyle w:val="null3"/>
                    <w:jc w:val="both"/>
                  </w:pPr>
                  <w:r>
                    <w:rPr>
                      <w:rFonts w:ascii="仿宋_GB2312" w:hAnsi="仿宋_GB2312" w:cs="仿宋_GB2312" w:eastAsia="仿宋_GB2312"/>
                      <w:sz w:val="20"/>
                    </w:rPr>
                    <w:t>制作片尾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PC端AIGC后期深度应用</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专业级</w:t>
                  </w:r>
                  <w:r>
                    <w:rPr>
                      <w:rFonts w:ascii="仿宋_GB2312" w:hAnsi="仿宋_GB2312" w:cs="仿宋_GB2312" w:eastAsia="仿宋_GB2312"/>
                      <w:sz w:val="20"/>
                    </w:rPr>
                    <w:t>AIGC工具与PC端剪辑软件的协同使用，包括利用MidJourney生成高质量背景素材并导入PR、借助Runway的AI生成功能制作特效镜头；</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使用</w:t>
                  </w:r>
                  <w:r>
                    <w:rPr>
                      <w:rFonts w:ascii="仿宋_GB2312" w:hAnsi="仿宋_GB2312" w:cs="仿宋_GB2312" w:eastAsia="仿宋_GB2312"/>
                      <w:sz w:val="20"/>
                    </w:rPr>
                    <w:t>AI工具后期调色</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通过</w:t>
                  </w:r>
                  <w:r>
                    <w:rPr>
                      <w:rFonts w:ascii="仿宋_GB2312" w:hAnsi="仿宋_GB2312" w:cs="仿宋_GB2312" w:eastAsia="仿宋_GB2312"/>
                      <w:sz w:val="20"/>
                    </w:rPr>
                    <w:t>AI调色工具提升画面质感、利用AI音频工具进行降噪与配音。</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专业级内容创作</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针对商业广告、品牌宣传等专业场景，利用</w:t>
                  </w:r>
                  <w:r>
                    <w:rPr>
                      <w:rFonts w:ascii="仿宋_GB2312" w:hAnsi="仿宋_GB2312" w:cs="仿宋_GB2312" w:eastAsia="仿宋_GB2312"/>
                      <w:sz w:val="20"/>
                    </w:rPr>
                    <w:t>AIGC工具制作创意特效、虚拟场景合成、AI数字人出镜合成等进阶内容；</w:t>
                  </w:r>
                </w:p>
                <w:p>
                  <w:pPr>
                    <w:pStyle w:val="null3"/>
                    <w:jc w:val="both"/>
                  </w:pPr>
                  <w:r>
                    <w:rPr>
                      <w:rFonts w:ascii="仿宋_GB2312" w:hAnsi="仿宋_GB2312" w:cs="仿宋_GB2312" w:eastAsia="仿宋_GB2312"/>
                      <w:sz w:val="20"/>
                    </w:rPr>
                    <w:t>讲解短视频后期的版权风险规避（如</w:t>
                  </w:r>
                  <w:r>
                    <w:rPr>
                      <w:rFonts w:ascii="仿宋_GB2312" w:hAnsi="仿宋_GB2312" w:cs="仿宋_GB2312" w:eastAsia="仿宋_GB2312"/>
                      <w:sz w:val="20"/>
                    </w:rPr>
                    <w:t>AI素材版权核查）。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AIGC工具辅助短视频发布与账号运营</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短视频发布全流程</w:t>
                  </w:r>
                </w:p>
                <w:p>
                  <w:pPr>
                    <w:pStyle w:val="null3"/>
                    <w:jc w:val="left"/>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主流平台（抖音、视频号）的发布规则；</w:t>
                  </w:r>
                </w:p>
                <w:p>
                  <w:pPr>
                    <w:pStyle w:val="null3"/>
                    <w:jc w:val="both"/>
                  </w:pPr>
                  <w:r>
                    <w:rPr>
                      <w:rFonts w:ascii="仿宋_GB2312" w:hAnsi="仿宋_GB2312" w:cs="仿宋_GB2312" w:eastAsia="仿宋_GB2312"/>
                      <w:sz w:val="20"/>
                    </w:rPr>
                    <w:t>发布界面设置（标题、话题、定位、封面）</w:t>
                  </w:r>
                </w:p>
                <w:p>
                  <w:pPr>
                    <w:pStyle w:val="null3"/>
                    <w:jc w:val="both"/>
                  </w:pPr>
                  <w:r>
                    <w:rPr>
                      <w:rFonts w:ascii="仿宋_GB2312" w:hAnsi="仿宋_GB2312" w:cs="仿宋_GB2312" w:eastAsia="仿宋_GB2312"/>
                      <w:sz w:val="20"/>
                    </w:rPr>
                    <w:t>发布时间选择。</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多平台短视频发布</w:t>
                  </w:r>
                </w:p>
                <w:p>
                  <w:pPr>
                    <w:pStyle w:val="null3"/>
                    <w:jc w:val="left"/>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多平台短视频发布技巧。</w:t>
                  </w:r>
                </w:p>
                <w:p>
                  <w:pPr>
                    <w:pStyle w:val="null3"/>
                    <w:jc w:val="both"/>
                  </w:pPr>
                  <w:r>
                    <w:rPr>
                      <w:rFonts w:ascii="仿宋_GB2312" w:hAnsi="仿宋_GB2312" w:cs="仿宋_GB2312" w:eastAsia="仿宋_GB2312"/>
                      <w:sz w:val="20"/>
                    </w:rPr>
                    <w:t>利用</w:t>
                  </w:r>
                  <w:r>
                    <w:rPr>
                      <w:rFonts w:ascii="仿宋_GB2312" w:hAnsi="仿宋_GB2312" w:cs="仿宋_GB2312" w:eastAsia="仿宋_GB2312"/>
                      <w:sz w:val="20"/>
                    </w:rPr>
                    <w:t>AIGC工具快速生成不同平台的发布文案（如抖音短文案、视频号长文案）。</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AIGC辅助账号定位与人设打造</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通过</w:t>
                  </w:r>
                  <w:r>
                    <w:rPr>
                      <w:rFonts w:ascii="仿宋_GB2312" w:hAnsi="仿宋_GB2312" w:cs="仿宋_GB2312" w:eastAsia="仿宋_GB2312"/>
                      <w:sz w:val="20"/>
                    </w:rPr>
                    <w:t>AI数据分析工具调研行业竞品账号，明确自身账号定位。</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AIGC辅助账号人设打造</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利用</w:t>
                  </w:r>
                  <w:r>
                    <w:rPr>
                      <w:rFonts w:ascii="仿宋_GB2312" w:hAnsi="仿宋_GB2312" w:cs="仿宋_GB2312" w:eastAsia="仿宋_GB2312"/>
                      <w:sz w:val="20"/>
                    </w:rPr>
                    <w:t>AI工具生成账号头像、背景图等视觉素材，塑造统一账号人设；</w:t>
                  </w:r>
                </w:p>
                <w:p>
                  <w:pPr>
                    <w:pStyle w:val="null3"/>
                    <w:jc w:val="both"/>
                  </w:pPr>
                  <w:r>
                    <w:rPr>
                      <w:rFonts w:ascii="仿宋_GB2312" w:hAnsi="仿宋_GB2312" w:cs="仿宋_GB2312" w:eastAsia="仿宋_GB2312"/>
                      <w:sz w:val="20"/>
                    </w:rPr>
                    <w:t>借助</w:t>
                  </w:r>
                  <w:r>
                    <w:rPr>
                      <w:rFonts w:ascii="仿宋_GB2312" w:hAnsi="仿宋_GB2312" w:cs="仿宋_GB2312" w:eastAsia="仿宋_GB2312"/>
                      <w:sz w:val="20"/>
                    </w:rPr>
                    <w:t>AI工具规划账号内容矩阵。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AIGC驱动数据运营</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利用</w:t>
                  </w:r>
                  <w:r>
                    <w:rPr>
                      <w:rFonts w:ascii="仿宋_GB2312" w:hAnsi="仿宋_GB2312" w:cs="仿宋_GB2312" w:eastAsia="仿宋_GB2312"/>
                      <w:sz w:val="20"/>
                    </w:rPr>
                    <w:t>AI数据监测工具（如抖音创作者服务中心AI分析）追踪视频播放量、点赞率、转化率等核心数据；</w:t>
                  </w:r>
                </w:p>
                <w:p>
                  <w:pPr>
                    <w:pStyle w:val="null3"/>
                    <w:jc w:val="both"/>
                  </w:pPr>
                  <w:r>
                    <w:rPr>
                      <w:rFonts w:ascii="仿宋_GB2312" w:hAnsi="仿宋_GB2312" w:cs="仿宋_GB2312" w:eastAsia="仿宋_GB2312"/>
                      <w:sz w:val="20"/>
                    </w:rPr>
                    <w:t>通过</w:t>
                  </w:r>
                  <w:r>
                    <w:rPr>
                      <w:rFonts w:ascii="仿宋_GB2312" w:hAnsi="仿宋_GB2312" w:cs="仿宋_GB2312" w:eastAsia="仿宋_GB2312"/>
                      <w:sz w:val="20"/>
                    </w:rPr>
                    <w:t>AI工具分析数据背后的用户偏好，优化内容创作方向。</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AIGC驱动粉丝画像</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利用</w:t>
                  </w:r>
                  <w:r>
                    <w:rPr>
                      <w:rFonts w:ascii="仿宋_GB2312" w:hAnsi="仿宋_GB2312" w:cs="仿宋_GB2312" w:eastAsia="仿宋_GB2312"/>
                      <w:sz w:val="20"/>
                    </w:rPr>
                    <w:t>AI工具进行评论区智能回复、粉丝画像分析等运营技巧。</w:t>
                  </w:r>
                </w:p>
              </w:tc>
            </w:tr>
          </w:tbl>
          <w:p>
            <w:pPr>
              <w:pStyle w:val="null3"/>
              <w:ind w:firstLine="400"/>
              <w:jc w:val="both"/>
            </w:pP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AIGC+短视频策划制作》</w:t>
            </w:r>
            <w:r>
              <w:rPr>
                <w:rFonts w:ascii="仿宋_GB2312" w:hAnsi="仿宋_GB2312" w:cs="仿宋_GB2312" w:eastAsia="仿宋_GB2312"/>
                <w:sz w:val="20"/>
                <w:color w:val="000000"/>
              </w:rPr>
              <w:t>课程录制</w:t>
            </w:r>
            <w:r>
              <w:rPr>
                <w:rFonts w:ascii="仿宋_GB2312" w:hAnsi="仿宋_GB2312" w:cs="仿宋_GB2312" w:eastAsia="仿宋_GB2312"/>
                <w:sz w:val="20"/>
              </w:rPr>
              <w:t>14</w:t>
            </w:r>
            <w:r>
              <w:rPr>
                <w:rFonts w:ascii="仿宋_GB2312" w:hAnsi="仿宋_GB2312" w:cs="仿宋_GB2312" w:eastAsia="仿宋_GB2312"/>
                <w:sz w:val="20"/>
                <w:color w:val="000000"/>
              </w:rPr>
              <w:t>个动画</w:t>
            </w:r>
          </w:p>
          <w:tbl>
            <w:tblPr>
              <w:tblBorders>
                <w:top w:val="none" w:color="000000" w:sz="4"/>
                <w:left w:val="none" w:color="000000" w:sz="4"/>
                <w:bottom w:val="none" w:color="000000" w:sz="4"/>
                <w:right w:val="none" w:color="000000" w:sz="4"/>
                <w:insideH w:val="none"/>
                <w:insideV w:val="none"/>
              </w:tblBorders>
            </w:tblPr>
            <w:tblGrid>
              <w:gridCol w:w="233"/>
              <w:gridCol w:w="556"/>
              <w:gridCol w:w="973"/>
              <w:gridCol w:w="1045"/>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学习情景</w:t>
                  </w:r>
                </w:p>
              </w:tc>
              <w:tc>
                <w:tcPr>
                  <w:tcW w:type="dxa" w:w="9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节名</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知识</w:t>
                  </w:r>
                  <w:r>
                    <w:rPr>
                      <w:rFonts w:ascii="仿宋_GB2312" w:hAnsi="仿宋_GB2312" w:cs="仿宋_GB2312" w:eastAsia="仿宋_GB2312"/>
                      <w:sz w:val="20"/>
                      <w:b/>
                    </w:rPr>
                    <w:t>（技能）</w:t>
                  </w:r>
                  <w:r>
                    <w:rPr>
                      <w:rFonts w:ascii="仿宋_GB2312" w:hAnsi="仿宋_GB2312" w:cs="仿宋_GB2312" w:eastAsia="仿宋_GB2312"/>
                      <w:sz w:val="20"/>
                      <w:b/>
                    </w:rPr>
                    <w:t>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AIGC在短视频制作中的应用</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短视频</w:t>
                  </w:r>
                  <w:r>
                    <w:rPr>
                      <w:rFonts w:ascii="仿宋_GB2312" w:hAnsi="仿宋_GB2312" w:cs="仿宋_GB2312" w:eastAsia="仿宋_GB2312"/>
                      <w:sz w:val="20"/>
                    </w:rPr>
                    <w:t>创作人才的岗位职责</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短视频</w:t>
                  </w:r>
                  <w:r>
                    <w:rPr>
                      <w:rFonts w:ascii="仿宋_GB2312" w:hAnsi="仿宋_GB2312" w:cs="仿宋_GB2312" w:eastAsia="仿宋_GB2312"/>
                      <w:sz w:val="20"/>
                    </w:rPr>
                    <w:t>创作人才的岗位职责、技能要求、素养要求。（动画视频</w:t>
                  </w:r>
                  <w:r>
                    <w:rPr>
                      <w:rFonts w:ascii="仿宋_GB2312" w:hAnsi="仿宋_GB2312" w:cs="仿宋_GB2312" w:eastAsia="仿宋_GB2312"/>
                      <w:sz w:val="20"/>
                    </w:rPr>
                    <w:t>6-8分钟）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w:t>
                  </w:r>
                  <w:r>
                    <w:rPr>
                      <w:rFonts w:ascii="仿宋_GB2312" w:hAnsi="仿宋_GB2312" w:cs="仿宋_GB2312" w:eastAsia="仿宋_GB2312"/>
                      <w:sz w:val="20"/>
                    </w:rPr>
                    <w:t>基础知识</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AIGC技术原理</w:t>
                  </w:r>
                  <w:r>
                    <w:rPr>
                      <w:rFonts w:ascii="仿宋_GB2312" w:hAnsi="仿宋_GB2312" w:cs="仿宋_GB2312" w:eastAsia="仿宋_GB2312"/>
                      <w:sz w:val="20"/>
                    </w:rPr>
                    <w:t>。（</w:t>
                  </w:r>
                  <w:r>
                    <w:rPr>
                      <w:rFonts w:ascii="仿宋_GB2312" w:hAnsi="仿宋_GB2312" w:cs="仿宋_GB2312" w:eastAsia="仿宋_GB2312"/>
                      <w:sz w:val="20"/>
                    </w:rPr>
                    <w:t>动画视频展示</w:t>
                  </w:r>
                  <w:r>
                    <w:rPr>
                      <w:rFonts w:ascii="仿宋_GB2312" w:hAnsi="仿宋_GB2312" w:cs="仿宋_GB2312" w:eastAsia="仿宋_GB2312"/>
                      <w:sz w:val="20"/>
                    </w:rPr>
                    <w:t>2-3分钟</w:t>
                  </w:r>
                  <w:r>
                    <w:rPr>
                      <w:rFonts w:ascii="仿宋_GB2312" w:hAnsi="仿宋_GB2312" w:cs="仿宋_GB2312" w:eastAsia="仿宋_GB2312"/>
                      <w:sz w:val="20"/>
                    </w:rPr>
                    <w:t>）</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AIGC辅助短视频策划与制作流程</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短视频策划核心环节</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短视频策划的完整流程</w:t>
                  </w:r>
                  <w:r>
                    <w:rPr>
                      <w:rFonts w:ascii="仿宋_GB2312" w:hAnsi="仿宋_GB2312" w:cs="仿宋_GB2312" w:eastAsia="仿宋_GB2312"/>
                      <w:sz w:val="20"/>
                    </w:rPr>
                    <w:t>（</w:t>
                  </w:r>
                  <w:r>
                    <w:rPr>
                      <w:rFonts w:ascii="仿宋_GB2312" w:hAnsi="仿宋_GB2312" w:cs="仿宋_GB2312" w:eastAsia="仿宋_GB2312"/>
                      <w:sz w:val="20"/>
                    </w:rPr>
                    <w:t>动画视频</w:t>
                  </w:r>
                  <w:r>
                    <w:rPr>
                      <w:rFonts w:ascii="仿宋_GB2312" w:hAnsi="仿宋_GB2312" w:cs="仿宋_GB2312" w:eastAsia="仿宋_GB2312"/>
                      <w:sz w:val="20"/>
                    </w:rPr>
                    <w:t>2-3分钟</w:t>
                  </w:r>
                  <w:r>
                    <w:rPr>
                      <w:rFonts w:ascii="仿宋_GB2312" w:hAnsi="仿宋_GB2312" w:cs="仿宋_GB2312" w:eastAsia="仿宋_GB2312"/>
                      <w:sz w:val="20"/>
                    </w:rPr>
                    <w:t>）</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AIGC辅助策划技巧</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利用</w:t>
                  </w:r>
                  <w:r>
                    <w:rPr>
                      <w:rFonts w:ascii="仿宋_GB2312" w:hAnsi="仿宋_GB2312" w:cs="仿宋_GB2312" w:eastAsia="仿宋_GB2312"/>
                      <w:sz w:val="20"/>
                    </w:rPr>
                    <w:t>AIGC进行受众画像分析、主题创意（动画视频2-3分钟）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短视频制作的基本技能</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脚本撰写技能</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通过实例演练掌握不同风格短视频的脚本撰写技巧。（动画视频</w:t>
                  </w:r>
                  <w:r>
                    <w:rPr>
                      <w:rFonts w:ascii="仿宋_GB2312" w:hAnsi="仿宋_GB2312" w:cs="仿宋_GB2312" w:eastAsia="仿宋_GB2312"/>
                      <w:sz w:val="20"/>
                    </w:rPr>
                    <w:t>5-7分钟）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拍摄基础技能（</w:t>
                  </w:r>
                  <w:r>
                    <w:rPr>
                      <w:rFonts w:ascii="仿宋_GB2312" w:hAnsi="仿宋_GB2312" w:cs="仿宋_GB2312" w:eastAsia="仿宋_GB2312"/>
                      <w:sz w:val="20"/>
                    </w:rPr>
                    <w:t>1）拍摄设备</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认识相机的重要拍摄参数；</w:t>
                  </w:r>
                </w:p>
                <w:p>
                  <w:pPr>
                    <w:pStyle w:val="null3"/>
                    <w:jc w:val="both"/>
                  </w:pPr>
                  <w:r>
                    <w:rPr>
                      <w:rFonts w:ascii="仿宋_GB2312" w:hAnsi="仿宋_GB2312" w:cs="仿宋_GB2312" w:eastAsia="仿宋_GB2312"/>
                      <w:sz w:val="20"/>
                    </w:rPr>
                    <w:t>认识手机的重要拍摄参数；</w:t>
                  </w:r>
                </w:p>
                <w:p>
                  <w:pPr>
                    <w:pStyle w:val="null3"/>
                    <w:jc w:val="both"/>
                  </w:pPr>
                  <w:r>
                    <w:rPr>
                      <w:rFonts w:ascii="仿宋_GB2312" w:hAnsi="仿宋_GB2312" w:cs="仿宋_GB2312" w:eastAsia="仿宋_GB2312"/>
                      <w:sz w:val="20"/>
                    </w:rPr>
                    <w:t>（动画视频讲解</w:t>
                  </w:r>
                  <w:r>
                    <w:rPr>
                      <w:rFonts w:ascii="仿宋_GB2312" w:hAnsi="仿宋_GB2312" w:cs="仿宋_GB2312" w:eastAsia="仿宋_GB2312"/>
                      <w:sz w:val="20"/>
                    </w:rPr>
                    <w:t>5分钟）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AIGC辅助短视频的拍摄</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AIGC在拍摄中的实时应用</w:t>
                  </w:r>
                </w:p>
                <w:p>
                  <w:pPr>
                    <w:pStyle w:val="null3"/>
                    <w:jc w:val="left"/>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演示如何利用手机</w:t>
                  </w:r>
                  <w:r>
                    <w:rPr>
                      <w:rFonts w:ascii="仿宋_GB2312" w:hAnsi="仿宋_GB2312" w:cs="仿宋_GB2312" w:eastAsia="仿宋_GB2312"/>
                      <w:sz w:val="20"/>
                    </w:rPr>
                    <w:t>AI拍摄功能提升拍摄质量。（动画视频演示3分钟）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使用</w:t>
                  </w:r>
                  <w:r>
                    <w:rPr>
                      <w:rFonts w:ascii="仿宋_GB2312" w:hAnsi="仿宋_GB2312" w:cs="仿宋_GB2312" w:eastAsia="仿宋_GB2312"/>
                      <w:sz w:val="20"/>
                    </w:rPr>
                    <w:t>AI工具生成视频素材</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使用</w:t>
                  </w:r>
                  <w:r>
                    <w:rPr>
                      <w:rFonts w:ascii="仿宋_GB2312" w:hAnsi="仿宋_GB2312" w:cs="仿宋_GB2312" w:eastAsia="仿宋_GB2312"/>
                      <w:sz w:val="20"/>
                    </w:rPr>
                    <w:t>AI 生成视频素材要注意的问题。（动画视频2分钟）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AIGC进行抖音短视频的制作</w:t>
                  </w:r>
                </w:p>
                <w:p>
                  <w:pPr>
                    <w:pStyle w:val="null3"/>
                    <w:jc w:val="center"/>
                  </w:p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抖音平台规则</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解析抖音平台算法机制、流量推荐规则（动画视频演示</w:t>
                  </w:r>
                  <w:r>
                    <w:rPr>
                      <w:rFonts w:ascii="仿宋_GB2312" w:hAnsi="仿宋_GB2312" w:cs="仿宋_GB2312" w:eastAsia="仿宋_GB2312"/>
                      <w:sz w:val="20"/>
                    </w:rPr>
                    <w:t>3-5分钟）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AIGC适配抖音的创作技巧</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借助</w:t>
                  </w:r>
                  <w:r>
                    <w:rPr>
                      <w:rFonts w:ascii="仿宋_GB2312" w:hAnsi="仿宋_GB2312" w:cs="仿宋_GB2312" w:eastAsia="仿宋_GB2312"/>
                      <w:sz w:val="20"/>
                    </w:rPr>
                    <w:t>AI数字人工具制作虚拟主播出镜内容、通过AI工具生成符合抖音调性的背景音乐与音效（动画视频演示3-5分钟）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抖音短视频全流程制作</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整合前期策划与拍摄技能，结合</w:t>
                  </w:r>
                  <w:r>
                    <w:rPr>
                      <w:rFonts w:ascii="仿宋_GB2312" w:hAnsi="仿宋_GB2312" w:cs="仿宋_GB2312" w:eastAsia="仿宋_GB2312"/>
                      <w:sz w:val="20"/>
                    </w:rPr>
                    <w:t>AIGC工具完成一条抖音短视频的制作，重点关注画面节奏、字幕样式、话题适配等平台化细节（动画视频演示6-8分钟）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AIGC工具辅助短视频发布与账号运营</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AIGC辅助账号定位与人设打造</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通过</w:t>
                  </w:r>
                  <w:r>
                    <w:rPr>
                      <w:rFonts w:ascii="仿宋_GB2312" w:hAnsi="仿宋_GB2312" w:cs="仿宋_GB2312" w:eastAsia="仿宋_GB2312"/>
                      <w:sz w:val="20"/>
                    </w:rPr>
                    <w:t>AI数据分析工具调研行业竞品账号，明确自身账号定位。（动画视频演示4-6分钟）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AIGC辅助账号人设打造</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利用</w:t>
                  </w:r>
                  <w:r>
                    <w:rPr>
                      <w:rFonts w:ascii="仿宋_GB2312" w:hAnsi="仿宋_GB2312" w:cs="仿宋_GB2312" w:eastAsia="仿宋_GB2312"/>
                      <w:sz w:val="20"/>
                    </w:rPr>
                    <w:t>AI工具生成账号头像、背景图等视觉素材，塑造统一账号人设（动画视频演示2-4分钟）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AIGC驱动数据运营</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播放量、点赞率、转化率等核心数据的讲解（动画视频</w:t>
                  </w:r>
                  <w:r>
                    <w:rPr>
                      <w:rFonts w:ascii="仿宋_GB2312" w:hAnsi="仿宋_GB2312" w:cs="仿宋_GB2312" w:eastAsia="仿宋_GB2312"/>
                      <w:sz w:val="20"/>
                    </w:rPr>
                    <w:t>2-3分钟）</w:t>
                  </w:r>
                </w:p>
                <w:p>
                  <w:pPr>
                    <w:pStyle w:val="null3"/>
                    <w:jc w:val="both"/>
                  </w:pPr>
                </w:p>
              </w:tc>
            </w:tr>
          </w:tbl>
          <w:p>
            <w:pPr>
              <w:pStyle w:val="null3"/>
              <w:jc w:val="both"/>
            </w:pPr>
            <w:r>
              <w:rPr>
                <w:rFonts w:ascii="仿宋_GB2312" w:hAnsi="仿宋_GB2312" w:cs="仿宋_GB2312" w:eastAsia="仿宋_GB2312"/>
                <w:sz w:val="20"/>
              </w:rPr>
              <w:t>（三）素材内容</w:t>
            </w:r>
          </w:p>
          <w:p>
            <w:pPr>
              <w:pStyle w:val="null3"/>
              <w:ind w:left="420" w:firstLine="400"/>
              <w:jc w:val="both"/>
            </w:pPr>
            <w:r>
              <w:rPr>
                <w:rFonts w:ascii="仿宋_GB2312" w:hAnsi="仿宋_GB2312" w:cs="仿宋_GB2312" w:eastAsia="仿宋_GB2312"/>
                <w:sz w:val="20"/>
              </w:rPr>
              <w:t>1、实战素材包：提供包括原始视频/音频片段、图片、文案等在内的不少于5套实战项目素材包，供学生用于剪辑、合成与创作练习（素材内容可根据课程实际情况进行调整）。</w:t>
            </w:r>
          </w:p>
          <w:tbl>
            <w:tblPr>
              <w:tblInd w:type="dxa" w:w="135"/>
              <w:tblBorders>
                <w:top w:val="none" w:color="000000" w:sz="4"/>
                <w:left w:val="none" w:color="000000" w:sz="4"/>
                <w:bottom w:val="none" w:color="000000" w:sz="4"/>
                <w:right w:val="none" w:color="000000" w:sz="4"/>
                <w:insideH w:val="none"/>
                <w:insideV w:val="none"/>
              </w:tblBorders>
            </w:tblPr>
            <w:tblGrid>
              <w:gridCol w:w="522"/>
              <w:gridCol w:w="1105"/>
              <w:gridCol w:w="534"/>
              <w:gridCol w:w="392"/>
            </w:tblGrid>
            <w:tr>
              <w:tc>
                <w:tcPr>
                  <w:tcW w:type="dxa" w:w="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资源包名称</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资源包包含的内容</w:t>
                  </w:r>
                </w:p>
              </w:tc>
              <w:tc>
                <w:tcPr>
                  <w:tcW w:type="dxa" w:w="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资源包的用途</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备注</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陕西临潼石榴视频资源</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石榴的视频片段不少于</w:t>
                  </w:r>
                  <w:r>
                    <w:rPr>
                      <w:rFonts w:ascii="仿宋_GB2312" w:hAnsi="仿宋_GB2312" w:cs="仿宋_GB2312" w:eastAsia="仿宋_GB2312"/>
                      <w:sz w:val="20"/>
                    </w:rPr>
                    <w:t>6段，每段时长10秒钟以上；石榴的文案介绍一段；视频背景音乐一段；剪辑完成的成品视频一段。</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练习短视频剪辑的流程</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西安市主要旅游景点视频资源包</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原始视频片段不少于</w:t>
                  </w:r>
                  <w:r>
                    <w:rPr>
                      <w:rFonts w:ascii="仿宋_GB2312" w:hAnsi="仿宋_GB2312" w:cs="仿宋_GB2312" w:eastAsia="仿宋_GB2312"/>
                      <w:sz w:val="20"/>
                    </w:rPr>
                    <w:t>10段；背景音乐一段；剪辑完成的视频作品一段（不少于40秒）</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练习短视频精简的步骤</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美食视频资源包</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拍摄美食原始视频</w:t>
                  </w:r>
                  <w:r>
                    <w:rPr>
                      <w:rFonts w:ascii="仿宋_GB2312" w:hAnsi="仿宋_GB2312" w:cs="仿宋_GB2312" w:eastAsia="仿宋_GB2312"/>
                      <w:sz w:val="20"/>
                    </w:rPr>
                    <w:t>6段以上；美食图片5张以上；剪辑完成的视频作品一段（不少于40秒）</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美食类短视频剪辑技巧</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风景素材资源包</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古镇风景高清图片</w:t>
                  </w:r>
                  <w:r>
                    <w:rPr>
                      <w:rFonts w:ascii="仿宋_GB2312" w:hAnsi="仿宋_GB2312" w:cs="仿宋_GB2312" w:eastAsia="仿宋_GB2312"/>
                      <w:sz w:val="20"/>
                    </w:rPr>
                    <w:t>15张以上，卡点背景音乐一段；剪辑完成卡点视频一段（15秒以上）</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卡点视频制作</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夏季花海视频资源包</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花海原始视频不少于</w:t>
                  </w:r>
                  <w:r>
                    <w:rPr>
                      <w:rFonts w:ascii="仿宋_GB2312" w:hAnsi="仿宋_GB2312" w:cs="仿宋_GB2312" w:eastAsia="仿宋_GB2312"/>
                      <w:sz w:val="20"/>
                    </w:rPr>
                    <w:t>4段，每段10秒钟以上；背景音乐第一段；剪辑完成色彩鲜艳的花海高清视频。</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视频作品调色的方法。</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0"/>
              </w:rPr>
              <w:t>2、AIGC工具清单与指南：整理并提供一份动态更新的主流AIGC工具清单（不少于10款AI成图工具），并附上核心工具的简明操作指南（包含即梦AI、通义万相、海艺AI、海螺AI 、绘影字幕、可灵AI等六种核心AI工具的操作指南）。</w:t>
            </w:r>
          </w:p>
          <w:p>
            <w:pPr>
              <w:pStyle w:val="null3"/>
              <w:ind w:left="420" w:firstLine="400"/>
              <w:jc w:val="both"/>
            </w:pPr>
            <w:r>
              <w:rPr>
                <w:rFonts w:ascii="仿宋_GB2312" w:hAnsi="仿宋_GB2312" w:cs="仿宋_GB2312" w:eastAsia="仿宋_GB2312"/>
                <w:sz w:val="20"/>
              </w:rPr>
              <w:t>操作指南要求以案例操作为例，有明确的操作步骤讲解，每一步骤要有截图展示。</w:t>
            </w:r>
          </w:p>
          <w:p>
            <w:pPr>
              <w:pStyle w:val="null3"/>
              <w:jc w:val="left"/>
            </w:pPr>
            <w:r>
              <w:rPr>
                <w:rFonts w:ascii="仿宋_GB2312" w:hAnsi="仿宋_GB2312" w:cs="仿宋_GB2312" w:eastAsia="仿宋_GB2312"/>
                <w:sz w:val="20"/>
                <w:b/>
                <w:color w:val="000000"/>
              </w:rPr>
              <w:t>七、</w:t>
            </w:r>
            <w:r>
              <w:rPr>
                <w:rFonts w:ascii="仿宋_GB2312" w:hAnsi="仿宋_GB2312" w:cs="仿宋_GB2312" w:eastAsia="仿宋_GB2312"/>
                <w:sz w:val="20"/>
                <w:b/>
                <w:color w:val="000000"/>
              </w:rPr>
              <w:t>《财务管理实务》</w:t>
            </w:r>
          </w:p>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《财务管理实务》课程录制</w:t>
            </w:r>
            <w:r>
              <w:rPr>
                <w:rFonts w:ascii="仿宋_GB2312" w:hAnsi="仿宋_GB2312" w:cs="仿宋_GB2312" w:eastAsia="仿宋_GB2312"/>
                <w:sz w:val="20"/>
                <w:color w:val="000000"/>
              </w:rPr>
              <w:t>64个微课</w:t>
            </w:r>
          </w:p>
          <w:tbl>
            <w:tblPr>
              <w:tblBorders>
                <w:top w:val="none" w:color="000000" w:sz="4"/>
                <w:left w:val="none" w:color="000000" w:sz="4"/>
                <w:bottom w:val="none" w:color="000000" w:sz="4"/>
                <w:right w:val="none" w:color="000000" w:sz="4"/>
                <w:insideH w:val="none"/>
                <w:insideV w:val="none"/>
              </w:tblBorders>
            </w:tblPr>
            <w:tblGrid>
              <w:gridCol w:w="233"/>
              <w:gridCol w:w="852"/>
              <w:gridCol w:w="740"/>
              <w:gridCol w:w="987"/>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8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学习情景</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节名</w:t>
                  </w:r>
                </w:p>
              </w:tc>
              <w:tc>
                <w:tcPr>
                  <w:tcW w:type="dxa" w:w="9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知识</w:t>
                  </w:r>
                  <w:r>
                    <w:rPr>
                      <w:rFonts w:ascii="仿宋_GB2312" w:hAnsi="仿宋_GB2312" w:cs="仿宋_GB2312" w:eastAsia="仿宋_GB2312"/>
                      <w:sz w:val="20"/>
                      <w:b/>
                    </w:rPr>
                    <w:t>（技能）</w:t>
                  </w:r>
                  <w:r>
                    <w:rPr>
                      <w:rFonts w:ascii="仿宋_GB2312" w:hAnsi="仿宋_GB2312" w:cs="仿宋_GB2312" w:eastAsia="仿宋_GB2312"/>
                      <w:sz w:val="20"/>
                      <w:b/>
                    </w:rPr>
                    <w:t>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任务一财务管理内容、企业财务管理机构设置、环节</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项目一</w:t>
                  </w:r>
                  <w:r>
                    <w:rPr>
                      <w:rFonts w:ascii="仿宋_GB2312" w:hAnsi="仿宋_GB2312" w:cs="仿宋_GB2312" w:eastAsia="仿宋_GB2312"/>
                      <w:sz w:val="20"/>
                    </w:rPr>
                    <w:t>财务管理岗位认知</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财务管理工作岗位内容、企业财务管理机构设置、财务管理工作环节</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任务二财务管理目标</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项目一</w:t>
                  </w:r>
                  <w:r>
                    <w:rPr>
                      <w:rFonts w:ascii="仿宋_GB2312" w:hAnsi="仿宋_GB2312" w:cs="仿宋_GB2312" w:eastAsia="仿宋_GB2312"/>
                      <w:sz w:val="20"/>
                    </w:rPr>
                    <w:t>财务管理岗位认知</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利润最大化、企业价值最大化、股东财务最大化</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任务一单利和复利</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项目二财务管理基本技能</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单利终值和现值认知、复利终值和现值认知计算</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任务二普通年金终值和现值</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项目二财务管理基本技能</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普通年金终值和现值认知计算</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任务四预付年金终值和现值</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项目二财务管理基本技能</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预付年金终值和现值认知与计算</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任务五递延年金和永续年金</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项目二财务管理基本技能</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递延年金和永续年金终值和现值认知与计算</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任务六风险与收益</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项目二财务管理基本技能</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风险衡量指标、风险收益关系、风险管理策略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思政园地：探知求真，启智润心</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项目二财务管理基本技能</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终身学习</w:t>
                  </w:r>
                  <w:r>
                    <w:rPr>
                      <w:rFonts w:ascii="仿宋_GB2312" w:hAnsi="仿宋_GB2312" w:cs="仿宋_GB2312" w:eastAsia="仿宋_GB2312"/>
                      <w:sz w:val="20"/>
                    </w:rPr>
                    <w:t>-数智时代做好财务管理的破局关键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任务一</w:t>
                  </w:r>
                  <w:r>
                    <w:rPr>
                      <w:rFonts w:ascii="仿宋_GB2312" w:hAnsi="仿宋_GB2312" w:cs="仿宋_GB2312" w:eastAsia="仿宋_GB2312"/>
                      <w:sz w:val="20"/>
                    </w:rPr>
                    <w:t>资金需要量预测</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项目三筹资管理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筹资方式介绍、</w:t>
                  </w:r>
                  <w:r>
                    <w:rPr>
                      <w:rFonts w:ascii="仿宋_GB2312" w:hAnsi="仿宋_GB2312" w:cs="仿宋_GB2312" w:eastAsia="仿宋_GB2312"/>
                      <w:sz w:val="20"/>
                    </w:rPr>
                    <w:t>资金需要量预测方法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任务二权益筹资</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项目三筹资管理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权益筹资方式：吸收直接投资、股票筹资、</w:t>
                  </w:r>
                  <w:r>
                    <w:rPr>
                      <w:rFonts w:ascii="仿宋_GB2312" w:hAnsi="仿宋_GB2312" w:cs="仿宋_GB2312" w:eastAsia="仿宋_GB2312"/>
                      <w:sz w:val="20"/>
                    </w:rPr>
                    <w:t>留存收益筹资</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任务三负债筹资</w:t>
                  </w:r>
                  <w:r>
                    <w:rPr>
                      <w:rFonts w:ascii="仿宋_GB2312" w:hAnsi="仿宋_GB2312" w:cs="仿宋_GB2312" w:eastAsia="仿宋_GB2312"/>
                      <w:sz w:val="20"/>
                    </w:rPr>
                    <w:t>-银行借款认知、信用条件</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项目三筹资管理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银行借款认知、信用条件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任务三负债筹资</w:t>
                  </w:r>
                  <w:r>
                    <w:rPr>
                      <w:rFonts w:ascii="仿宋_GB2312" w:hAnsi="仿宋_GB2312" w:cs="仿宋_GB2312" w:eastAsia="仿宋_GB2312"/>
                      <w:sz w:val="20"/>
                    </w:rPr>
                    <w:t>-债券筹资认知、发行价格计算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项目三筹资管理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债券筹资认知、发行价格计算</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任务三负债筹资</w:t>
                  </w:r>
                  <w:r>
                    <w:rPr>
                      <w:rFonts w:ascii="仿宋_GB2312" w:hAnsi="仿宋_GB2312" w:cs="仿宋_GB2312" w:eastAsia="仿宋_GB2312"/>
                      <w:sz w:val="20"/>
                    </w:rPr>
                    <w:t>-融资租赁筹资概述、租金计算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项目三筹资管理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融资租赁筹资概述、租金计算</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任务三负债筹资</w:t>
                  </w:r>
                  <w:r>
                    <w:rPr>
                      <w:rFonts w:ascii="仿宋_GB2312" w:hAnsi="仿宋_GB2312" w:cs="仿宋_GB2312" w:eastAsia="仿宋_GB2312"/>
                      <w:sz w:val="20"/>
                    </w:rPr>
                    <w:t>-商业信用筹资-商业信用筹资概述、现金折扣成本计算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项目三筹资管理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商业信用筹资</w:t>
                  </w:r>
                  <w:r>
                    <w:rPr>
                      <w:rFonts w:ascii="仿宋_GB2312" w:hAnsi="仿宋_GB2312" w:cs="仿宋_GB2312" w:eastAsia="仿宋_GB2312"/>
                      <w:sz w:val="20"/>
                    </w:rPr>
                    <w:t>-商业信用筹资概述、现金折扣成本计算</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思政园地：探知求真，启智润心</w:t>
                  </w:r>
                  <w:r>
                    <w:rPr>
                      <w:rFonts w:ascii="仿宋_GB2312" w:hAnsi="仿宋_GB2312" w:cs="仿宋_GB2312" w:eastAsia="仿宋_GB2312"/>
                      <w:sz w:val="20"/>
                    </w:rPr>
                    <w:t>诚信经营</w:t>
                  </w:r>
                  <w:r>
                    <w:rPr>
                      <w:rFonts w:ascii="仿宋_GB2312" w:hAnsi="仿宋_GB2312" w:cs="仿宋_GB2312" w:eastAsia="仿宋_GB2312"/>
                      <w:sz w:val="20"/>
                    </w:rPr>
                    <w:t>-从借贷信用看企业可持续发展</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项目三筹资管理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诚信经营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任务一资本成本概述</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资本成本与资本结构</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资本成本概念、种类、作用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任务二个别资金成本</w:t>
                  </w:r>
                  <w:r>
                    <w:rPr>
                      <w:rFonts w:ascii="仿宋_GB2312" w:hAnsi="仿宋_GB2312" w:cs="仿宋_GB2312" w:eastAsia="仿宋_GB2312"/>
                      <w:sz w:val="20"/>
                    </w:rPr>
                    <w:t>-债券资本成本与银行借款资本成本</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资本成本与资本结构</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债券资本成本与银行借款资本成本</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任务二个别资金成本</w:t>
                  </w:r>
                  <w:r>
                    <w:rPr>
                      <w:rFonts w:ascii="仿宋_GB2312" w:hAnsi="仿宋_GB2312" w:cs="仿宋_GB2312" w:eastAsia="仿宋_GB2312"/>
                      <w:sz w:val="20"/>
                    </w:rPr>
                    <w:t>-优先股、普通股、留存收益资本成本</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资本成本与资本结构</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优先股、普通股、留存收益资本成本</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任务三综合资本成本</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资本成本与资本结构</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综合资本成本含义与计算</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任务四边际资本成本</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资本成本与资本结构</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边际资本成本概述与计算</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任务五杠杆原理</w:t>
                  </w:r>
                  <w:r>
                    <w:rPr>
                      <w:rFonts w:ascii="仿宋_GB2312" w:hAnsi="仿宋_GB2312" w:cs="仿宋_GB2312" w:eastAsia="仿宋_GB2312"/>
                      <w:sz w:val="20"/>
                    </w:rPr>
                    <w:t>-概述、经营杠杆计算与应用</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资本成本与资本结构</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杠杆原理概述、经营杠杆计算与应用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任务五杠杆原理</w:t>
                  </w:r>
                  <w:r>
                    <w:rPr>
                      <w:rFonts w:ascii="仿宋_GB2312" w:hAnsi="仿宋_GB2312" w:cs="仿宋_GB2312" w:eastAsia="仿宋_GB2312"/>
                      <w:sz w:val="20"/>
                    </w:rPr>
                    <w:t>-财务杠杆计算与应用、总杠杆计算与应用</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资本成本与资本结构</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财务杠杆计算与应用、总杠杆计算与应用</w:t>
                  </w:r>
                </w:p>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任务六最佳资本结构方法</w:t>
                  </w:r>
                  <w:r>
                    <w:rPr>
                      <w:rFonts w:ascii="仿宋_GB2312" w:hAnsi="仿宋_GB2312" w:cs="仿宋_GB2312" w:eastAsia="仿宋_GB2312"/>
                      <w:sz w:val="20"/>
                    </w:rPr>
                    <w:t>-资本结构概述、比较资本成本法计算与应用</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资本成本与资本结构</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资本结构概述、最佳资本结构方法</w:t>
                  </w:r>
                  <w:r>
                    <w:rPr>
                      <w:rFonts w:ascii="仿宋_GB2312" w:hAnsi="仿宋_GB2312" w:cs="仿宋_GB2312" w:eastAsia="仿宋_GB2312"/>
                      <w:sz w:val="20"/>
                    </w:rPr>
                    <w:t>-比较资本成本法计算与应用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任务六最佳资本结构方法</w:t>
                  </w:r>
                  <w:r>
                    <w:rPr>
                      <w:rFonts w:ascii="仿宋_GB2312" w:hAnsi="仿宋_GB2312" w:cs="仿宋_GB2312" w:eastAsia="仿宋_GB2312"/>
                      <w:sz w:val="20"/>
                    </w:rPr>
                    <w:t>-EBIT-EPS分析法计算与应用</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资本成本与资本结构</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最佳资本结构方法</w:t>
                  </w:r>
                  <w:r>
                    <w:rPr>
                      <w:rFonts w:ascii="仿宋_GB2312" w:hAnsi="仿宋_GB2312" w:cs="仿宋_GB2312" w:eastAsia="仿宋_GB2312"/>
                      <w:sz w:val="20"/>
                    </w:rPr>
                    <w:t>-EBIT-EPS分析法计算与应用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任务一项目投资认知</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w:t>
                  </w:r>
                  <w:r>
                    <w:rPr>
                      <w:rFonts w:ascii="仿宋_GB2312" w:hAnsi="仿宋_GB2312" w:cs="仿宋_GB2312" w:eastAsia="仿宋_GB2312"/>
                      <w:sz w:val="20"/>
                    </w:rPr>
                    <w:t>项目投资管理</w:t>
                  </w:r>
                </w:p>
                <w:p>
                  <w:pPr>
                    <w:pStyle w:val="null3"/>
                    <w:jc w:val="center"/>
                  </w:pP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项目投资概述、项目计算期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任务二项目现金流量计算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w:t>
                  </w:r>
                  <w:r>
                    <w:rPr>
                      <w:rFonts w:ascii="仿宋_GB2312" w:hAnsi="仿宋_GB2312" w:cs="仿宋_GB2312" w:eastAsia="仿宋_GB2312"/>
                      <w:sz w:val="20"/>
                    </w:rPr>
                    <w:t>项目投资管理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项目现金流量计算</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任务三项目投资决策评价指标计算与运用</w:t>
                  </w:r>
                  <w:r>
                    <w:rPr>
                      <w:rFonts w:ascii="仿宋_GB2312" w:hAnsi="仿宋_GB2312" w:cs="仿宋_GB2312" w:eastAsia="仿宋_GB2312"/>
                      <w:sz w:val="20"/>
                    </w:rPr>
                    <w:t>-静态评价指标在项目投资决策中的应用</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w:t>
                  </w:r>
                  <w:r>
                    <w:rPr>
                      <w:rFonts w:ascii="仿宋_GB2312" w:hAnsi="仿宋_GB2312" w:cs="仿宋_GB2312" w:eastAsia="仿宋_GB2312"/>
                      <w:sz w:val="20"/>
                    </w:rPr>
                    <w:t>项目投资管理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静态评价指标在项目投资决策中的应用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任务三项目投资决策评价指标计算与运用</w:t>
                  </w:r>
                  <w:r>
                    <w:rPr>
                      <w:rFonts w:ascii="仿宋_GB2312" w:hAnsi="仿宋_GB2312" w:cs="仿宋_GB2312" w:eastAsia="仿宋_GB2312"/>
                      <w:sz w:val="20"/>
                    </w:rPr>
                    <w:t>-动态评价指标在项目投资决策中的应用--净现值</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w:t>
                  </w:r>
                  <w:r>
                    <w:rPr>
                      <w:rFonts w:ascii="仿宋_GB2312" w:hAnsi="仿宋_GB2312" w:cs="仿宋_GB2312" w:eastAsia="仿宋_GB2312"/>
                      <w:sz w:val="20"/>
                    </w:rPr>
                    <w:t>项目投资管理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动态评价指标在项目投资决策中的应用</w:t>
                  </w:r>
                  <w:r>
                    <w:rPr>
                      <w:rFonts w:ascii="仿宋_GB2312" w:hAnsi="仿宋_GB2312" w:cs="仿宋_GB2312" w:eastAsia="仿宋_GB2312"/>
                      <w:sz w:val="20"/>
                    </w:rPr>
                    <w:t>--净现值</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任务三项目投资决策评价指标计算与运用</w:t>
                  </w:r>
                  <w:r>
                    <w:rPr>
                      <w:rFonts w:ascii="仿宋_GB2312" w:hAnsi="仿宋_GB2312" w:cs="仿宋_GB2312" w:eastAsia="仿宋_GB2312"/>
                      <w:sz w:val="20"/>
                    </w:rPr>
                    <w:t>-动态评价指标在项目投资决策中的应用--净现值率和获利指数</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w:t>
                  </w:r>
                  <w:r>
                    <w:rPr>
                      <w:rFonts w:ascii="仿宋_GB2312" w:hAnsi="仿宋_GB2312" w:cs="仿宋_GB2312" w:eastAsia="仿宋_GB2312"/>
                      <w:sz w:val="20"/>
                    </w:rPr>
                    <w:t>项目投资管理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动态评价指标在项目投资决策中的应用</w:t>
                  </w:r>
                  <w:r>
                    <w:rPr>
                      <w:rFonts w:ascii="仿宋_GB2312" w:hAnsi="仿宋_GB2312" w:cs="仿宋_GB2312" w:eastAsia="仿宋_GB2312"/>
                      <w:sz w:val="20"/>
                    </w:rPr>
                    <w:t>--净现值率和获利指数</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任务三项目投资决策评价指标计算与运用</w:t>
                  </w:r>
                  <w:r>
                    <w:rPr>
                      <w:rFonts w:ascii="仿宋_GB2312" w:hAnsi="仿宋_GB2312" w:cs="仿宋_GB2312" w:eastAsia="仿宋_GB2312"/>
                      <w:sz w:val="20"/>
                    </w:rPr>
                    <w:t>-动态评价指标在项目投资决策中的应用--内涵报酬率</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w:t>
                  </w:r>
                  <w:r>
                    <w:rPr>
                      <w:rFonts w:ascii="仿宋_GB2312" w:hAnsi="仿宋_GB2312" w:cs="仿宋_GB2312" w:eastAsia="仿宋_GB2312"/>
                      <w:sz w:val="20"/>
                    </w:rPr>
                    <w:t>项目投资管理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动态评价指标在项目投资决策中的应用</w:t>
                  </w:r>
                  <w:r>
                    <w:rPr>
                      <w:rFonts w:ascii="仿宋_GB2312" w:hAnsi="仿宋_GB2312" w:cs="仿宋_GB2312" w:eastAsia="仿宋_GB2312"/>
                      <w:sz w:val="20"/>
                    </w:rPr>
                    <w:t>--内涵报酬率</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任务三项目投资决策评价指标计算与运用</w:t>
                  </w:r>
                  <w:r>
                    <w:rPr>
                      <w:rFonts w:ascii="仿宋_GB2312" w:hAnsi="仿宋_GB2312" w:cs="仿宋_GB2312" w:eastAsia="仿宋_GB2312"/>
                      <w:sz w:val="20"/>
                    </w:rPr>
                    <w:t>-独立方案项目投资决策</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w:t>
                  </w:r>
                  <w:r>
                    <w:rPr>
                      <w:rFonts w:ascii="仿宋_GB2312" w:hAnsi="仿宋_GB2312" w:cs="仿宋_GB2312" w:eastAsia="仿宋_GB2312"/>
                      <w:sz w:val="20"/>
                    </w:rPr>
                    <w:t>项目投资管理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独立方案项目投资决策</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任务三项目投资决策评价指标计算与运用</w:t>
                  </w:r>
                  <w:r>
                    <w:rPr>
                      <w:rFonts w:ascii="仿宋_GB2312" w:hAnsi="仿宋_GB2312" w:cs="仿宋_GB2312" w:eastAsia="仿宋_GB2312"/>
                      <w:sz w:val="20"/>
                    </w:rPr>
                    <w:t>-互斥方案项目投资决策</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w:t>
                  </w:r>
                  <w:r>
                    <w:rPr>
                      <w:rFonts w:ascii="仿宋_GB2312" w:hAnsi="仿宋_GB2312" w:cs="仿宋_GB2312" w:eastAsia="仿宋_GB2312"/>
                      <w:sz w:val="20"/>
                    </w:rPr>
                    <w:t>项目投资管理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互斥方案项目投资决策</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工匠精神</w:t>
                  </w:r>
                  <w:r>
                    <w:rPr>
                      <w:rFonts w:ascii="仿宋_GB2312" w:hAnsi="仿宋_GB2312" w:cs="仿宋_GB2312" w:eastAsia="仿宋_GB2312"/>
                      <w:sz w:val="20"/>
                    </w:rPr>
                    <w:t>-从绿色生产转型宏观意义看中国制造精髓</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思政园地：探知求真，启智润心</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工匠精神</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任务一证券投资概述</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项目六</w:t>
                  </w:r>
                  <w:r>
                    <w:rPr>
                      <w:rFonts w:ascii="仿宋_GB2312" w:hAnsi="仿宋_GB2312" w:cs="仿宋_GB2312" w:eastAsia="仿宋_GB2312"/>
                      <w:sz w:val="20"/>
                    </w:rPr>
                    <w:t>证券投资管理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证券投资含义、分类、影响因素</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任务二债券投资决策</w:t>
                  </w:r>
                  <w:r>
                    <w:rPr>
                      <w:rFonts w:ascii="仿宋_GB2312" w:hAnsi="仿宋_GB2312" w:cs="仿宋_GB2312" w:eastAsia="仿宋_GB2312"/>
                      <w:sz w:val="20"/>
                    </w:rPr>
                    <w:t>-债券投资估价</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项目六</w:t>
                  </w:r>
                  <w:r>
                    <w:rPr>
                      <w:rFonts w:ascii="仿宋_GB2312" w:hAnsi="仿宋_GB2312" w:cs="仿宋_GB2312" w:eastAsia="仿宋_GB2312"/>
                      <w:sz w:val="20"/>
                    </w:rPr>
                    <w:t>证券投资管理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债券投资决策</w:t>
                  </w:r>
                  <w:r>
                    <w:rPr>
                      <w:rFonts w:ascii="仿宋_GB2312" w:hAnsi="仿宋_GB2312" w:cs="仿宋_GB2312" w:eastAsia="仿宋_GB2312"/>
                      <w:sz w:val="20"/>
                    </w:rPr>
                    <w:t>-债券投资估价</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任务二债券投资决策</w:t>
                  </w:r>
                  <w:r>
                    <w:rPr>
                      <w:rFonts w:ascii="仿宋_GB2312" w:hAnsi="仿宋_GB2312" w:cs="仿宋_GB2312" w:eastAsia="仿宋_GB2312"/>
                      <w:sz w:val="20"/>
                    </w:rPr>
                    <w:t>-债券投资的收益评价</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项目六</w:t>
                  </w:r>
                  <w:r>
                    <w:rPr>
                      <w:rFonts w:ascii="仿宋_GB2312" w:hAnsi="仿宋_GB2312" w:cs="仿宋_GB2312" w:eastAsia="仿宋_GB2312"/>
                      <w:sz w:val="20"/>
                    </w:rPr>
                    <w:t>证券投资管理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债券投资决策</w:t>
                  </w:r>
                  <w:r>
                    <w:rPr>
                      <w:rFonts w:ascii="仿宋_GB2312" w:hAnsi="仿宋_GB2312" w:cs="仿宋_GB2312" w:eastAsia="仿宋_GB2312"/>
                      <w:sz w:val="20"/>
                    </w:rPr>
                    <w:t>-债券投资的收益评价</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任务二债券投资决策</w:t>
                  </w:r>
                  <w:r>
                    <w:rPr>
                      <w:rFonts w:ascii="仿宋_GB2312" w:hAnsi="仿宋_GB2312" w:cs="仿宋_GB2312" w:eastAsia="仿宋_GB2312"/>
                      <w:sz w:val="20"/>
                    </w:rPr>
                    <w:t>-债券投资的风险评价</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项目六</w:t>
                  </w:r>
                  <w:r>
                    <w:rPr>
                      <w:rFonts w:ascii="仿宋_GB2312" w:hAnsi="仿宋_GB2312" w:cs="仿宋_GB2312" w:eastAsia="仿宋_GB2312"/>
                      <w:sz w:val="20"/>
                    </w:rPr>
                    <w:t>证券投资管理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债券投资决策</w:t>
                  </w:r>
                  <w:r>
                    <w:rPr>
                      <w:rFonts w:ascii="仿宋_GB2312" w:hAnsi="仿宋_GB2312" w:cs="仿宋_GB2312" w:eastAsia="仿宋_GB2312"/>
                      <w:sz w:val="20"/>
                    </w:rPr>
                    <w:t>-债券投资的风险评价</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任务三股票投资决策</w:t>
                  </w:r>
                  <w:r>
                    <w:rPr>
                      <w:rFonts w:ascii="仿宋_GB2312" w:hAnsi="仿宋_GB2312" w:cs="仿宋_GB2312" w:eastAsia="仿宋_GB2312"/>
                      <w:sz w:val="20"/>
                    </w:rPr>
                    <w:t>-股票投资概述及股票估价</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项目六</w:t>
                  </w:r>
                  <w:r>
                    <w:rPr>
                      <w:rFonts w:ascii="仿宋_GB2312" w:hAnsi="仿宋_GB2312" w:cs="仿宋_GB2312" w:eastAsia="仿宋_GB2312"/>
                      <w:sz w:val="20"/>
                    </w:rPr>
                    <w:t>证券投资管理</w:t>
                  </w:r>
                </w:p>
                <w:p>
                  <w:pPr>
                    <w:pStyle w:val="null3"/>
                    <w:jc w:val="center"/>
                  </w:pP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股票投资决策</w:t>
                  </w:r>
                  <w:r>
                    <w:rPr>
                      <w:rFonts w:ascii="仿宋_GB2312" w:hAnsi="仿宋_GB2312" w:cs="仿宋_GB2312" w:eastAsia="仿宋_GB2312"/>
                      <w:sz w:val="20"/>
                    </w:rPr>
                    <w:t>-股票投资概述及股票估价</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任务三股票投资决策</w:t>
                  </w:r>
                  <w:r>
                    <w:rPr>
                      <w:rFonts w:ascii="仿宋_GB2312" w:hAnsi="仿宋_GB2312" w:cs="仿宋_GB2312" w:eastAsia="仿宋_GB2312"/>
                      <w:sz w:val="20"/>
                    </w:rPr>
                    <w:t>-股票投资收益率</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项目六</w:t>
                  </w:r>
                  <w:r>
                    <w:rPr>
                      <w:rFonts w:ascii="仿宋_GB2312" w:hAnsi="仿宋_GB2312" w:cs="仿宋_GB2312" w:eastAsia="仿宋_GB2312"/>
                      <w:sz w:val="20"/>
                    </w:rPr>
                    <w:t>证券投资管理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股票投资决策</w:t>
                  </w:r>
                  <w:r>
                    <w:rPr>
                      <w:rFonts w:ascii="仿宋_GB2312" w:hAnsi="仿宋_GB2312" w:cs="仿宋_GB2312" w:eastAsia="仿宋_GB2312"/>
                      <w:sz w:val="20"/>
                    </w:rPr>
                    <w:t>-股票投资收益率</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任务四基金投资决策</w:t>
                  </w:r>
                  <w:r>
                    <w:rPr>
                      <w:rFonts w:ascii="仿宋_GB2312" w:hAnsi="仿宋_GB2312" w:cs="仿宋_GB2312" w:eastAsia="仿宋_GB2312"/>
                      <w:sz w:val="20"/>
                    </w:rPr>
                    <w:t>-基金投资概述</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项目六</w:t>
                  </w:r>
                  <w:r>
                    <w:rPr>
                      <w:rFonts w:ascii="仿宋_GB2312" w:hAnsi="仿宋_GB2312" w:cs="仿宋_GB2312" w:eastAsia="仿宋_GB2312"/>
                      <w:sz w:val="20"/>
                    </w:rPr>
                    <w:t>证券投资管理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基金投资概述</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任务四基金投资决策</w:t>
                  </w:r>
                  <w:r>
                    <w:rPr>
                      <w:rFonts w:ascii="仿宋_GB2312" w:hAnsi="仿宋_GB2312" w:cs="仿宋_GB2312" w:eastAsia="仿宋_GB2312"/>
                      <w:sz w:val="20"/>
                    </w:rPr>
                    <w:t>-基金投资财务评价</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项目六</w:t>
                  </w:r>
                  <w:r>
                    <w:rPr>
                      <w:rFonts w:ascii="仿宋_GB2312" w:hAnsi="仿宋_GB2312" w:cs="仿宋_GB2312" w:eastAsia="仿宋_GB2312"/>
                      <w:sz w:val="20"/>
                    </w:rPr>
                    <w:t>证券投资管理</w:t>
                  </w:r>
                </w:p>
                <w:p>
                  <w:pPr>
                    <w:pStyle w:val="null3"/>
                    <w:jc w:val="center"/>
                  </w:pP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基金投资财务评价</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任务一现金管理</w:t>
                  </w:r>
                  <w:r>
                    <w:rPr>
                      <w:rFonts w:ascii="仿宋_GB2312" w:hAnsi="仿宋_GB2312" w:cs="仿宋_GB2312" w:eastAsia="仿宋_GB2312"/>
                      <w:sz w:val="20"/>
                    </w:rPr>
                    <w:t>-营运资金认知、现金持有成本</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项目七</w:t>
                  </w:r>
                  <w:r>
                    <w:rPr>
                      <w:rFonts w:ascii="仿宋_GB2312" w:hAnsi="仿宋_GB2312" w:cs="仿宋_GB2312" w:eastAsia="仿宋_GB2312"/>
                      <w:sz w:val="20"/>
                    </w:rPr>
                    <w:t>营运资金管理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营运资金认知、现金持有成本</w:t>
                  </w:r>
                  <w:r>
                    <w:rPr>
                      <w:rFonts w:ascii="仿宋_GB2312" w:hAnsi="仿宋_GB2312" w:cs="仿宋_GB2312" w:eastAsia="仿宋_GB2312"/>
                      <w:sz w:val="20"/>
                    </w:rPr>
                    <w:t>-用企业实际案例说明</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任务一现金管理</w:t>
                  </w:r>
                  <w:r>
                    <w:rPr>
                      <w:rFonts w:ascii="仿宋_GB2312" w:hAnsi="仿宋_GB2312" w:cs="仿宋_GB2312" w:eastAsia="仿宋_GB2312"/>
                      <w:sz w:val="20"/>
                    </w:rPr>
                    <w:t>-最佳现金持有量确定-成本分析模式、存货模式</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项目七</w:t>
                  </w:r>
                  <w:r>
                    <w:rPr>
                      <w:rFonts w:ascii="仿宋_GB2312" w:hAnsi="仿宋_GB2312" w:cs="仿宋_GB2312" w:eastAsia="仿宋_GB2312"/>
                      <w:sz w:val="20"/>
                    </w:rPr>
                    <w:t>营运资金管理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最佳现金持有量确定</w:t>
                  </w:r>
                  <w:r>
                    <w:rPr>
                      <w:rFonts w:ascii="仿宋_GB2312" w:hAnsi="仿宋_GB2312" w:cs="仿宋_GB2312" w:eastAsia="仿宋_GB2312"/>
                      <w:sz w:val="20"/>
                    </w:rPr>
                    <w:t>-成本分析模式、存货模式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任务一现金管理</w:t>
                  </w:r>
                  <w:r>
                    <w:rPr>
                      <w:rFonts w:ascii="仿宋_GB2312" w:hAnsi="仿宋_GB2312" w:cs="仿宋_GB2312" w:eastAsia="仿宋_GB2312"/>
                      <w:sz w:val="20"/>
                    </w:rPr>
                    <w:t>-最佳现金持有量确定-现金周转期模式、因素分析模式</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项目七</w:t>
                  </w:r>
                  <w:r>
                    <w:rPr>
                      <w:rFonts w:ascii="仿宋_GB2312" w:hAnsi="仿宋_GB2312" w:cs="仿宋_GB2312" w:eastAsia="仿宋_GB2312"/>
                      <w:sz w:val="20"/>
                    </w:rPr>
                    <w:t>营运资金管理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最佳现金持有量确定</w:t>
                  </w:r>
                  <w:r>
                    <w:rPr>
                      <w:rFonts w:ascii="仿宋_GB2312" w:hAnsi="仿宋_GB2312" w:cs="仿宋_GB2312" w:eastAsia="仿宋_GB2312"/>
                      <w:sz w:val="20"/>
                    </w:rPr>
                    <w:t>-现金周转期模式、因素分析模式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任务二应收账款管理</w:t>
                  </w:r>
                  <w:r>
                    <w:rPr>
                      <w:rFonts w:ascii="仿宋_GB2312" w:hAnsi="仿宋_GB2312" w:cs="仿宋_GB2312" w:eastAsia="仿宋_GB2312"/>
                      <w:sz w:val="20"/>
                    </w:rPr>
                    <w:t>-应收账款作用及成本</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项目七</w:t>
                  </w:r>
                  <w:r>
                    <w:rPr>
                      <w:rFonts w:ascii="仿宋_GB2312" w:hAnsi="仿宋_GB2312" w:cs="仿宋_GB2312" w:eastAsia="仿宋_GB2312"/>
                      <w:sz w:val="20"/>
                    </w:rPr>
                    <w:t>营运资金管理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应收账款作用及成本</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任务二应收账款管理</w:t>
                  </w:r>
                  <w:r>
                    <w:rPr>
                      <w:rFonts w:ascii="仿宋_GB2312" w:hAnsi="仿宋_GB2312" w:cs="仿宋_GB2312" w:eastAsia="仿宋_GB2312"/>
                      <w:sz w:val="20"/>
                    </w:rPr>
                    <w:t>-信用政策选择及应用</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项目七</w:t>
                  </w:r>
                  <w:r>
                    <w:rPr>
                      <w:rFonts w:ascii="仿宋_GB2312" w:hAnsi="仿宋_GB2312" w:cs="仿宋_GB2312" w:eastAsia="仿宋_GB2312"/>
                      <w:sz w:val="20"/>
                    </w:rPr>
                    <w:t>营运资金管理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信用政策选择及应用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任务二应收账款管理</w:t>
                  </w:r>
                  <w:r>
                    <w:rPr>
                      <w:rFonts w:ascii="仿宋_GB2312" w:hAnsi="仿宋_GB2312" w:cs="仿宋_GB2312" w:eastAsia="仿宋_GB2312"/>
                      <w:sz w:val="20"/>
                    </w:rPr>
                    <w:t>-收账政策选择及应用</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项目七</w:t>
                  </w:r>
                  <w:r>
                    <w:rPr>
                      <w:rFonts w:ascii="仿宋_GB2312" w:hAnsi="仿宋_GB2312" w:cs="仿宋_GB2312" w:eastAsia="仿宋_GB2312"/>
                      <w:sz w:val="20"/>
                    </w:rPr>
                    <w:t>营运资金管理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收账政策选择及应用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任务三存货管理</w:t>
                  </w:r>
                  <w:r>
                    <w:rPr>
                      <w:rFonts w:ascii="仿宋_GB2312" w:hAnsi="仿宋_GB2312" w:cs="仿宋_GB2312" w:eastAsia="仿宋_GB2312"/>
                      <w:sz w:val="20"/>
                    </w:rPr>
                    <w:t>-存货成本分析</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项目七</w:t>
                  </w:r>
                  <w:r>
                    <w:rPr>
                      <w:rFonts w:ascii="仿宋_GB2312" w:hAnsi="仿宋_GB2312" w:cs="仿宋_GB2312" w:eastAsia="仿宋_GB2312"/>
                      <w:sz w:val="20"/>
                    </w:rPr>
                    <w:t>营运资金管理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存货成本分析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任务三存货管理</w:t>
                  </w:r>
                  <w:r>
                    <w:rPr>
                      <w:rFonts w:ascii="仿宋_GB2312" w:hAnsi="仿宋_GB2312" w:cs="仿宋_GB2312" w:eastAsia="仿宋_GB2312"/>
                      <w:sz w:val="20"/>
                    </w:rPr>
                    <w:t>-经济订货批量决策</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项目七</w:t>
                  </w:r>
                  <w:r>
                    <w:rPr>
                      <w:rFonts w:ascii="仿宋_GB2312" w:hAnsi="仿宋_GB2312" w:cs="仿宋_GB2312" w:eastAsia="仿宋_GB2312"/>
                      <w:sz w:val="20"/>
                    </w:rPr>
                    <w:t>营运资金管理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经济订货批量决策</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任务三存货管理</w:t>
                  </w:r>
                  <w:r>
                    <w:rPr>
                      <w:rFonts w:ascii="仿宋_GB2312" w:hAnsi="仿宋_GB2312" w:cs="仿宋_GB2312" w:eastAsia="仿宋_GB2312"/>
                      <w:sz w:val="20"/>
                    </w:rPr>
                    <w:t>-存货管理应用分析</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项目七</w:t>
                  </w:r>
                  <w:r>
                    <w:rPr>
                      <w:rFonts w:ascii="仿宋_GB2312" w:hAnsi="仿宋_GB2312" w:cs="仿宋_GB2312" w:eastAsia="仿宋_GB2312"/>
                      <w:sz w:val="20"/>
                    </w:rPr>
                    <w:t>营运资金管理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存货管理应用分析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任务一股利政策确定</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项目八收益分配管理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收益分配认知、股利政策决策</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任务二股利分配方案确定</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项目八收益分配管理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股利分配方案确定及股利发放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大局意识</w:t>
                  </w:r>
                  <w:r>
                    <w:rPr>
                      <w:rFonts w:ascii="仿宋_GB2312" w:hAnsi="仿宋_GB2312" w:cs="仿宋_GB2312" w:eastAsia="仿宋_GB2312"/>
                      <w:sz w:val="20"/>
                    </w:rPr>
                    <w:t>--收益分配中的“小我与大我”</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思政园地：探知求真，启智润心</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大局意识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任务一责任中心评价指标计算与分析</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项目九</w:t>
                  </w:r>
                  <w:r>
                    <w:rPr>
                      <w:rFonts w:ascii="仿宋_GB2312" w:hAnsi="仿宋_GB2312" w:cs="仿宋_GB2312" w:eastAsia="仿宋_GB2312"/>
                      <w:sz w:val="20"/>
                    </w:rPr>
                    <w:t>财务控制</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财务控制认知、责任中心评价指标计算与分析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任务二责任预算编制、责任报告编制</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项目九</w:t>
                  </w:r>
                  <w:r>
                    <w:rPr>
                      <w:rFonts w:ascii="仿宋_GB2312" w:hAnsi="仿宋_GB2312" w:cs="仿宋_GB2312" w:eastAsia="仿宋_GB2312"/>
                      <w:sz w:val="20"/>
                    </w:rPr>
                    <w:t>财务控制</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责任预算编制、责任报告编制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任务三</w:t>
                  </w:r>
                  <w:r>
                    <w:rPr>
                      <w:rFonts w:ascii="仿宋_GB2312" w:hAnsi="仿宋_GB2312" w:cs="仿宋_GB2312" w:eastAsia="仿宋_GB2312"/>
                      <w:sz w:val="20"/>
                    </w:rPr>
                    <w:t>内部转移价格计算、责任中心结算与结转</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项目九</w:t>
                  </w:r>
                  <w:r>
                    <w:rPr>
                      <w:rFonts w:ascii="仿宋_GB2312" w:hAnsi="仿宋_GB2312" w:cs="仿宋_GB2312" w:eastAsia="仿宋_GB2312"/>
                      <w:sz w:val="20"/>
                    </w:rPr>
                    <w:t>财务控制</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内部转移价格计算、责任中心结算与结转</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任务一财务分析基本方法及应用</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项目十财务分析</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财务分析认知、财务分析方法应用、因素分析方法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任务二财务指标计算与分析</w:t>
                  </w:r>
                  <w:r>
                    <w:rPr>
                      <w:rFonts w:ascii="仿宋_GB2312" w:hAnsi="仿宋_GB2312" w:cs="仿宋_GB2312" w:eastAsia="仿宋_GB2312"/>
                      <w:sz w:val="20"/>
                    </w:rPr>
                    <w:t>-偿债能力分析</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项目十财务分析</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偿债能力分析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任务二财务指标计算与分析</w:t>
                  </w:r>
                  <w:r>
                    <w:rPr>
                      <w:rFonts w:ascii="仿宋_GB2312" w:hAnsi="仿宋_GB2312" w:cs="仿宋_GB2312" w:eastAsia="仿宋_GB2312"/>
                      <w:sz w:val="20"/>
                    </w:rPr>
                    <w:t>-营运能力分析、盈利能力分析、发展能力分析</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项目十财务分析</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营运能力分析、盈利能力分析、发展能力分析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任务三杜邦财务体系分析法</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项目十财务分析</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杜邦财务体系分析法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任务一</w:t>
                  </w:r>
                  <w:r>
                    <w:rPr>
                      <w:rFonts w:ascii="仿宋_GB2312" w:hAnsi="仿宋_GB2312" w:cs="仿宋_GB2312" w:eastAsia="仿宋_GB2312"/>
                      <w:sz w:val="20"/>
                    </w:rPr>
                    <w:t>Python在资金时间价值、项目投资决策中的应用-Python在资金时间价值、现金流量应用</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项目十一</w:t>
                  </w:r>
                  <w:r>
                    <w:rPr>
                      <w:rFonts w:ascii="仿宋_GB2312" w:hAnsi="仿宋_GB2312" w:cs="仿宋_GB2312" w:eastAsia="仿宋_GB2312"/>
                      <w:sz w:val="20"/>
                    </w:rPr>
                    <w:t>大数据技术在财务管理中的综合应用</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Python在资金时间价值、现金流量应用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任务一</w:t>
                  </w:r>
                  <w:r>
                    <w:rPr>
                      <w:rFonts w:ascii="仿宋_GB2312" w:hAnsi="仿宋_GB2312" w:cs="仿宋_GB2312" w:eastAsia="仿宋_GB2312"/>
                      <w:sz w:val="20"/>
                    </w:rPr>
                    <w:t xml:space="preserve">  </w:t>
                  </w:r>
                  <w:r>
                    <w:rPr>
                      <w:rFonts w:ascii="仿宋_GB2312" w:hAnsi="仿宋_GB2312" w:cs="仿宋_GB2312" w:eastAsia="仿宋_GB2312"/>
                      <w:sz w:val="20"/>
                    </w:rPr>
                    <w:t>Python在资金时间价值、项目投资决策中的应用-Python在净现值、内含报酬率、动态回收期应用</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项目十一</w:t>
                  </w:r>
                  <w:r>
                    <w:rPr>
                      <w:rFonts w:ascii="仿宋_GB2312" w:hAnsi="仿宋_GB2312" w:cs="仿宋_GB2312" w:eastAsia="仿宋_GB2312"/>
                      <w:sz w:val="20"/>
                    </w:rPr>
                    <w:t>大数据技术在财务管理中的综合应用</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Python在净现值、内含报酬率、动态回收期应用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任务二</w:t>
                  </w:r>
                  <w:r>
                    <w:rPr>
                      <w:rFonts w:ascii="仿宋_GB2312" w:hAnsi="仿宋_GB2312" w:cs="仿宋_GB2312" w:eastAsia="仿宋_GB2312"/>
                      <w:sz w:val="20"/>
                    </w:rPr>
                    <w:t xml:space="preserve">  </w:t>
                  </w:r>
                  <w:r>
                    <w:rPr>
                      <w:rFonts w:ascii="仿宋_GB2312" w:hAnsi="仿宋_GB2312" w:cs="仿宋_GB2312" w:eastAsia="仿宋_GB2312"/>
                      <w:sz w:val="20"/>
                    </w:rPr>
                    <w:t>RPA财务分析机器人开发与应用</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项目十一</w:t>
                  </w:r>
                  <w:r>
                    <w:rPr>
                      <w:rFonts w:ascii="仿宋_GB2312" w:hAnsi="仿宋_GB2312" w:cs="仿宋_GB2312" w:eastAsia="仿宋_GB2312"/>
                      <w:sz w:val="20"/>
                    </w:rPr>
                    <w:t>大数据技术在财务管理中的综合应用</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RPA财务分析机器人开发与应用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综合实训</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企业财务管理实务综合实训</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筹资投资营运资金管理收益分配等内容综合训练</w:t>
                  </w:r>
                </w:p>
              </w:tc>
            </w:tr>
          </w:tbl>
          <w:p>
            <w:pPr>
              <w:pStyle w:val="null3"/>
              <w:ind w:left="420"/>
              <w:jc w:val="both"/>
            </w:pPr>
            <w:r>
              <w:rPr>
                <w:rFonts w:ascii="仿宋_GB2312" w:hAnsi="仿宋_GB2312" w:cs="仿宋_GB2312" w:eastAsia="仿宋_GB2312"/>
                <w:sz w:val="20"/>
              </w:rPr>
              <w:t>（二）《财务管理实务》课程</w:t>
            </w:r>
            <w:r>
              <w:rPr>
                <w:rFonts w:ascii="仿宋_GB2312" w:hAnsi="仿宋_GB2312" w:cs="仿宋_GB2312" w:eastAsia="仿宋_GB2312"/>
                <w:sz w:val="20"/>
                <w:color w:val="000000"/>
              </w:rPr>
              <w:t>录制</w:t>
            </w:r>
            <w:r>
              <w:rPr>
                <w:rFonts w:ascii="仿宋_GB2312" w:hAnsi="仿宋_GB2312" w:cs="仿宋_GB2312" w:eastAsia="仿宋_GB2312"/>
                <w:sz w:val="20"/>
                <w:color w:val="000000"/>
              </w:rPr>
              <w:t>16个</w:t>
            </w:r>
            <w:r>
              <w:rPr>
                <w:rFonts w:ascii="仿宋_GB2312" w:hAnsi="仿宋_GB2312" w:cs="仿宋_GB2312" w:eastAsia="仿宋_GB2312"/>
                <w:sz w:val="20"/>
              </w:rPr>
              <w:t>动画</w:t>
            </w:r>
          </w:p>
          <w:tbl>
            <w:tblPr>
              <w:tblBorders>
                <w:top w:val="none" w:color="000000" w:sz="4"/>
                <w:left w:val="none" w:color="000000" w:sz="4"/>
                <w:bottom w:val="none" w:color="000000" w:sz="4"/>
                <w:right w:val="none" w:color="000000" w:sz="4"/>
                <w:insideH w:val="none"/>
                <w:insideV w:val="none"/>
              </w:tblBorders>
            </w:tblPr>
            <w:tblGrid>
              <w:gridCol w:w="264"/>
              <w:gridCol w:w="1316"/>
              <w:gridCol w:w="1236"/>
            </w:tblGrid>
            <w:tr>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学习情境</w:t>
                  </w:r>
                </w:p>
              </w:tc>
              <w:tc>
                <w:tcPr>
                  <w:tcW w:type="dxa" w:w="1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动画对应知识点</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项目一</w:t>
                  </w:r>
                  <w:r>
                    <w:rPr>
                      <w:rFonts w:ascii="仿宋_GB2312" w:hAnsi="仿宋_GB2312" w:cs="仿宋_GB2312" w:eastAsia="仿宋_GB2312"/>
                      <w:sz w:val="20"/>
                    </w:rPr>
                    <w:t>岗位认知</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企业财务管理机构设置</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项目一</w:t>
                  </w:r>
                  <w:r>
                    <w:rPr>
                      <w:rFonts w:ascii="仿宋_GB2312" w:hAnsi="仿宋_GB2312" w:cs="仿宋_GB2312" w:eastAsia="仿宋_GB2312"/>
                      <w:sz w:val="20"/>
                    </w:rPr>
                    <w:t>岗位认知</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财务管理目标</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项目二财务管理基本技能</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资金时间价值</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r>
                    <w:rPr>
                      <w:rFonts w:ascii="仿宋_GB2312" w:hAnsi="仿宋_GB2312" w:cs="仿宋_GB2312" w:eastAsia="仿宋_GB2312"/>
                      <w:sz w:val="20"/>
                    </w:rPr>
                    <w:t>筹资管理</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边际资本成本</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项目三</w:t>
                  </w:r>
                  <w:r>
                    <w:rPr>
                      <w:rFonts w:ascii="仿宋_GB2312" w:hAnsi="仿宋_GB2312" w:cs="仿宋_GB2312" w:eastAsia="仿宋_GB2312"/>
                      <w:sz w:val="20"/>
                    </w:rPr>
                    <w:t>筹资管理</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融资租赁筹资</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资本成本与资本结构</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杠杆原理</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项目四</w:t>
                  </w:r>
                  <w:r>
                    <w:rPr>
                      <w:rFonts w:ascii="仿宋_GB2312" w:hAnsi="仿宋_GB2312" w:cs="仿宋_GB2312" w:eastAsia="仿宋_GB2312"/>
                      <w:sz w:val="20"/>
                    </w:rPr>
                    <w:t>资本成本与资本结构</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杠杆原理</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w:t>
                  </w:r>
                  <w:r>
                    <w:rPr>
                      <w:rFonts w:ascii="仿宋_GB2312" w:hAnsi="仿宋_GB2312" w:cs="仿宋_GB2312" w:eastAsia="仿宋_GB2312"/>
                      <w:sz w:val="20"/>
                    </w:rPr>
                    <w:t>项目投资管理</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项目计算期</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w:t>
                  </w:r>
                  <w:r>
                    <w:rPr>
                      <w:rFonts w:ascii="仿宋_GB2312" w:hAnsi="仿宋_GB2312" w:cs="仿宋_GB2312" w:eastAsia="仿宋_GB2312"/>
                      <w:sz w:val="20"/>
                    </w:rPr>
                    <w:t>项目投资管理</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项目现金流量计算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项目五</w:t>
                  </w:r>
                  <w:r>
                    <w:rPr>
                      <w:rFonts w:ascii="仿宋_GB2312" w:hAnsi="仿宋_GB2312" w:cs="仿宋_GB2312" w:eastAsia="仿宋_GB2312"/>
                      <w:sz w:val="20"/>
                    </w:rPr>
                    <w:t>项目投资管理</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项目投资决策评价指标计算与运用</w:t>
                  </w:r>
                  <w:r>
                    <w:rPr>
                      <w:rFonts w:ascii="仿宋_GB2312" w:hAnsi="仿宋_GB2312" w:cs="仿宋_GB2312" w:eastAsia="仿宋_GB2312"/>
                      <w:sz w:val="20"/>
                    </w:rPr>
                    <w:t>-净现值</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项目六</w:t>
                  </w:r>
                  <w:r>
                    <w:rPr>
                      <w:rFonts w:ascii="仿宋_GB2312" w:hAnsi="仿宋_GB2312" w:cs="仿宋_GB2312" w:eastAsia="仿宋_GB2312"/>
                      <w:sz w:val="20"/>
                    </w:rPr>
                    <w:t>证券投资管理</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股票投资决策</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项目七</w:t>
                  </w:r>
                  <w:r>
                    <w:rPr>
                      <w:rFonts w:ascii="仿宋_GB2312" w:hAnsi="仿宋_GB2312" w:cs="仿宋_GB2312" w:eastAsia="仿宋_GB2312"/>
                      <w:sz w:val="20"/>
                    </w:rPr>
                    <w:t>营运资金管理</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经济订货批量</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项目八</w:t>
                  </w:r>
                  <w:r>
                    <w:rPr>
                      <w:rFonts w:ascii="仿宋_GB2312" w:hAnsi="仿宋_GB2312" w:cs="仿宋_GB2312" w:eastAsia="仿宋_GB2312"/>
                      <w:sz w:val="20"/>
                    </w:rPr>
                    <w:t>收益分配管理</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股票股利</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项目九</w:t>
                  </w:r>
                  <w:r>
                    <w:rPr>
                      <w:rFonts w:ascii="仿宋_GB2312" w:hAnsi="仿宋_GB2312" w:cs="仿宋_GB2312" w:eastAsia="仿宋_GB2312"/>
                      <w:sz w:val="20"/>
                    </w:rPr>
                    <w:t>财务控制</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责任中心</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项目十</w:t>
                  </w:r>
                  <w:r>
                    <w:rPr>
                      <w:rFonts w:ascii="仿宋_GB2312" w:hAnsi="仿宋_GB2312" w:cs="仿宋_GB2312" w:eastAsia="仿宋_GB2312"/>
                      <w:sz w:val="20"/>
                    </w:rPr>
                    <w:t>财务分析</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杜邦分析法</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项目十一</w:t>
                  </w:r>
                  <w:r>
                    <w:rPr>
                      <w:rFonts w:ascii="仿宋_GB2312" w:hAnsi="仿宋_GB2312" w:cs="仿宋_GB2312" w:eastAsia="仿宋_GB2312"/>
                      <w:sz w:val="20"/>
                    </w:rPr>
                    <w:t>大数据技术在财务管理中的综合应用</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RPA 财务机器人</w:t>
                  </w:r>
                </w:p>
              </w:tc>
            </w:tr>
          </w:tbl>
          <w:p>
            <w:pPr>
              <w:pStyle w:val="null3"/>
              <w:jc w:val="left"/>
            </w:pPr>
            <w:r>
              <w:rPr>
                <w:rFonts w:ascii="仿宋_GB2312" w:hAnsi="仿宋_GB2312" w:cs="仿宋_GB2312" w:eastAsia="仿宋_GB2312"/>
                <w:sz w:val="20"/>
                <w:b/>
                <w:color w:val="000000"/>
              </w:rPr>
              <w:t>八、</w:t>
            </w:r>
            <w:r>
              <w:rPr>
                <w:rFonts w:ascii="仿宋_GB2312" w:hAnsi="仿宋_GB2312" w:cs="仿宋_GB2312" w:eastAsia="仿宋_GB2312"/>
                <w:sz w:val="20"/>
                <w:b/>
                <w:color w:val="000000"/>
              </w:rPr>
              <w:t>《短视频创作》</w:t>
            </w:r>
          </w:p>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《短视频创作》课程录制</w:t>
            </w:r>
            <w:r>
              <w:rPr>
                <w:rFonts w:ascii="仿宋_GB2312" w:hAnsi="仿宋_GB2312" w:cs="仿宋_GB2312" w:eastAsia="仿宋_GB2312"/>
                <w:sz w:val="20"/>
                <w:color w:val="000000"/>
              </w:rPr>
              <w:t>55个微课</w:t>
            </w:r>
          </w:p>
          <w:tbl>
            <w:tblPr>
              <w:tblBorders>
                <w:top w:val="none" w:color="000000" w:sz="4"/>
                <w:left w:val="none" w:color="000000" w:sz="4"/>
                <w:bottom w:val="none" w:color="000000" w:sz="4"/>
                <w:right w:val="none" w:color="000000" w:sz="4"/>
                <w:insideH w:val="none"/>
                <w:insideV w:val="none"/>
              </w:tblBorders>
            </w:tblPr>
            <w:tblGrid>
              <w:gridCol w:w="233"/>
              <w:gridCol w:w="677"/>
              <w:gridCol w:w="767"/>
              <w:gridCol w:w="1135"/>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学习情景</w:t>
                  </w:r>
                </w:p>
              </w:tc>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节名</w:t>
                  </w:r>
                </w:p>
              </w:tc>
              <w:tc>
                <w:tcPr>
                  <w:tcW w:type="dxa" w:w="1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知识</w:t>
                  </w:r>
                  <w:r>
                    <w:rPr>
                      <w:rFonts w:ascii="仿宋_GB2312" w:hAnsi="仿宋_GB2312" w:cs="仿宋_GB2312" w:eastAsia="仿宋_GB2312"/>
                      <w:sz w:val="20"/>
                      <w:b/>
                    </w:rPr>
                    <w:t>（技能）</w:t>
                  </w:r>
                  <w:r>
                    <w:rPr>
                      <w:rFonts w:ascii="仿宋_GB2312" w:hAnsi="仿宋_GB2312" w:cs="仿宋_GB2312" w:eastAsia="仿宋_GB2312"/>
                      <w:sz w:val="20"/>
                      <w:b/>
                    </w:rPr>
                    <w:t>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短视频创作基础</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常见短视频平台特点与规则解析</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不同短视频平台的用户群体特征</w:t>
                  </w:r>
                </w:p>
                <w:p>
                  <w:pPr>
                    <w:pStyle w:val="null3"/>
                    <w:jc w:val="left"/>
                  </w:pPr>
                  <w:r>
                    <w:rPr>
                      <w:rFonts w:ascii="仿宋_GB2312" w:hAnsi="仿宋_GB2312" w:cs="仿宋_GB2312" w:eastAsia="仿宋_GB2312"/>
                      <w:sz w:val="20"/>
                    </w:rPr>
                    <w:t>2.各平台的内容风格倾向</w:t>
                  </w:r>
                </w:p>
                <w:p>
                  <w:pPr>
                    <w:pStyle w:val="null3"/>
                    <w:jc w:val="left"/>
                  </w:pPr>
                  <w:r>
                    <w:rPr>
                      <w:rFonts w:ascii="仿宋_GB2312" w:hAnsi="仿宋_GB2312" w:cs="仿宋_GB2312" w:eastAsia="仿宋_GB2312"/>
                      <w:sz w:val="20"/>
                    </w:rPr>
                    <w:t>3.平台的内容审核规则</w:t>
                  </w:r>
                </w:p>
                <w:p>
                  <w:pPr>
                    <w:pStyle w:val="null3"/>
                    <w:jc w:val="left"/>
                  </w:pPr>
                  <w:r>
                    <w:rPr>
                      <w:rFonts w:ascii="仿宋_GB2312" w:hAnsi="仿宋_GB2312" w:cs="仿宋_GB2312" w:eastAsia="仿宋_GB2312"/>
                      <w:sz w:val="20"/>
                    </w:rPr>
                    <w:t>4.平台的算法推荐规则</w:t>
                  </w:r>
                </w:p>
                <w:p>
                  <w:pPr>
                    <w:pStyle w:val="null3"/>
                    <w:jc w:val="left"/>
                  </w:pPr>
                  <w:r>
                    <w:rPr>
                      <w:rFonts w:ascii="仿宋_GB2312" w:hAnsi="仿宋_GB2312" w:cs="仿宋_GB2312" w:eastAsia="仿宋_GB2312"/>
                      <w:sz w:val="20"/>
                    </w:rPr>
                    <w:t>5.账号的注册、认证与运营规则</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短视频创作基础</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短视频创作基本流程与规范</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1.创意构思的方法与技巧</w:t>
                  </w:r>
                </w:p>
                <w:p>
                  <w:pPr>
                    <w:pStyle w:val="null3"/>
                    <w:jc w:val="left"/>
                  </w:pPr>
                  <w:r>
                    <w:rPr>
                      <w:rFonts w:ascii="仿宋_GB2312" w:hAnsi="仿宋_GB2312" w:cs="仿宋_GB2312" w:eastAsia="仿宋_GB2312"/>
                      <w:sz w:val="20"/>
                    </w:rPr>
                    <w:t>2.脚本撰写的结构与要点</w:t>
                  </w:r>
                </w:p>
                <w:p>
                  <w:pPr>
                    <w:pStyle w:val="null3"/>
                    <w:jc w:val="left"/>
                  </w:pPr>
                  <w:r>
                    <w:rPr>
                      <w:rFonts w:ascii="仿宋_GB2312" w:hAnsi="仿宋_GB2312" w:cs="仿宋_GB2312" w:eastAsia="仿宋_GB2312"/>
                      <w:sz w:val="20"/>
                    </w:rPr>
                    <w:t>3.拍摄准备的场地、设备与人员安排</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短视频创作基础</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平台规则与政策解读</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1.平台最新政策解析</w:t>
                  </w:r>
                  <w:r>
                    <w:br/>
                  </w:r>
                  <w:r>
                    <w:rPr>
                      <w:rFonts w:ascii="仿宋_GB2312" w:hAnsi="仿宋_GB2312" w:cs="仿宋_GB2312" w:eastAsia="仿宋_GB2312"/>
                      <w:sz w:val="20"/>
                    </w:rPr>
                    <w:t>2.违规内容示例与规避方法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短视频创作基础</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版权知识普及</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1.版权法律法规解读</w:t>
                  </w:r>
                  <w:r>
                    <w:br/>
                  </w:r>
                  <w:r>
                    <w:rPr>
                      <w:rFonts w:ascii="仿宋_GB2312" w:hAnsi="仿宋_GB2312" w:cs="仿宋_GB2312" w:eastAsia="仿宋_GB2312"/>
                      <w:sz w:val="20"/>
                    </w:rPr>
                    <w:t>2.版权申请流程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短视频创意策划</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目标定位与用户洞察</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1.明确核心目标</w:t>
                  </w:r>
                </w:p>
                <w:p>
                  <w:pPr>
                    <w:pStyle w:val="null3"/>
                    <w:jc w:val="left"/>
                  </w:pPr>
                  <w:r>
                    <w:rPr>
                      <w:rFonts w:ascii="仿宋_GB2312" w:hAnsi="仿宋_GB2312" w:cs="仿宋_GB2312" w:eastAsia="仿宋_GB2312"/>
                      <w:sz w:val="20"/>
                    </w:rPr>
                    <w:t>2.用户画像分析</w:t>
                  </w:r>
                </w:p>
                <w:p>
                  <w:pPr>
                    <w:pStyle w:val="null3"/>
                    <w:jc w:val="left"/>
                  </w:pPr>
                  <w:r>
                    <w:rPr>
                      <w:rFonts w:ascii="仿宋_GB2312" w:hAnsi="仿宋_GB2312" w:cs="仿宋_GB2312" w:eastAsia="仿宋_GB2312"/>
                      <w:sz w:val="20"/>
                    </w:rPr>
                    <w:t>3.竞品分析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短视频创意策划</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内容创意与选题策划</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1.选题方向</w:t>
                  </w:r>
                </w:p>
                <w:p>
                  <w:pPr>
                    <w:pStyle w:val="null3"/>
                    <w:jc w:val="left"/>
                  </w:pPr>
                  <w:r>
                    <w:rPr>
                      <w:rFonts w:ascii="仿宋_GB2312" w:hAnsi="仿宋_GB2312" w:cs="仿宋_GB2312" w:eastAsia="仿宋_GB2312"/>
                      <w:sz w:val="20"/>
                    </w:rPr>
                    <w:t>2.创意形式</w:t>
                  </w:r>
                </w:p>
                <w:p>
                  <w:pPr>
                    <w:pStyle w:val="null3"/>
                    <w:jc w:val="left"/>
                  </w:pPr>
                  <w:r>
                    <w:rPr>
                      <w:rFonts w:ascii="仿宋_GB2312" w:hAnsi="仿宋_GB2312" w:cs="仿宋_GB2312" w:eastAsia="仿宋_GB2312"/>
                      <w:sz w:val="20"/>
                    </w:rPr>
                    <w:t>3.标题与封面设计</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短视频创意策划</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脚本与结构规划</w:t>
                  </w:r>
                </w:p>
                <w:p>
                  <w:pPr>
                    <w:pStyle w:val="null3"/>
                    <w:jc w:val="center"/>
                  </w:pP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1.黄金3秒原则</w:t>
                  </w:r>
                </w:p>
                <w:p>
                  <w:pPr>
                    <w:pStyle w:val="null3"/>
                    <w:jc w:val="left"/>
                  </w:pPr>
                  <w:r>
                    <w:rPr>
                      <w:rFonts w:ascii="仿宋_GB2312" w:hAnsi="仿宋_GB2312" w:cs="仿宋_GB2312" w:eastAsia="仿宋_GB2312"/>
                      <w:sz w:val="20"/>
                    </w:rPr>
                    <w:t>2.内容节奏</w:t>
                  </w:r>
                </w:p>
                <w:p>
                  <w:pPr>
                    <w:pStyle w:val="null3"/>
                    <w:jc w:val="left"/>
                  </w:pPr>
                  <w:r>
                    <w:rPr>
                      <w:rFonts w:ascii="仿宋_GB2312" w:hAnsi="仿宋_GB2312" w:cs="仿宋_GB2312" w:eastAsia="仿宋_GB2312"/>
                      <w:sz w:val="20"/>
                    </w:rPr>
                    <w:t>3.互动设计</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短视频创意策划</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视觉与听觉设计</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1.画面风格</w:t>
                  </w:r>
                </w:p>
                <w:p>
                  <w:pPr>
                    <w:pStyle w:val="null3"/>
                    <w:jc w:val="left"/>
                  </w:pPr>
                  <w:r>
                    <w:rPr>
                      <w:rFonts w:ascii="仿宋_GB2312" w:hAnsi="仿宋_GB2312" w:cs="仿宋_GB2312" w:eastAsia="仿宋_GB2312"/>
                      <w:sz w:val="20"/>
                    </w:rPr>
                    <w:t>2.音乐与音效</w:t>
                  </w:r>
                </w:p>
                <w:p>
                  <w:pPr>
                    <w:pStyle w:val="null3"/>
                    <w:jc w:val="left"/>
                  </w:pPr>
                  <w:r>
                    <w:rPr>
                      <w:rFonts w:ascii="仿宋_GB2312" w:hAnsi="仿宋_GB2312" w:cs="仿宋_GB2312" w:eastAsia="仿宋_GB2312"/>
                      <w:sz w:val="20"/>
                    </w:rPr>
                    <w:t>3.特效与转场</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短视频创意策划</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数据优化与迭代</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1.关键指标监控</w:t>
                  </w:r>
                </w:p>
                <w:p>
                  <w:pPr>
                    <w:pStyle w:val="null3"/>
                    <w:jc w:val="left"/>
                  </w:pPr>
                  <w:r>
                    <w:rPr>
                      <w:rFonts w:ascii="仿宋_GB2312" w:hAnsi="仿宋_GB2312" w:cs="仿宋_GB2312" w:eastAsia="仿宋_GB2312"/>
                      <w:sz w:val="20"/>
                    </w:rPr>
                    <w:t>2.A/B测试</w:t>
                  </w:r>
                </w:p>
                <w:p>
                  <w:pPr>
                    <w:pStyle w:val="null3"/>
                    <w:jc w:val="left"/>
                  </w:pPr>
                  <w:r>
                    <w:rPr>
                      <w:rFonts w:ascii="仿宋_GB2312" w:hAnsi="仿宋_GB2312" w:cs="仿宋_GB2312" w:eastAsia="仿宋_GB2312"/>
                      <w:sz w:val="20"/>
                    </w:rPr>
                    <w:t>3.迭代方向</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短视频创意策划</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合规与风险控制</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1.平台规则</w:t>
                  </w:r>
                </w:p>
                <w:p>
                  <w:pPr>
                    <w:pStyle w:val="null3"/>
                    <w:jc w:val="left"/>
                  </w:pPr>
                  <w:r>
                    <w:rPr>
                      <w:rFonts w:ascii="仿宋_GB2312" w:hAnsi="仿宋_GB2312" w:cs="仿宋_GB2312" w:eastAsia="仿宋_GB2312"/>
                      <w:sz w:val="20"/>
                    </w:rPr>
                    <w:t>2.风险预判</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短视频创意策划</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创意灵感激发方法</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1.头脑风暴技巧</w:t>
                  </w:r>
                </w:p>
                <w:p>
                  <w:pPr>
                    <w:pStyle w:val="null3"/>
                    <w:jc w:val="left"/>
                  </w:pPr>
                  <w:r>
                    <w:rPr>
                      <w:rFonts w:ascii="仿宋_GB2312" w:hAnsi="仿宋_GB2312" w:cs="仿宋_GB2312" w:eastAsia="仿宋_GB2312"/>
                      <w:sz w:val="20"/>
                    </w:rPr>
                    <w:t>2.跨界创意融合案例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短视频创意策划</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趋势预测与热点追踪</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1.行业趋势分析方法</w:t>
                  </w:r>
                </w:p>
                <w:p>
                  <w:pPr>
                    <w:pStyle w:val="null3"/>
                    <w:jc w:val="left"/>
                  </w:pPr>
                  <w:r>
                    <w:rPr>
                      <w:rFonts w:ascii="仿宋_GB2312" w:hAnsi="仿宋_GB2312" w:cs="仿宋_GB2312" w:eastAsia="仿宋_GB2312"/>
                      <w:sz w:val="20"/>
                    </w:rPr>
                    <w:t>2.热点追踪工具使用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短视频拍摄技巧</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拍摄设备选择与使用基础</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1.不同类型拍摄设备的特点与适用场景</w:t>
                  </w:r>
                </w:p>
                <w:p>
                  <w:pPr>
                    <w:pStyle w:val="null3"/>
                    <w:jc w:val="left"/>
                  </w:pPr>
                  <w:r>
                    <w:rPr>
                      <w:rFonts w:ascii="仿宋_GB2312" w:hAnsi="仿宋_GB2312" w:cs="仿宋_GB2312" w:eastAsia="仿宋_GB2312"/>
                      <w:sz w:val="20"/>
                    </w:rPr>
                    <w:t>2.拍摄设备的基本操作与功能设置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短视频拍摄技巧</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不同场景下的拍摄参数设置</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1.室内、室外等不同场景的拍摄参数调整</w:t>
                  </w:r>
                </w:p>
                <w:p>
                  <w:pPr>
                    <w:pStyle w:val="null3"/>
                    <w:jc w:val="left"/>
                  </w:pPr>
                  <w:r>
                    <w:rPr>
                      <w:rFonts w:ascii="仿宋_GB2312" w:hAnsi="仿宋_GB2312" w:cs="仿宋_GB2312" w:eastAsia="仿宋_GB2312"/>
                      <w:sz w:val="20"/>
                    </w:rPr>
                    <w:t>2.光线条件对拍摄参数的影响</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短视频拍摄技巧</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构图原则与画面美学</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1.常见的构图方法与原则</w:t>
                  </w:r>
                </w:p>
                <w:p>
                  <w:pPr>
                    <w:pStyle w:val="null3"/>
                    <w:jc w:val="left"/>
                  </w:pPr>
                  <w:r>
                    <w:rPr>
                      <w:rFonts w:ascii="仿宋_GB2312" w:hAnsi="仿宋_GB2312" w:cs="仿宋_GB2312" w:eastAsia="仿宋_GB2312"/>
                      <w:sz w:val="20"/>
                    </w:rPr>
                    <w:t>2.画面美学的构成要素与表现手法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短视频拍摄技巧</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光线运用与色彩搭配</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1.自然光与人造光的运用技巧</w:t>
                  </w:r>
                </w:p>
                <w:p>
                  <w:pPr>
                    <w:pStyle w:val="null3"/>
                    <w:jc w:val="left"/>
                  </w:pPr>
                  <w:r>
                    <w:rPr>
                      <w:rFonts w:ascii="仿宋_GB2312" w:hAnsi="仿宋_GB2312" w:cs="仿宋_GB2312" w:eastAsia="仿宋_GB2312"/>
                      <w:sz w:val="20"/>
                    </w:rPr>
                    <w:t>2.色彩搭配的原理与视觉效果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短视频拍摄技巧</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拍摄运镜技巧与稳定器使用</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1.推、拉、摇、移等运镜技巧</w:t>
                  </w:r>
                </w:p>
                <w:p>
                  <w:pPr>
                    <w:pStyle w:val="null3"/>
                    <w:jc w:val="left"/>
                  </w:pPr>
                  <w:r>
                    <w:rPr>
                      <w:rFonts w:ascii="仿宋_GB2312" w:hAnsi="仿宋_GB2312" w:cs="仿宋_GB2312" w:eastAsia="仿宋_GB2312"/>
                      <w:sz w:val="20"/>
                    </w:rPr>
                    <w:t>2.稳定器的类型与使用方法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短视频拍摄技巧</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多角度拍摄与镜头语言运用</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1.不同角度拍摄的效果与表现力</w:t>
                  </w:r>
                </w:p>
                <w:p>
                  <w:pPr>
                    <w:pStyle w:val="null3"/>
                    <w:jc w:val="left"/>
                  </w:pPr>
                  <w:r>
                    <w:rPr>
                      <w:rFonts w:ascii="仿宋_GB2312" w:hAnsi="仿宋_GB2312" w:cs="仿宋_GB2312" w:eastAsia="仿宋_GB2312"/>
                      <w:sz w:val="20"/>
                    </w:rPr>
                    <w:t>2.镜头语言的表达方式与运用技巧</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短视频拍摄技巧</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特殊拍摄环境应对策略</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1.夜间拍摄技巧</w:t>
                  </w:r>
                  <w:r>
                    <w:br/>
                  </w:r>
                  <w:r>
                    <w:rPr>
                      <w:rFonts w:ascii="仿宋_GB2312" w:hAnsi="仿宋_GB2312" w:cs="仿宋_GB2312" w:eastAsia="仿宋_GB2312"/>
                      <w:sz w:val="20"/>
                    </w:rPr>
                    <w:t>2.极端天气拍摄准备</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短视频拍摄技巧</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移动拍摄稳定技巧</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1.手持稳定器使用进阶</w:t>
                  </w:r>
                </w:p>
                <w:p>
                  <w:pPr>
                    <w:pStyle w:val="null3"/>
                    <w:jc w:val="left"/>
                  </w:pPr>
                  <w:r>
                    <w:rPr>
                      <w:rFonts w:ascii="仿宋_GB2312" w:hAnsi="仿宋_GB2312" w:cs="仿宋_GB2312" w:eastAsia="仿宋_GB2312"/>
                      <w:sz w:val="20"/>
                    </w:rPr>
                    <w:t>2.移动拍摄构图要点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短视频拍摄技巧</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不同题材短视频拍摄实战：风景类</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拍摄时间选择</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构图技巧</w:t>
                  </w:r>
                </w:p>
                <w:p>
                  <w:pPr>
                    <w:pStyle w:val="null3"/>
                    <w:jc w:val="left"/>
                  </w:pPr>
                  <w:r>
                    <w:rPr>
                      <w:rFonts w:ascii="仿宋_GB2312" w:hAnsi="仿宋_GB2312" w:cs="仿宋_GB2312" w:eastAsia="仿宋_GB2312"/>
                      <w:sz w:val="20"/>
                    </w:rPr>
                    <w:t>3.设备运用</w:t>
                  </w:r>
                </w:p>
                <w:p>
                  <w:pPr>
                    <w:pStyle w:val="null3"/>
                    <w:jc w:val="left"/>
                  </w:pPr>
                  <w:r>
                    <w:rPr>
                      <w:rFonts w:ascii="仿宋_GB2312" w:hAnsi="仿宋_GB2312" w:cs="仿宋_GB2312" w:eastAsia="仿宋_GB2312"/>
                      <w:sz w:val="20"/>
                    </w:rPr>
                    <w:t>4.后期调色思路</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短视频拍摄技巧</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不同题材短视频拍摄实战：人物类</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人物姿态与表情引导</w:t>
                  </w:r>
                </w:p>
                <w:p>
                  <w:pPr>
                    <w:pStyle w:val="null3"/>
                    <w:jc w:val="left"/>
                  </w:pPr>
                  <w:r>
                    <w:rPr>
                      <w:rFonts w:ascii="仿宋_GB2312" w:hAnsi="仿宋_GB2312" w:cs="仿宋_GB2312" w:eastAsia="仿宋_GB2312"/>
                      <w:sz w:val="20"/>
                    </w:rPr>
                    <w:t>2.拍摄角度选择</w:t>
                  </w:r>
                </w:p>
                <w:p>
                  <w:pPr>
                    <w:pStyle w:val="null3"/>
                    <w:jc w:val="left"/>
                  </w:pPr>
                  <w:r>
                    <w:rPr>
                      <w:rFonts w:ascii="仿宋_GB2312" w:hAnsi="仿宋_GB2312" w:cs="仿宋_GB2312" w:eastAsia="仿宋_GB2312"/>
                      <w:sz w:val="20"/>
                    </w:rPr>
                    <w:t>3. 光线运用</w:t>
                  </w:r>
                </w:p>
                <w:p>
                  <w:pPr>
                    <w:pStyle w:val="null3"/>
                    <w:jc w:val="left"/>
                  </w:pPr>
                  <w:r>
                    <w:rPr>
                      <w:rFonts w:ascii="仿宋_GB2312" w:hAnsi="仿宋_GB2312" w:cs="仿宋_GB2312" w:eastAsia="仿宋_GB2312"/>
                      <w:sz w:val="20"/>
                    </w:rPr>
                    <w:t>4. 背景处理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短视频拍摄技巧</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不同题材短视频拍摄实战：美食类</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食材展示技巧</w:t>
                  </w:r>
                </w:p>
                <w:p>
                  <w:pPr>
                    <w:pStyle w:val="null3"/>
                    <w:jc w:val="left"/>
                  </w:pPr>
                  <w:r>
                    <w:rPr>
                      <w:rFonts w:ascii="仿宋_GB2312" w:hAnsi="仿宋_GB2312" w:cs="仿宋_GB2312" w:eastAsia="仿宋_GB2312"/>
                      <w:sz w:val="20"/>
                    </w:rPr>
                    <w:t>2.烹饪过程拍摄</w:t>
                  </w:r>
                </w:p>
                <w:p>
                  <w:pPr>
                    <w:pStyle w:val="null3"/>
                    <w:jc w:val="left"/>
                  </w:pPr>
                  <w:r>
                    <w:rPr>
                      <w:rFonts w:ascii="仿宋_GB2312" w:hAnsi="仿宋_GB2312" w:cs="仿宋_GB2312" w:eastAsia="仿宋_GB2312"/>
                      <w:sz w:val="20"/>
                    </w:rPr>
                    <w:t>3.光线布置</w:t>
                  </w:r>
                </w:p>
                <w:p>
                  <w:pPr>
                    <w:pStyle w:val="null3"/>
                    <w:jc w:val="left"/>
                  </w:pPr>
                  <w:r>
                    <w:rPr>
                      <w:rFonts w:ascii="仿宋_GB2312" w:hAnsi="仿宋_GB2312" w:cs="仿宋_GB2312" w:eastAsia="仿宋_GB2312"/>
                      <w:sz w:val="20"/>
                    </w:rPr>
                    <w:t>4.摆盘与构图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短视频拍摄技巧</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不同题材短视频拍摄实战：宠物类</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1.宠物行为捕捉</w:t>
                  </w:r>
                </w:p>
                <w:p>
                  <w:pPr>
                    <w:pStyle w:val="null3"/>
                    <w:jc w:val="left"/>
                  </w:pPr>
                  <w:r>
                    <w:rPr>
                      <w:rFonts w:ascii="仿宋_GB2312" w:hAnsi="仿宋_GB2312" w:cs="仿宋_GB2312" w:eastAsia="仿宋_GB2312"/>
                      <w:sz w:val="20"/>
                    </w:rPr>
                    <w:t>2.拍摄设备选择</w:t>
                  </w:r>
                </w:p>
                <w:p>
                  <w:pPr>
                    <w:pStyle w:val="null3"/>
                    <w:jc w:val="left"/>
                  </w:pPr>
                  <w:r>
                    <w:rPr>
                      <w:rFonts w:ascii="仿宋_GB2312" w:hAnsi="仿宋_GB2312" w:cs="仿宋_GB2312" w:eastAsia="仿宋_GB2312"/>
                      <w:sz w:val="20"/>
                    </w:rPr>
                    <w:t>3.环境营造</w:t>
                  </w:r>
                </w:p>
                <w:p>
                  <w:pPr>
                    <w:pStyle w:val="null3"/>
                    <w:jc w:val="left"/>
                  </w:pPr>
                  <w:r>
                    <w:rPr>
                      <w:rFonts w:ascii="仿宋_GB2312" w:hAnsi="仿宋_GB2312" w:cs="仿宋_GB2312" w:eastAsia="仿宋_GB2312"/>
                      <w:sz w:val="20"/>
                    </w:rPr>
                    <w:t>4.与宠物互动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短视频拍摄技巧</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不同题材短视频拍摄实战：运动类</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运动轨迹跟踪</w:t>
                  </w:r>
                </w:p>
                <w:p>
                  <w:pPr>
                    <w:pStyle w:val="null3"/>
                    <w:jc w:val="left"/>
                  </w:pPr>
                  <w:r>
                    <w:rPr>
                      <w:rFonts w:ascii="仿宋_GB2312" w:hAnsi="仿宋_GB2312" w:cs="仿宋_GB2312" w:eastAsia="仿宋_GB2312"/>
                      <w:sz w:val="20"/>
                    </w:rPr>
                    <w:t>2. 快门速度设置</w:t>
                  </w:r>
                </w:p>
                <w:p>
                  <w:pPr>
                    <w:pStyle w:val="null3"/>
                    <w:jc w:val="left"/>
                  </w:pPr>
                  <w:r>
                    <w:rPr>
                      <w:rFonts w:ascii="仿宋_GB2312" w:hAnsi="仿宋_GB2312" w:cs="仿宋_GB2312" w:eastAsia="仿宋_GB2312"/>
                      <w:sz w:val="20"/>
                    </w:rPr>
                    <w:t>3. 拍摄视角创新</w:t>
                  </w:r>
                </w:p>
                <w:p>
                  <w:pPr>
                    <w:pStyle w:val="null3"/>
                    <w:jc w:val="left"/>
                  </w:pPr>
                  <w:r>
                    <w:rPr>
                      <w:rFonts w:ascii="仿宋_GB2312" w:hAnsi="仿宋_GB2312" w:cs="仿宋_GB2312" w:eastAsia="仿宋_GB2312"/>
                      <w:sz w:val="20"/>
                    </w:rPr>
                    <w:t>4. 后期剪辑节奏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短视频后期制作</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常用剪辑软件介绍与界面操作</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1.主流剪辑软件的功能与特点</w:t>
                  </w:r>
                </w:p>
                <w:p>
                  <w:pPr>
                    <w:pStyle w:val="null3"/>
                    <w:jc w:val="left"/>
                  </w:pPr>
                  <w:r>
                    <w:rPr>
                      <w:rFonts w:ascii="仿宋_GB2312" w:hAnsi="仿宋_GB2312" w:cs="仿宋_GB2312" w:eastAsia="仿宋_GB2312"/>
                      <w:sz w:val="20"/>
                    </w:rPr>
                    <w:t>2.剪辑软件的界面布局与基本操作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短视频后期制作</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素材导入与管理</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1.不同格式素材的导入方法</w:t>
                  </w:r>
                </w:p>
                <w:p>
                  <w:pPr>
                    <w:pStyle w:val="null3"/>
                    <w:jc w:val="left"/>
                  </w:pPr>
                  <w:r>
                    <w:rPr>
                      <w:rFonts w:ascii="仿宋_GB2312" w:hAnsi="仿宋_GB2312" w:cs="仿宋_GB2312" w:eastAsia="仿宋_GB2312"/>
                      <w:sz w:val="20"/>
                    </w:rPr>
                    <w:t>2.素材的分类与管理技巧</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短视频后期制作</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基础剪辑操作</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裁剪、拼接等基础剪辑技巧</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短视频后期制作</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视频调色原理与风格化调色</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1.视频调色的基本原理与方法</w:t>
                  </w:r>
                </w:p>
                <w:p>
                  <w:pPr>
                    <w:pStyle w:val="null3"/>
                    <w:jc w:val="left"/>
                  </w:pPr>
                  <w:r>
                    <w:rPr>
                      <w:rFonts w:ascii="仿宋_GB2312" w:hAnsi="仿宋_GB2312" w:cs="仿宋_GB2312" w:eastAsia="仿宋_GB2312"/>
                      <w:sz w:val="20"/>
                    </w:rPr>
                    <w:t>2.不同风格视频的调色技巧</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短视频后期制作</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关键帧动画制作与运动效果添加</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1.关键帧动画的制作原理与方法</w:t>
                  </w:r>
                </w:p>
                <w:p>
                  <w:pPr>
                    <w:pStyle w:val="null3"/>
                    <w:jc w:val="left"/>
                  </w:pPr>
                  <w:r>
                    <w:rPr>
                      <w:rFonts w:ascii="仿宋_GB2312" w:hAnsi="仿宋_GB2312" w:cs="仿宋_GB2312" w:eastAsia="仿宋_GB2312"/>
                      <w:sz w:val="20"/>
                    </w:rPr>
                    <w:t>2.运动效果的添加与调整技巧</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短视频后期制作</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特效插件使用与创意特效制作</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1.常用特效插件的功能与使用方法</w:t>
                  </w:r>
                </w:p>
                <w:p>
                  <w:pPr>
                    <w:pStyle w:val="null3"/>
                    <w:jc w:val="left"/>
                  </w:pPr>
                  <w:r>
                    <w:rPr>
                      <w:rFonts w:ascii="仿宋_GB2312" w:hAnsi="仿宋_GB2312" w:cs="仿宋_GB2312" w:eastAsia="仿宋_GB2312"/>
                      <w:sz w:val="20"/>
                    </w:rPr>
                    <w:t>2.创意特效的制作思路与技巧</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短视频后期制作</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音频处理</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音频降噪、剪辑与配乐的方法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短视频后期制作</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音频后期处理进阶</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1.环绕声制作基础</w:t>
                  </w:r>
                </w:p>
                <w:p>
                  <w:pPr>
                    <w:pStyle w:val="null3"/>
                    <w:jc w:val="left"/>
                  </w:pPr>
                  <w:r>
                    <w:rPr>
                      <w:rFonts w:ascii="仿宋_GB2312" w:hAnsi="仿宋_GB2312" w:cs="仿宋_GB2312" w:eastAsia="仿宋_GB2312"/>
                      <w:sz w:val="20"/>
                    </w:rPr>
                    <w:t>2.音频动态压缩技巧</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短视频后期制作</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字幕制作与图形添加</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1.字幕的制作方法与样式设计</w:t>
                  </w:r>
                </w:p>
                <w:p>
                  <w:pPr>
                    <w:pStyle w:val="null3"/>
                    <w:jc w:val="left"/>
                  </w:pPr>
                  <w:r>
                    <w:rPr>
                      <w:rFonts w:ascii="仿宋_GB2312" w:hAnsi="仿宋_GB2312" w:cs="仿宋_GB2312" w:eastAsia="仿宋_GB2312"/>
                      <w:sz w:val="20"/>
                    </w:rPr>
                    <w:t>2.图形的添加与编辑技巧</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短视频后期制作</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合成与遮罩技术应用</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合成技术的原理与应用方法</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遮罩技术的使用与效果调整</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短视频后期制作</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视频输出设置与格式选择</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视频输出的参数设置与格式选择原则</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短视频后期制作</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高级调色技巧</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1.色彩校正原理</w:t>
                  </w:r>
                  <w:r>
                    <w:br/>
                  </w:r>
                  <w:r>
                    <w:rPr>
                      <w:rFonts w:ascii="仿宋_GB2312" w:hAnsi="仿宋_GB2312" w:cs="仿宋_GB2312" w:eastAsia="仿宋_GB2312"/>
                      <w:sz w:val="20"/>
                    </w:rPr>
                    <w:t>2.风格化调色案例分析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短视频后期制作</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特效合成进阶</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1.多层特效叠加技巧</w:t>
                  </w:r>
                </w:p>
                <w:p>
                  <w:pPr>
                    <w:pStyle w:val="null3"/>
                    <w:jc w:val="left"/>
                  </w:pPr>
                  <w:r>
                    <w:rPr>
                      <w:rFonts w:ascii="仿宋_GB2312" w:hAnsi="仿宋_GB2312" w:cs="仿宋_GB2312" w:eastAsia="仿宋_GB2312"/>
                      <w:sz w:val="20"/>
                    </w:rPr>
                    <w:t>2.特效时间轴控制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短视频后期制作</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综合剪辑实践项目</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综合运用所学后期制作知识完成剪辑项目</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短视频运营与推广</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短视频账号定位与包装设计</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1.账号定位的方法与策略</w:t>
                  </w:r>
                </w:p>
                <w:p>
                  <w:pPr>
                    <w:pStyle w:val="null3"/>
                    <w:jc w:val="left"/>
                  </w:pPr>
                  <w:r>
                    <w:rPr>
                      <w:rFonts w:ascii="仿宋_GB2312" w:hAnsi="仿宋_GB2312" w:cs="仿宋_GB2312" w:eastAsia="仿宋_GB2312"/>
                      <w:sz w:val="20"/>
                    </w:rPr>
                    <w:t>2.账号包装设计的要素与技巧</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短视频运营与推广</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发布时间与频率策略</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不同平台的最佳发布时间与频率</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短视频运营与推广</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互动技巧与粉丝运营</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1.与粉丝互动的技巧与方法</w:t>
                  </w:r>
                </w:p>
                <w:p>
                  <w:pPr>
                    <w:pStyle w:val="null3"/>
                    <w:jc w:val="left"/>
                  </w:pPr>
                  <w:r>
                    <w:rPr>
                      <w:rFonts w:ascii="仿宋_GB2312" w:hAnsi="仿宋_GB2312" w:cs="仿宋_GB2312" w:eastAsia="仿宋_GB2312"/>
                      <w:sz w:val="20"/>
                    </w:rPr>
                    <w:t>2.粉丝运营的策略与实施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短视频运营与推广</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数据分析指标解读与应用</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1.常见数据分析指标的含义与解读</w:t>
                  </w:r>
                </w:p>
                <w:p>
                  <w:pPr>
                    <w:pStyle w:val="null3"/>
                    <w:jc w:val="left"/>
                  </w:pPr>
                  <w:r>
                    <w:rPr>
                      <w:rFonts w:ascii="仿宋_GB2312" w:hAnsi="仿宋_GB2312" w:cs="仿宋_GB2312" w:eastAsia="仿宋_GB2312"/>
                      <w:sz w:val="20"/>
                    </w:rPr>
                    <w:t>2.数据分析在运营中的应用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短视频运营与推广</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热门话题借势与蹭热点方法</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1.热门话题的发现与借势策略</w:t>
                  </w:r>
                </w:p>
                <w:p>
                  <w:pPr>
                    <w:pStyle w:val="null3"/>
                    <w:jc w:val="left"/>
                  </w:pPr>
                  <w:r>
                    <w:rPr>
                      <w:rFonts w:ascii="仿宋_GB2312" w:hAnsi="仿宋_GB2312" w:cs="仿宋_GB2312" w:eastAsia="仿宋_GB2312"/>
                      <w:sz w:val="20"/>
                    </w:rPr>
                    <w:t>2.蹭热点的技巧与注意事项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短视频运营与推广</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跨平台推广策略与渠道选择</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1.跨平台推广的策略与实施步骤</w:t>
                  </w:r>
                </w:p>
                <w:p>
                  <w:pPr>
                    <w:pStyle w:val="null3"/>
                    <w:jc w:val="left"/>
                  </w:pPr>
                  <w:r>
                    <w:rPr>
                      <w:rFonts w:ascii="仿宋_GB2312" w:hAnsi="仿宋_GB2312" w:cs="仿宋_GB2312" w:eastAsia="仿宋_GB2312"/>
                      <w:sz w:val="20"/>
                    </w:rPr>
                    <w:t>2.不同推广渠道的特点与选择原则</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短视频运营与推广</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短视频商业变现模式探索</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1.常见的短视频商业变现模式</w:t>
                  </w:r>
                </w:p>
                <w:p>
                  <w:pPr>
                    <w:pStyle w:val="null3"/>
                    <w:jc w:val="left"/>
                  </w:pPr>
                  <w:r>
                    <w:rPr>
                      <w:rFonts w:ascii="仿宋_GB2312" w:hAnsi="仿宋_GB2312" w:cs="仿宋_GB2312" w:eastAsia="仿宋_GB2312"/>
                      <w:sz w:val="20"/>
                    </w:rPr>
                    <w:t>2.变现模式的选择与实施策略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短视频运营与推广</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社交媒体互动策略</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1.评论区管理技巧</w:t>
                  </w:r>
                </w:p>
                <w:p>
                  <w:pPr>
                    <w:pStyle w:val="null3"/>
                    <w:jc w:val="left"/>
                  </w:pPr>
                  <w:r>
                    <w:rPr>
                      <w:rFonts w:ascii="仿宋_GB2312" w:hAnsi="仿宋_GB2312" w:cs="仿宋_GB2312" w:eastAsia="仿宋_GB2312"/>
                      <w:sz w:val="20"/>
                    </w:rPr>
                    <w:t>2.私信营销方法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短视频运营与推广</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KOL合作策略</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1.KOL选择标准</w:t>
                  </w:r>
                  <w:r>
                    <w:br/>
                  </w:r>
                  <w:r>
                    <w:rPr>
                      <w:rFonts w:ascii="仿宋_GB2312" w:hAnsi="仿宋_GB2312" w:cs="仿宋_GB2312" w:eastAsia="仿宋_GB2312"/>
                      <w:sz w:val="20"/>
                    </w:rPr>
                    <w:t>2.合作效果评估</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短视频运营与推广</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数据分析工具进阶</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1.高级数据分析功能使用</w:t>
                  </w:r>
                  <w:r>
                    <w:br/>
                  </w:r>
                  <w:r>
                    <w:rPr>
                      <w:rFonts w:ascii="仿宋_GB2312" w:hAnsi="仿宋_GB2312" w:cs="仿宋_GB2312" w:eastAsia="仿宋_GB2312"/>
                      <w:sz w:val="20"/>
                    </w:rPr>
                    <w:t>2.数据可视化呈现</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短视频典型案例分析</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企业典型项目案例分析</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1.企业短视频项目的策划与执行流程</w:t>
                  </w:r>
                </w:p>
                <w:p>
                  <w:pPr>
                    <w:pStyle w:val="null3"/>
                    <w:jc w:val="left"/>
                  </w:pPr>
                  <w:r>
                    <w:rPr>
                      <w:rFonts w:ascii="仿宋_GB2312" w:hAnsi="仿宋_GB2312" w:cs="仿宋_GB2312" w:eastAsia="仿宋_GB2312"/>
                      <w:sz w:val="20"/>
                    </w:rPr>
                    <w:t>2.项目成功与失败的原因分析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短视频典型案例分析</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行业标杆案例分析</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1.成功案例拆解</w:t>
                  </w:r>
                  <w:r>
                    <w:br/>
                  </w:r>
                  <w:r>
                    <w:rPr>
                      <w:rFonts w:ascii="仿宋_GB2312" w:hAnsi="仿宋_GB2312" w:cs="仿宋_GB2312" w:eastAsia="仿宋_GB2312"/>
                      <w:sz w:val="20"/>
                    </w:rPr>
                    <w:t>2.失败案例教训总结</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短视频新兴技术探索</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高端拍摄技术指导</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1.高端拍摄设备的操作与技巧</w:t>
                  </w:r>
                </w:p>
                <w:p>
                  <w:pPr>
                    <w:pStyle w:val="null3"/>
                    <w:jc w:val="left"/>
                  </w:pPr>
                  <w:r>
                    <w:rPr>
                      <w:rFonts w:ascii="仿宋_GB2312" w:hAnsi="仿宋_GB2312" w:cs="仿宋_GB2312" w:eastAsia="仿宋_GB2312"/>
                      <w:sz w:val="20"/>
                    </w:rPr>
                    <w:t>2.特殊拍摄场景的技术解决方案</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短视频新兴技术探索</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新技术趋势与应用指导</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1.VR、AR等新技术在短视频中的应用趋势</w:t>
                  </w:r>
                </w:p>
                <w:p>
                  <w:pPr>
                    <w:pStyle w:val="null3"/>
                    <w:jc w:val="left"/>
                  </w:pPr>
                  <w:r>
                    <w:rPr>
                      <w:rFonts w:ascii="仿宋_GB2312" w:hAnsi="仿宋_GB2312" w:cs="仿宋_GB2312" w:eastAsia="仿宋_GB2312"/>
                      <w:sz w:val="20"/>
                    </w:rPr>
                    <w:t>2.新技术的探索与实践方法</w:t>
                  </w:r>
                </w:p>
                <w:p>
                  <w:pPr>
                    <w:pStyle w:val="null3"/>
                    <w:jc w:val="left"/>
                  </w:pPr>
                  <w:r>
                    <w:rPr>
                      <w:rFonts w:ascii="仿宋_GB2312" w:hAnsi="仿宋_GB2312" w:cs="仿宋_GB2312" w:eastAsia="仿宋_GB2312"/>
                      <w:sz w:val="20"/>
                    </w:rPr>
                    <w:t>3无人机拍摄技巧</w:t>
                  </w:r>
                </w:p>
                <w:p>
                  <w:pPr>
                    <w:pStyle w:val="null3"/>
                    <w:jc w:val="left"/>
                  </w:pPr>
                  <w:r>
                    <w:rPr>
                      <w:rFonts w:ascii="仿宋_GB2312" w:hAnsi="仿宋_GB2312" w:cs="仿宋_GB2312" w:eastAsia="仿宋_GB2312"/>
                      <w:sz w:val="20"/>
                    </w:rPr>
                    <w:t>4.新兴技术应用探索</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短视频新兴技术探索</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无人机拍摄技巧</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1.无人机操作安全规范</w:t>
                  </w:r>
                </w:p>
                <w:p>
                  <w:pPr>
                    <w:pStyle w:val="null3"/>
                    <w:jc w:val="left"/>
                  </w:pPr>
                  <w:r>
                    <w:rPr>
                      <w:rFonts w:ascii="仿宋_GB2312" w:hAnsi="仿宋_GB2312" w:cs="仿宋_GB2312" w:eastAsia="仿宋_GB2312"/>
                      <w:sz w:val="20"/>
                    </w:rPr>
                    <w:t>2.航拍构图原则</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短视频新兴技术探索</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新兴技术应用探索</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1.AI技术在短视频中的应用</w:t>
                  </w:r>
                </w:p>
                <w:p>
                  <w:pPr>
                    <w:pStyle w:val="null3"/>
                    <w:jc w:val="left"/>
                  </w:pPr>
                  <w:r>
                    <w:rPr>
                      <w:rFonts w:ascii="仿宋_GB2312" w:hAnsi="仿宋_GB2312" w:cs="仿宋_GB2312" w:eastAsia="仿宋_GB2312"/>
                      <w:sz w:val="20"/>
                    </w:rPr>
                    <w:t>2.5G时代短视频发展趋势</w:t>
                  </w:r>
                </w:p>
              </w:tc>
            </w:tr>
          </w:tbl>
          <w:p>
            <w:pPr>
              <w:pStyle w:val="null3"/>
              <w:ind w:firstLine="400"/>
              <w:jc w:val="both"/>
            </w:pPr>
            <w:r>
              <w:rPr>
                <w:rFonts w:ascii="仿宋_GB2312" w:hAnsi="仿宋_GB2312" w:cs="仿宋_GB2312" w:eastAsia="仿宋_GB2312"/>
                <w:sz w:val="20"/>
              </w:rPr>
              <w:t>（二）《短视频创作》</w:t>
            </w:r>
            <w:r>
              <w:rPr>
                <w:rFonts w:ascii="仿宋_GB2312" w:hAnsi="仿宋_GB2312" w:cs="仿宋_GB2312" w:eastAsia="仿宋_GB2312"/>
                <w:sz w:val="20"/>
                <w:color w:val="000000"/>
              </w:rPr>
              <w:t>课程录制</w:t>
            </w:r>
            <w:r>
              <w:rPr>
                <w:rFonts w:ascii="仿宋_GB2312" w:hAnsi="仿宋_GB2312" w:cs="仿宋_GB2312" w:eastAsia="仿宋_GB2312"/>
                <w:sz w:val="20"/>
                <w:color w:val="000000"/>
              </w:rPr>
              <w:t>12个</w:t>
            </w:r>
            <w:r>
              <w:rPr>
                <w:rFonts w:ascii="仿宋_GB2312" w:hAnsi="仿宋_GB2312" w:cs="仿宋_GB2312" w:eastAsia="仿宋_GB2312"/>
                <w:sz w:val="20"/>
              </w:rPr>
              <w:t>动画</w:t>
            </w:r>
          </w:p>
          <w:tbl>
            <w:tblPr>
              <w:tblBorders>
                <w:top w:val="none" w:color="000000" w:sz="4"/>
                <w:left w:val="none" w:color="000000" w:sz="4"/>
                <w:bottom w:val="none" w:color="000000" w:sz="4"/>
                <w:right w:val="none" w:color="000000" w:sz="4"/>
                <w:insideH w:val="none"/>
                <w:insideV w:val="none"/>
              </w:tblBorders>
            </w:tblPr>
            <w:tblGrid>
              <w:gridCol w:w="233"/>
              <w:gridCol w:w="677"/>
              <w:gridCol w:w="1902"/>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19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不同短视频平台的用户群体特征</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各大短视频平台（如抖音、快手、</w:t>
                  </w:r>
                  <w:r>
                    <w:rPr>
                      <w:rFonts w:ascii="仿宋_GB2312" w:hAnsi="仿宋_GB2312" w:cs="仿宋_GB2312" w:eastAsia="仿宋_GB2312"/>
                      <w:sz w:val="20"/>
                    </w:rPr>
                    <w:t>B站等）的用户年龄、性别、兴趣分布</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平台的算法推荐规则</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图形化方式解释算法如何根据用户行为推荐内容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关键指标监控</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演示如何监控短视频的关键指标（如观看量、点赞数等）</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A/B测试</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解释</w:t>
                  </w:r>
                  <w:r>
                    <w:rPr>
                      <w:rFonts w:ascii="仿宋_GB2312" w:hAnsi="仿宋_GB2312" w:cs="仿宋_GB2312" w:eastAsia="仿宋_GB2312"/>
                      <w:sz w:val="20"/>
                    </w:rPr>
                    <w:t>A/B测试的概念、实施步骤和效果评估</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账号定位的方法与策略</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展示如何根据目标受众定位短视频账号</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不同平台的最佳发布时间与频率</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以图表和动画形式展示各平台的最佳发布时段和频率</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与粉丝互动的技巧与方法</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与粉丝进行有效互动，提高粉丝粘性</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常见数据分析指标的含义与解读</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解释短视频数据分析中的关键指标</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热门话题的发现与借势策略</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展示如何发现热门话题并有效借势提升曝光</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跨平台推广的策略与实施步骤</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展示跨平台推广的策略和具体实施步骤</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常见的短视频商业变现模式</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展示短视频行业常见的商业变现模式及其运作方式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KOL选择标准与合作效果评估</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解释如何选择合适的</w:t>
                  </w:r>
                  <w:r>
                    <w:rPr>
                      <w:rFonts w:ascii="仿宋_GB2312" w:hAnsi="仿宋_GB2312" w:cs="仿宋_GB2312" w:eastAsia="仿宋_GB2312"/>
                      <w:sz w:val="20"/>
                    </w:rPr>
                    <w:t>KOL进行合作及效果评估方法</w:t>
                  </w:r>
                </w:p>
              </w:tc>
            </w:tr>
          </w:tbl>
          <w:p>
            <w:pPr>
              <w:pStyle w:val="null3"/>
              <w:jc w:val="left"/>
            </w:pPr>
            <w:r>
              <w:rPr>
                <w:rFonts w:ascii="仿宋_GB2312" w:hAnsi="仿宋_GB2312" w:cs="仿宋_GB2312" w:eastAsia="仿宋_GB2312"/>
                <w:sz w:val="20"/>
                <w:b/>
              </w:rPr>
              <w:t>九、</w:t>
            </w:r>
            <w:r>
              <w:rPr>
                <w:rFonts w:ascii="仿宋_GB2312" w:hAnsi="仿宋_GB2312" w:cs="仿宋_GB2312" w:eastAsia="仿宋_GB2312"/>
                <w:sz w:val="20"/>
                <w:b/>
                <w:color w:val="000000"/>
              </w:rPr>
              <w:t>《幼儿园课程与活动设计》</w:t>
            </w:r>
          </w:p>
          <w:p>
            <w:pPr>
              <w:pStyle w:val="null3"/>
              <w:jc w:val="left"/>
            </w:pPr>
            <w:r>
              <w:rPr>
                <w:rFonts w:ascii="仿宋_GB2312" w:hAnsi="仿宋_GB2312" w:cs="仿宋_GB2312" w:eastAsia="仿宋_GB2312"/>
                <w:sz w:val="20"/>
              </w:rPr>
              <w:t>（一）</w:t>
            </w:r>
            <w:r>
              <w:rPr>
                <w:rFonts w:ascii="仿宋_GB2312" w:hAnsi="仿宋_GB2312" w:cs="仿宋_GB2312" w:eastAsia="仿宋_GB2312"/>
                <w:sz w:val="20"/>
                <w:color w:val="000000"/>
              </w:rPr>
              <w:t>《幼儿园课程与活动设计》课程录制</w:t>
            </w:r>
            <w:r>
              <w:rPr>
                <w:rFonts w:ascii="仿宋_GB2312" w:hAnsi="仿宋_GB2312" w:cs="仿宋_GB2312" w:eastAsia="仿宋_GB2312"/>
                <w:sz w:val="20"/>
                <w:color w:val="000000"/>
              </w:rPr>
              <w:t>67个微课</w:t>
            </w:r>
          </w:p>
          <w:tbl>
            <w:tblPr>
              <w:tblBorders>
                <w:top w:val="none" w:color="000000" w:sz="4"/>
                <w:left w:val="none" w:color="000000" w:sz="4"/>
                <w:bottom w:val="none" w:color="000000" w:sz="4"/>
                <w:right w:val="none" w:color="000000" w:sz="4"/>
                <w:insideH w:val="none"/>
                <w:insideV w:val="none"/>
              </w:tblBorders>
            </w:tblPr>
            <w:tblGrid>
              <w:gridCol w:w="233"/>
              <w:gridCol w:w="556"/>
              <w:gridCol w:w="973"/>
              <w:gridCol w:w="1045"/>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学习情景</w:t>
                  </w:r>
                </w:p>
              </w:tc>
              <w:tc>
                <w:tcPr>
                  <w:tcW w:type="dxa" w:w="9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节名</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知识</w:t>
                  </w:r>
                  <w:r>
                    <w:rPr>
                      <w:rFonts w:ascii="仿宋_GB2312" w:hAnsi="仿宋_GB2312" w:cs="仿宋_GB2312" w:eastAsia="仿宋_GB2312"/>
                      <w:sz w:val="20"/>
                      <w:b/>
                    </w:rPr>
                    <w:t>（技能）</w:t>
                  </w:r>
                  <w:r>
                    <w:rPr>
                      <w:rFonts w:ascii="仿宋_GB2312" w:hAnsi="仿宋_GB2312" w:cs="仿宋_GB2312" w:eastAsia="仿宋_GB2312"/>
                      <w:sz w:val="20"/>
                      <w:b/>
                    </w:rPr>
                    <w:t>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走进幼儿园课程</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幼儿园课程的概念与特点</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1.幼儿园课程的概念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2.幼儿园课程的特点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幼儿园课程编制</w:t>
                  </w:r>
                </w:p>
                <w:p>
                  <w:pPr>
                    <w:pStyle w:val="null3"/>
                    <w:jc w:val="center"/>
                  </w:p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幼儿园课程开发模式与设计取向</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1.幼儿园课程的开发模式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2.幼儿园课程的设计取向</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幼儿园课程目标与内容</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1.幼儿园课程目标的制定</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2.幼儿园课程内容的选编</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幼儿园课程实施与评价</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1.幼儿园课程实施取向</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2.幼儿园课程实施的途径</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3.幼儿园课程评价的原则</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4.幼儿园课程方案、实施与效果的评价</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园本课程</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1.园本课程的内涵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2.园本课程的特点与类型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3.园本课程的开发</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4.园本课程方案的编制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认识幼儿园教育活动</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幼儿园教育活动的理论基础与设计依据</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1.幼儿园教育活动含义、特点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2.幼儿园教育活动设计的原则与程序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幼儿园教育活动设计的核心要素</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1.幼儿园教育活动的目标与内容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2.幼儿园教育活动的方法与策略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幼儿园一日活动设计与</w:t>
                  </w:r>
                </w:p>
                <w:p>
                  <w:pPr>
                    <w:pStyle w:val="null3"/>
                    <w:jc w:val="center"/>
                  </w:pPr>
                  <w:r>
                    <w:rPr>
                      <w:rFonts w:ascii="仿宋_GB2312" w:hAnsi="仿宋_GB2312" w:cs="仿宋_GB2312" w:eastAsia="仿宋_GB2312"/>
                      <w:sz w:val="20"/>
                    </w:rPr>
                    <w:t>指导</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一日活动概述</w:t>
                  </w:r>
                </w:p>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1.幼儿园一日活动</w:t>
                  </w:r>
                  <w:r>
                    <w:rPr>
                      <w:rFonts w:ascii="仿宋_GB2312" w:hAnsi="仿宋_GB2312" w:cs="仿宋_GB2312" w:eastAsia="仿宋_GB2312"/>
                      <w:sz w:val="20"/>
                      <w:color w:val="000000"/>
                    </w:rPr>
                    <w:t>的</w:t>
                  </w:r>
                  <w:r>
                    <w:rPr>
                      <w:rFonts w:ascii="仿宋_GB2312" w:hAnsi="仿宋_GB2312" w:cs="仿宋_GB2312" w:eastAsia="仿宋_GB2312"/>
                      <w:sz w:val="20"/>
                      <w:color w:val="000000"/>
                    </w:rPr>
                    <w:t>内涵与功能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2.幼儿园一日活动设计原则</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一日活动的组织与指导</w:t>
                  </w:r>
                </w:p>
                <w:p>
                  <w:pPr>
                    <w:pStyle w:val="null3"/>
                    <w:jc w:val="center"/>
                  </w:pPr>
                  <w:r>
                    <w:rPr>
                      <w:rFonts w:ascii="仿宋_GB2312" w:hAnsi="仿宋_GB2312" w:cs="仿宋_GB2312" w:eastAsia="仿宋_GB2312"/>
                      <w:sz w:val="20"/>
                      <w:color w:val="000000"/>
                    </w:rPr>
                    <w:t>要点</w:t>
                  </w:r>
                </w:p>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1.幼儿园一日活动的指导</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2.幼儿园一日活动组织过程中应注意的问题</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幼儿园集体教学活动设计与指导</w:t>
                  </w:r>
                </w:p>
                <w:p>
                  <w:pPr>
                    <w:pStyle w:val="null3"/>
                    <w:jc w:val="center"/>
                  </w:p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健康领域活动的设计</w:t>
                  </w:r>
                </w:p>
                <w:p>
                  <w:pPr>
                    <w:pStyle w:val="null3"/>
                    <w:jc w:val="center"/>
                  </w:pPr>
                  <w:r>
                    <w:rPr>
                      <w:rFonts w:ascii="仿宋_GB2312" w:hAnsi="仿宋_GB2312" w:cs="仿宋_GB2312" w:eastAsia="仿宋_GB2312"/>
                      <w:sz w:val="20"/>
                      <w:color w:val="000000"/>
                    </w:rPr>
                    <w:t>与指导</w:t>
                  </w:r>
                </w:p>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1.健康领域活动的目标与内容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2.身心保健活动的设计步骤与指导策略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3.身心保健活动教学案例分析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4.身心保健活动设计实践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5.幼儿心理健康活动教学实录</w:t>
                  </w:r>
                </w:p>
                <w:p>
                  <w:pPr>
                    <w:pStyle w:val="null3"/>
                    <w:jc w:val="both"/>
                  </w:pPr>
                  <w:r>
                    <w:rPr>
                      <w:rFonts w:ascii="仿宋_GB2312" w:hAnsi="仿宋_GB2312" w:cs="仿宋_GB2312" w:eastAsia="仿宋_GB2312"/>
                      <w:sz w:val="20"/>
                      <w:color w:val="000000"/>
                    </w:rPr>
                    <w:t>（在幼儿园录制）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.体育锻炼活动的设计步骤与指导策略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.体育锻炼活动教学案例分析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.体育锻炼活动设计实践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9.体育锻炼活动教学实录</w:t>
                  </w:r>
                </w:p>
                <w:p>
                  <w:pPr>
                    <w:pStyle w:val="null3"/>
                    <w:jc w:val="both"/>
                  </w:pPr>
                  <w:r>
                    <w:rPr>
                      <w:rFonts w:ascii="仿宋_GB2312" w:hAnsi="仿宋_GB2312" w:cs="仿宋_GB2312" w:eastAsia="仿宋_GB2312"/>
                      <w:sz w:val="20"/>
                      <w:color w:val="000000"/>
                    </w:rPr>
                    <w:t>（在幼儿园录制）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语言领域活动的设计</w:t>
                  </w:r>
                </w:p>
                <w:p>
                  <w:pPr>
                    <w:pStyle w:val="null3"/>
                    <w:jc w:val="center"/>
                  </w:pPr>
                  <w:r>
                    <w:rPr>
                      <w:rFonts w:ascii="仿宋_GB2312" w:hAnsi="仿宋_GB2312" w:cs="仿宋_GB2312" w:eastAsia="仿宋_GB2312"/>
                      <w:sz w:val="20"/>
                      <w:color w:val="000000"/>
                    </w:rPr>
                    <w:t>与指导</w:t>
                  </w:r>
                </w:p>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1.语言领域活动</w:t>
                  </w:r>
                  <w:r>
                    <w:rPr>
                      <w:rFonts w:ascii="仿宋_GB2312" w:hAnsi="仿宋_GB2312" w:cs="仿宋_GB2312" w:eastAsia="仿宋_GB2312"/>
                      <w:sz w:val="20"/>
                      <w:color w:val="000000"/>
                    </w:rPr>
                    <w:t>的</w:t>
                  </w:r>
                  <w:r>
                    <w:rPr>
                      <w:rFonts w:ascii="仿宋_GB2312" w:hAnsi="仿宋_GB2312" w:cs="仿宋_GB2312" w:eastAsia="仿宋_GB2312"/>
                      <w:sz w:val="20"/>
                      <w:color w:val="000000"/>
                    </w:rPr>
                    <w:t>目标与内容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2.语言领域活动的设计步骤与要求</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3.语言领域活动的设计原则与指导策略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4.语言领域活动教学案例分析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5.语言领域活动设计实践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6.儿童文学活动教学实录</w:t>
                  </w:r>
                </w:p>
                <w:p>
                  <w:pPr>
                    <w:pStyle w:val="null3"/>
                    <w:jc w:val="both"/>
                  </w:pPr>
                  <w:r>
                    <w:rPr>
                      <w:rFonts w:ascii="仿宋_GB2312" w:hAnsi="仿宋_GB2312" w:cs="仿宋_GB2312" w:eastAsia="仿宋_GB2312"/>
                      <w:sz w:val="20"/>
                      <w:color w:val="000000"/>
                    </w:rPr>
                    <w:t>（在幼儿园录制）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7.早期阅读活动教学实录</w:t>
                  </w:r>
                </w:p>
                <w:p>
                  <w:pPr>
                    <w:pStyle w:val="null3"/>
                    <w:jc w:val="both"/>
                  </w:pPr>
                  <w:r>
                    <w:rPr>
                      <w:rFonts w:ascii="仿宋_GB2312" w:hAnsi="仿宋_GB2312" w:cs="仿宋_GB2312" w:eastAsia="仿宋_GB2312"/>
                      <w:sz w:val="20"/>
                      <w:color w:val="000000"/>
                    </w:rPr>
                    <w:t>（在幼儿园录制）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社会领域活动的设计</w:t>
                  </w:r>
                </w:p>
                <w:p>
                  <w:pPr>
                    <w:pStyle w:val="null3"/>
                    <w:jc w:val="center"/>
                  </w:pPr>
                  <w:r>
                    <w:rPr>
                      <w:rFonts w:ascii="仿宋_GB2312" w:hAnsi="仿宋_GB2312" w:cs="仿宋_GB2312" w:eastAsia="仿宋_GB2312"/>
                      <w:sz w:val="20"/>
                      <w:color w:val="000000"/>
                    </w:rPr>
                    <w:t>与指导</w:t>
                  </w:r>
                </w:p>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1.社会领域活动的目标、内容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2.社会领域活动的设计步骤与指导策略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3.社会领域活动教学案例分析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4.社会领域活动设计实践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5.社会领域活动教学实录</w:t>
                  </w:r>
                </w:p>
                <w:p>
                  <w:pPr>
                    <w:pStyle w:val="null3"/>
                    <w:jc w:val="both"/>
                  </w:pPr>
                  <w:r>
                    <w:rPr>
                      <w:rFonts w:ascii="仿宋_GB2312" w:hAnsi="仿宋_GB2312" w:cs="仿宋_GB2312" w:eastAsia="仿宋_GB2312"/>
                      <w:sz w:val="20"/>
                      <w:color w:val="000000"/>
                    </w:rPr>
                    <w:t>（在幼儿园录制）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科学领域活动的设计</w:t>
                  </w:r>
                </w:p>
                <w:p>
                  <w:pPr>
                    <w:pStyle w:val="null3"/>
                    <w:jc w:val="center"/>
                  </w:pPr>
                  <w:r>
                    <w:rPr>
                      <w:rFonts w:ascii="仿宋_GB2312" w:hAnsi="仿宋_GB2312" w:cs="仿宋_GB2312" w:eastAsia="仿宋_GB2312"/>
                      <w:sz w:val="20"/>
                      <w:color w:val="000000"/>
                    </w:rPr>
                    <w:t>与指导</w:t>
                  </w:r>
                </w:p>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1.科学活动的目标、内容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2.科学活动的设计步骤与指导策略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3.科学活动教学案例分析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4.科学活动设计实践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5.科学探索活动教学实录</w:t>
                  </w:r>
                </w:p>
                <w:p>
                  <w:pPr>
                    <w:pStyle w:val="null3"/>
                    <w:jc w:val="both"/>
                  </w:pPr>
                  <w:r>
                    <w:rPr>
                      <w:rFonts w:ascii="仿宋_GB2312" w:hAnsi="仿宋_GB2312" w:cs="仿宋_GB2312" w:eastAsia="仿宋_GB2312"/>
                      <w:sz w:val="20"/>
                      <w:color w:val="000000"/>
                    </w:rPr>
                    <w:t>（在幼儿园录制）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.数学活动的目标、内容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.数学活动的设计步骤与指导策略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.数学活动教学案例分析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.数学活动设计实践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10.数学活动教学实录</w:t>
                  </w:r>
                </w:p>
                <w:p>
                  <w:pPr>
                    <w:pStyle w:val="null3"/>
                    <w:jc w:val="both"/>
                  </w:pPr>
                  <w:r>
                    <w:rPr>
                      <w:rFonts w:ascii="仿宋_GB2312" w:hAnsi="仿宋_GB2312" w:cs="仿宋_GB2312" w:eastAsia="仿宋_GB2312"/>
                      <w:sz w:val="20"/>
                      <w:color w:val="000000"/>
                    </w:rPr>
                    <w:t>（在幼儿园录制）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556"/>
                  <w:vMerge/>
                  <w:tcBorders>
                    <w:top w:val="none" w:color="000000" w:sz="4"/>
                    <w:left w:val="single" w:color="000000" w:sz="4"/>
                    <w:bottom w:val="single" w:color="000000" w:sz="4"/>
                    <w:right w:val="single" w:color="000000" w:sz="4"/>
                  </w:tcBorders>
                </w:tcP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艺术领域活动的设计</w:t>
                  </w:r>
                </w:p>
                <w:p>
                  <w:pPr>
                    <w:pStyle w:val="null3"/>
                    <w:jc w:val="center"/>
                  </w:pPr>
                  <w:r>
                    <w:rPr>
                      <w:rFonts w:ascii="仿宋_GB2312" w:hAnsi="仿宋_GB2312" w:cs="仿宋_GB2312" w:eastAsia="仿宋_GB2312"/>
                      <w:sz w:val="20"/>
                      <w:color w:val="000000"/>
                    </w:rPr>
                    <w:t>与指导</w:t>
                  </w:r>
                </w:p>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1.美术活动目标</w:t>
                  </w:r>
                  <w:r>
                    <w:rPr>
                      <w:rFonts w:ascii="仿宋_GB2312" w:hAnsi="仿宋_GB2312" w:cs="仿宋_GB2312" w:eastAsia="仿宋_GB2312"/>
                      <w:sz w:val="20"/>
                      <w:color w:val="000000"/>
                    </w:rPr>
                    <w:t>、内容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2.美术活动的设计步骤与指导策略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3.美术活动教学案例分析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4.美术活动设计实践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5.美术活动教学实录</w:t>
                  </w:r>
                </w:p>
                <w:p>
                  <w:pPr>
                    <w:pStyle w:val="null3"/>
                    <w:jc w:val="both"/>
                  </w:pPr>
                  <w:r>
                    <w:rPr>
                      <w:rFonts w:ascii="仿宋_GB2312" w:hAnsi="仿宋_GB2312" w:cs="仿宋_GB2312" w:eastAsia="仿宋_GB2312"/>
                      <w:sz w:val="20"/>
                      <w:color w:val="000000"/>
                    </w:rPr>
                    <w:t>（在幼儿园录制）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.音乐活动的目标、内容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.音乐活动的设计步骤与指导策略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.音乐活动教学案例分析</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.音乐活动设计实践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10.歌唱活动教学实录</w:t>
                  </w:r>
                </w:p>
                <w:p>
                  <w:pPr>
                    <w:pStyle w:val="null3"/>
                    <w:jc w:val="both"/>
                  </w:pPr>
                  <w:r>
                    <w:rPr>
                      <w:rFonts w:ascii="仿宋_GB2312" w:hAnsi="仿宋_GB2312" w:cs="仿宋_GB2312" w:eastAsia="仿宋_GB2312"/>
                      <w:sz w:val="20"/>
                      <w:color w:val="000000"/>
                    </w:rPr>
                    <w:t>（在幼儿园录制）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11.韵律活动教学实录</w:t>
                  </w:r>
                </w:p>
                <w:p>
                  <w:pPr>
                    <w:pStyle w:val="null3"/>
                    <w:jc w:val="both"/>
                  </w:pPr>
                  <w:r>
                    <w:rPr>
                      <w:rFonts w:ascii="仿宋_GB2312" w:hAnsi="仿宋_GB2312" w:cs="仿宋_GB2312" w:eastAsia="仿宋_GB2312"/>
                      <w:sz w:val="20"/>
                      <w:color w:val="000000"/>
                    </w:rPr>
                    <w:t>（在幼儿园录制）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5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幼儿园区域活动的设计与指导</w:t>
                  </w:r>
                </w:p>
              </w:tc>
              <w:tc>
                <w:tcPr>
                  <w:tcW w:type="dxa" w:w="9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区域活动的内涵与准备</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1.幼儿园区域活动的内涵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556"/>
                  <w:vMerge/>
                  <w:tcBorders>
                    <w:top w:val="none" w:color="000000" w:sz="4"/>
                    <w:left w:val="single" w:color="000000" w:sz="4"/>
                    <w:bottom w:val="single" w:color="000000" w:sz="4"/>
                    <w:right w:val="single" w:color="000000" w:sz="4"/>
                  </w:tcBorders>
                </w:tcPr>
                <w:p/>
              </w:tc>
              <w:tc>
                <w:tcPr>
                  <w:tcW w:type="dxa" w:w="973"/>
                  <w:vMerge/>
                  <w:tcBorders>
                    <w:top w:val="none" w:color="000000" w:sz="4"/>
                    <w:left w:val="single" w:color="000000" w:sz="4"/>
                    <w:bottom w:val="single" w:color="000000" w:sz="4"/>
                    <w:right w:val="single" w:color="000000" w:sz="4"/>
                  </w:tcBorders>
                </w:tc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2.区域设置及材料投放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556"/>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区域活动的指导</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1.幼儿园区域活动指导要点</w:t>
                  </w:r>
                </w:p>
              </w:tc>
            </w:tr>
          </w:tbl>
          <w:p>
            <w:pPr>
              <w:pStyle w:val="null3"/>
              <w:jc w:val="left"/>
            </w:pPr>
            <w:r>
              <w:rPr>
                <w:rFonts w:ascii="仿宋_GB2312" w:hAnsi="仿宋_GB2312" w:cs="仿宋_GB2312" w:eastAsia="仿宋_GB2312"/>
                <w:sz w:val="20"/>
                <w:b/>
              </w:rPr>
              <w:t>十、</w:t>
            </w:r>
            <w:r>
              <w:rPr>
                <w:rFonts w:ascii="仿宋_GB2312" w:hAnsi="仿宋_GB2312" w:cs="仿宋_GB2312" w:eastAsia="仿宋_GB2312"/>
                <w:sz w:val="20"/>
                <w:b/>
                <w:color w:val="000000"/>
              </w:rPr>
              <w:t>《高职美育》</w:t>
            </w:r>
          </w:p>
          <w:p>
            <w:pPr>
              <w:pStyle w:val="null3"/>
              <w:jc w:val="left"/>
            </w:pPr>
            <w:r>
              <w:rPr>
                <w:rFonts w:ascii="仿宋_GB2312" w:hAnsi="仿宋_GB2312" w:cs="仿宋_GB2312" w:eastAsia="仿宋_GB2312"/>
                <w:sz w:val="20"/>
              </w:rPr>
              <w:t>（一）</w:t>
            </w:r>
            <w:r>
              <w:rPr>
                <w:rFonts w:ascii="仿宋_GB2312" w:hAnsi="仿宋_GB2312" w:cs="仿宋_GB2312" w:eastAsia="仿宋_GB2312"/>
                <w:sz w:val="20"/>
                <w:color w:val="000000"/>
              </w:rPr>
              <w:t>《高职美育》</w:t>
            </w:r>
            <w:r>
              <w:rPr>
                <w:rFonts w:ascii="仿宋_GB2312" w:hAnsi="仿宋_GB2312" w:cs="仿宋_GB2312" w:eastAsia="仿宋_GB2312"/>
                <w:sz w:val="20"/>
                <w:color w:val="000000"/>
              </w:rPr>
              <w:t>课程录制</w:t>
            </w:r>
            <w:r>
              <w:rPr>
                <w:rFonts w:ascii="仿宋_GB2312" w:hAnsi="仿宋_GB2312" w:cs="仿宋_GB2312" w:eastAsia="仿宋_GB2312"/>
                <w:sz w:val="20"/>
                <w:color w:val="000000"/>
              </w:rPr>
              <w:t>55个微课</w:t>
            </w:r>
          </w:p>
          <w:tbl>
            <w:tblPr>
              <w:tblBorders>
                <w:top w:val="none" w:color="000000" w:sz="4"/>
                <w:left w:val="none" w:color="000000" w:sz="4"/>
                <w:bottom w:val="none" w:color="000000" w:sz="4"/>
                <w:right w:val="none" w:color="000000" w:sz="4"/>
                <w:insideH w:val="none"/>
                <w:insideV w:val="none"/>
              </w:tblBorders>
            </w:tblPr>
            <w:tblGrid>
              <w:gridCol w:w="233"/>
              <w:gridCol w:w="668"/>
              <w:gridCol w:w="812"/>
              <w:gridCol w:w="1099"/>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学习情景</w:t>
                  </w:r>
                </w:p>
              </w:tc>
              <w:tc>
                <w:tcPr>
                  <w:tcW w:type="dxa" w:w="8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节名</w:t>
                  </w:r>
                </w:p>
              </w:tc>
              <w:tc>
                <w:tcPr>
                  <w:tcW w:type="dxa" w:w="10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知识</w:t>
                  </w:r>
                  <w:r>
                    <w:rPr>
                      <w:rFonts w:ascii="仿宋_GB2312" w:hAnsi="仿宋_GB2312" w:cs="仿宋_GB2312" w:eastAsia="仿宋_GB2312"/>
                      <w:sz w:val="20"/>
                      <w:b/>
                    </w:rPr>
                    <w:t>（技能）</w:t>
                  </w:r>
                  <w:r>
                    <w:rPr>
                      <w:rFonts w:ascii="仿宋_GB2312" w:hAnsi="仿宋_GB2312" w:cs="仿宋_GB2312" w:eastAsia="仿宋_GB2312"/>
                      <w:sz w:val="20"/>
                      <w:b/>
                    </w:rPr>
                    <w:t>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导论：识读《考工记》</w:t>
                  </w:r>
                </w:p>
              </w:tc>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1章 典籍概览与价值定位</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传说中的著名工匠和中国古代手工业者的社会地位</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六大工艺系统总览与</w:t>
                  </w:r>
                  <w:r>
                    <w:rPr>
                      <w:rFonts w:ascii="仿宋_GB2312" w:hAnsi="仿宋_GB2312" w:cs="仿宋_GB2312" w:eastAsia="仿宋_GB2312"/>
                      <w:sz w:val="20"/>
                    </w:rPr>
                    <w:t>"百工"制度体系</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考工记</w:t>
                  </w:r>
                  <w:r>
                    <w:rPr>
                      <w:rFonts w:ascii="仿宋_GB2312" w:hAnsi="仿宋_GB2312" w:cs="仿宋_GB2312" w:eastAsia="仿宋_GB2312"/>
                      <w:sz w:val="20"/>
                    </w:rPr>
                    <w:t>》</w:t>
                  </w:r>
                  <w:r>
                    <w:rPr>
                      <w:rFonts w:ascii="仿宋_GB2312" w:hAnsi="仿宋_GB2312" w:cs="仿宋_GB2312" w:eastAsia="仿宋_GB2312"/>
                      <w:sz w:val="20"/>
                    </w:rPr>
                    <w:t>中的度量衡</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考工记</w:t>
                  </w:r>
                  <w:r>
                    <w:rPr>
                      <w:rFonts w:ascii="仿宋_GB2312" w:hAnsi="仿宋_GB2312" w:cs="仿宋_GB2312" w:eastAsia="仿宋_GB2312"/>
                      <w:sz w:val="20"/>
                    </w:rPr>
                    <w:t>》</w:t>
                  </w:r>
                  <w:r>
                    <w:rPr>
                      <w:rFonts w:ascii="仿宋_GB2312" w:hAnsi="仿宋_GB2312" w:cs="仿宋_GB2312" w:eastAsia="仿宋_GB2312"/>
                      <w:sz w:val="20"/>
                    </w:rPr>
                    <w:t>记载的手工业原材料</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科技与人文双维价值：我国首部工艺文献的历史地位</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模块一</w:t>
                  </w:r>
                  <w:r>
                    <w:rPr>
                      <w:rFonts w:ascii="仿宋_GB2312" w:hAnsi="仿宋_GB2312" w:cs="仿宋_GB2312" w:eastAsia="仿宋_GB2312"/>
                      <w:sz w:val="20"/>
                    </w:rPr>
                    <w:t>车辆之美</w:t>
                  </w:r>
                </w:p>
              </w:tc>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 xml:space="preserve">2章 </w:t>
                  </w:r>
                  <w:r>
                    <w:rPr>
                      <w:rFonts w:ascii="仿宋_GB2312" w:hAnsi="仿宋_GB2312" w:cs="仿宋_GB2312" w:eastAsia="仿宋_GB2312"/>
                      <w:sz w:val="20"/>
                    </w:rPr>
                    <w:t>车辆类型与结构</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车的分类：路车、田车、戎车</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轮毂结构：毂、辐、牙的配合原理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车舆设计：轼、较、轸的功能区分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68"/>
                  <w:vMerge/>
                  <w:tcBorders>
                    <w:top w:val="none" w:color="000000" w:sz="4"/>
                    <w:left w:val="single" w:color="000000" w:sz="4"/>
                    <w:bottom w:val="single" w:color="000000" w:sz="4"/>
                    <w:right w:val="single" w:color="000000" w:sz="4"/>
                  </w:tcBorders>
                </w:tcPr>
                <w:p/>
              </w:tc>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3章 造车工艺简析</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轮人</w:t>
                  </w:r>
                  <w:r>
                    <w:rPr>
                      <w:rFonts w:ascii="仿宋_GB2312" w:hAnsi="仿宋_GB2312" w:cs="仿宋_GB2312" w:eastAsia="仿宋_GB2312"/>
                      <w:sz w:val="20"/>
                    </w:rPr>
                    <w:t>”“</w:t>
                  </w:r>
                  <w:r>
                    <w:rPr>
                      <w:rFonts w:ascii="仿宋_GB2312" w:hAnsi="仿宋_GB2312" w:cs="仿宋_GB2312" w:eastAsia="仿宋_GB2312"/>
                      <w:sz w:val="20"/>
                    </w:rPr>
                    <w:t>舆人</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辀人</w:t>
                  </w:r>
                  <w:r>
                    <w:rPr>
                      <w:rFonts w:ascii="仿宋_GB2312" w:hAnsi="仿宋_GB2312" w:cs="仿宋_GB2312" w:eastAsia="仿宋_GB2312"/>
                      <w:sz w:val="20"/>
                    </w:rPr>
                    <w:t>”</w:t>
                  </w:r>
                  <w:r>
                    <w:rPr>
                      <w:rFonts w:ascii="仿宋_GB2312" w:hAnsi="仿宋_GB2312" w:cs="仿宋_GB2312" w:eastAsia="仿宋_GB2312"/>
                      <w:sz w:val="20"/>
                    </w:rPr>
                    <w:t>的专业分工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木材选材与揉制工艺要点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车辆装饰与等级制度体现</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68"/>
                  <w:vMerge/>
                  <w:tcBorders>
                    <w:top w:val="none" w:color="000000" w:sz="4"/>
                    <w:left w:val="single" w:color="000000" w:sz="4"/>
                    <w:bottom w:val="single" w:color="000000" w:sz="4"/>
                    <w:right w:val="single" w:color="000000" w:sz="4"/>
                  </w:tcBorders>
                </w:tcPr>
                <w:p/>
              </w:tc>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 xml:space="preserve">4章 </w:t>
                  </w:r>
                  <w:r>
                    <w:rPr>
                      <w:rFonts w:ascii="仿宋_GB2312" w:hAnsi="仿宋_GB2312" w:cs="仿宋_GB2312" w:eastAsia="仿宋_GB2312"/>
                      <w:sz w:val="20"/>
                    </w:rPr>
                    <w:t>车辆文化影响</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古代车辆设计的现代启示</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传统造车技艺的当代传承</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6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模块二</w:t>
                  </w:r>
                  <w:r>
                    <w:rPr>
                      <w:rFonts w:ascii="仿宋_GB2312" w:hAnsi="仿宋_GB2312" w:cs="仿宋_GB2312" w:eastAsia="仿宋_GB2312"/>
                      <w:sz w:val="20"/>
                    </w:rPr>
                    <w:t>陶器之美</w:t>
                  </w:r>
                </w:p>
              </w:tc>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 xml:space="preserve">5章 </w:t>
                  </w:r>
                  <w:r>
                    <w:rPr>
                      <w:rFonts w:ascii="仿宋_GB2312" w:hAnsi="仿宋_GB2312" w:cs="仿宋_GB2312" w:eastAsia="仿宋_GB2312"/>
                      <w:sz w:val="20"/>
                    </w:rPr>
                    <w:t>陶器起源与分类</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陶与瓷的区别特征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炊器：甗、鬲的形制与功能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盛器：簋、豆的造型演变</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668"/>
                  <w:vMerge/>
                  <w:tcBorders>
                    <w:top w:val="none" w:color="000000" w:sz="4"/>
                    <w:left w:val="single" w:color="000000" w:sz="4"/>
                    <w:bottom w:val="single" w:color="000000" w:sz="4"/>
                    <w:right w:val="single" w:color="000000" w:sz="4"/>
                  </w:tcBorders>
                </w:tcPr>
                <w:p/>
              </w:tc>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6章 制陶工艺简析</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制陶工具</w:t>
                  </w:r>
                  <w:r>
                    <w:rPr>
                      <w:rFonts w:ascii="仿宋_GB2312" w:hAnsi="仿宋_GB2312" w:cs="仿宋_GB2312" w:eastAsia="仿宋_GB2312"/>
                      <w:sz w:val="20"/>
                    </w:rPr>
                    <w:t>"膞"与制作流程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陶器纹饰的审美特征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陶器在礼制中的运用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668"/>
                  <w:vMerge/>
                  <w:tcBorders>
                    <w:top w:val="none" w:color="000000" w:sz="4"/>
                    <w:left w:val="single" w:color="000000" w:sz="4"/>
                    <w:bottom w:val="single" w:color="000000" w:sz="4"/>
                    <w:right w:val="single" w:color="000000" w:sz="4"/>
                  </w:tcBorders>
                </w:tcPr>
                <w:p/>
              </w:tc>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7章 现代陶艺传承</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传统制陶技艺的非遗传承</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现代陶艺的审美创新</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6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模块三</w:t>
                  </w:r>
                  <w:r>
                    <w:rPr>
                      <w:rFonts w:ascii="仿宋_GB2312" w:hAnsi="仿宋_GB2312" w:cs="仿宋_GB2312" w:eastAsia="仿宋_GB2312"/>
                      <w:sz w:val="20"/>
                    </w:rPr>
                    <w:t>铜器之美</w:t>
                  </w:r>
                </w:p>
              </w:tc>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8章 青铜器的分类</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食器：鼎、簋的形制规范</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酒器：爵、尊的造型特征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水器：盘、匜的功能设计</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668"/>
                  <w:vMerge/>
                  <w:tcBorders>
                    <w:top w:val="none" w:color="000000" w:sz="4"/>
                    <w:left w:val="single" w:color="000000" w:sz="4"/>
                    <w:bottom w:val="single" w:color="000000" w:sz="4"/>
                    <w:right w:val="single" w:color="000000" w:sz="4"/>
                  </w:tcBorders>
                </w:tcPr>
                <w:p/>
              </w:tc>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9章 青铜器铸造工艺简析</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金有六齐</w:t>
                  </w:r>
                  <w:r>
                    <w:rPr>
                      <w:rFonts w:ascii="仿宋_GB2312" w:hAnsi="仿宋_GB2312" w:cs="仿宋_GB2312" w:eastAsia="仿宋_GB2312"/>
                      <w:sz w:val="20"/>
                    </w:rPr>
                    <w:t>”</w:t>
                  </w:r>
                  <w:r>
                    <w:rPr>
                      <w:rFonts w:ascii="仿宋_GB2312" w:hAnsi="仿宋_GB2312" w:cs="仿宋_GB2312" w:eastAsia="仿宋_GB2312"/>
                      <w:sz w:val="20"/>
                    </w:rPr>
                    <w:t>配比法则</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范铸法与失蜡法工艺</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青铜纹饰的文化内涵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668"/>
                  <w:vMerge/>
                  <w:tcBorders>
                    <w:top w:val="none" w:color="000000" w:sz="4"/>
                    <w:left w:val="single" w:color="000000" w:sz="4"/>
                    <w:bottom w:val="single" w:color="000000" w:sz="4"/>
                    <w:right w:val="single" w:color="000000" w:sz="4"/>
                  </w:tcBorders>
                </w:tcPr>
                <w:p/>
              </w:tc>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10章 现代金属工艺传承</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传统铸造技艺的现代应用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青铜纹饰在当代设计中的转化</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6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模块四</w:t>
                  </w:r>
                  <w:r>
                    <w:rPr>
                      <w:rFonts w:ascii="仿宋_GB2312" w:hAnsi="仿宋_GB2312" w:cs="仿宋_GB2312" w:eastAsia="仿宋_GB2312"/>
                      <w:sz w:val="20"/>
                    </w:rPr>
                    <w:t>乐器之美</w:t>
                  </w:r>
                </w:p>
              </w:tc>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11章 乐器分类与功能</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打击乐器：钟、磬的形制特点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弹拨乐器：琴、瑟的构造原理</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吹奏乐器：笛、箫的发声特征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668"/>
                  <w:vMerge/>
                  <w:tcBorders>
                    <w:top w:val="none" w:color="000000" w:sz="4"/>
                    <w:left w:val="single" w:color="000000" w:sz="4"/>
                    <w:bottom w:val="single" w:color="000000" w:sz="4"/>
                    <w:right w:val="single" w:color="000000" w:sz="4"/>
                  </w:tcBorders>
                </w:tcPr>
                <w:p/>
              </w:tc>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12章 乐器制作工艺</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编钟的音律设计与铸造技术</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磬氏的制磬规范与调音方法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皮革在鼓类乐器中的运用工艺</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668"/>
                  <w:vMerge/>
                  <w:tcBorders>
                    <w:top w:val="none" w:color="000000" w:sz="4"/>
                    <w:left w:val="single" w:color="000000" w:sz="4"/>
                    <w:bottom w:val="single" w:color="000000" w:sz="4"/>
                    <w:right w:val="single" w:color="000000" w:sz="4"/>
                  </w:tcBorders>
                </w:tcPr>
                <w:p/>
              </w:tc>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 xml:space="preserve">13章 </w:t>
                  </w:r>
                  <w:r>
                    <w:rPr>
                      <w:rFonts w:ascii="仿宋_GB2312" w:hAnsi="仿宋_GB2312" w:cs="仿宋_GB2312" w:eastAsia="仿宋_GB2312"/>
                      <w:sz w:val="20"/>
                    </w:rPr>
                    <w:t>乐器现代传承</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曾侯乙编钟的音乐美学与文化价值阐释</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古乐器音律在现当代文艺创作中的转化运用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6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模块五</w:t>
                  </w:r>
                  <w:r>
                    <w:rPr>
                      <w:rFonts w:ascii="仿宋_GB2312" w:hAnsi="仿宋_GB2312" w:cs="仿宋_GB2312" w:eastAsia="仿宋_GB2312"/>
                      <w:sz w:val="20"/>
                    </w:rPr>
                    <w:t>兵器之美</w:t>
                  </w:r>
                </w:p>
              </w:tc>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 xml:space="preserve">14章 </w:t>
                  </w:r>
                  <w:r>
                    <w:rPr>
                      <w:rFonts w:ascii="仿宋_GB2312" w:hAnsi="仿宋_GB2312" w:cs="仿宋_GB2312" w:eastAsia="仿宋_GB2312"/>
                      <w:sz w:val="20"/>
                    </w:rPr>
                    <w:t>兵器类型与功能</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长兵器：戈、戟、矛的形制区别</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短兵器：剑的造型演变</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防护装备：甲、胄的制作工艺</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668"/>
                  <w:vMerge/>
                  <w:tcBorders>
                    <w:top w:val="none" w:color="000000" w:sz="4"/>
                    <w:left w:val="single" w:color="000000" w:sz="4"/>
                    <w:bottom w:val="single" w:color="000000" w:sz="4"/>
                    <w:right w:val="single" w:color="000000" w:sz="4"/>
                  </w:tcBorders>
                </w:tcPr>
                <w:p/>
              </w:tc>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 xml:space="preserve">15章 </w:t>
                  </w:r>
                  <w:r>
                    <w:rPr>
                      <w:rFonts w:ascii="仿宋_GB2312" w:hAnsi="仿宋_GB2312" w:cs="仿宋_GB2312" w:eastAsia="仿宋_GB2312"/>
                      <w:sz w:val="20"/>
                    </w:rPr>
                    <w:t>兵器制作工艺</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复合弓的</w:t>
                  </w:r>
                  <w:r>
                    <w:rPr>
                      <w:rFonts w:ascii="仿宋_GB2312" w:hAnsi="仿宋_GB2312" w:cs="仿宋_GB2312" w:eastAsia="仿宋_GB2312"/>
                      <w:sz w:val="20"/>
                    </w:rPr>
                    <w:t>“</w:t>
                  </w:r>
                  <w:r>
                    <w:rPr>
                      <w:rFonts w:ascii="仿宋_GB2312" w:hAnsi="仿宋_GB2312" w:cs="仿宋_GB2312" w:eastAsia="仿宋_GB2312"/>
                      <w:sz w:val="20"/>
                    </w:rPr>
                    <w:t>六材</w:t>
                  </w:r>
                  <w:r>
                    <w:rPr>
                      <w:rFonts w:ascii="仿宋_GB2312" w:hAnsi="仿宋_GB2312" w:cs="仿宋_GB2312" w:eastAsia="仿宋_GB2312"/>
                      <w:sz w:val="20"/>
                    </w:rPr>
                    <w:t>”</w:t>
                  </w:r>
                  <w:r>
                    <w:rPr>
                      <w:rFonts w:ascii="仿宋_GB2312" w:hAnsi="仿宋_GB2312" w:cs="仿宋_GB2312" w:eastAsia="仿宋_GB2312"/>
                      <w:sz w:val="20"/>
                    </w:rPr>
                    <w:t>工艺</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青铜剑的铸造技术与装饰</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兵器纹饰的等级象征意义</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668"/>
                  <w:vMerge/>
                  <w:tcBorders>
                    <w:top w:val="none" w:color="000000" w:sz="4"/>
                    <w:left w:val="single" w:color="000000" w:sz="4"/>
                    <w:bottom w:val="single" w:color="000000" w:sz="4"/>
                    <w:right w:val="single" w:color="000000" w:sz="4"/>
                  </w:tcBorders>
                </w:tcPr>
                <w:p/>
              </w:tc>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16章 兵器文化传承</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古代兵器的现代复原技术</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兵器纹饰在文创产品中的应用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6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模块六</w:t>
                  </w:r>
                  <w:r>
                    <w:rPr>
                      <w:rFonts w:ascii="仿宋_GB2312" w:hAnsi="仿宋_GB2312" w:cs="仿宋_GB2312" w:eastAsia="仿宋_GB2312"/>
                      <w:sz w:val="20"/>
                    </w:rPr>
                    <w:t>建筑水利之美</w:t>
                  </w:r>
                </w:p>
              </w:tc>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17章 都城规划</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匠人营国</w:t>
                  </w:r>
                  <w:r>
                    <w:rPr>
                      <w:rFonts w:ascii="仿宋_GB2312" w:hAnsi="仿宋_GB2312" w:cs="仿宋_GB2312" w:eastAsia="仿宋_GB2312"/>
                      <w:sz w:val="20"/>
                    </w:rPr>
                    <w:t>”</w:t>
                  </w:r>
                  <w:r>
                    <w:rPr>
                      <w:rFonts w:ascii="仿宋_GB2312" w:hAnsi="仿宋_GB2312" w:cs="仿宋_GB2312" w:eastAsia="仿宋_GB2312"/>
                      <w:sz w:val="20"/>
                    </w:rPr>
                    <w:t>的规划思想体系</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左祖右社，面朝后市</w:t>
                  </w:r>
                  <w:r>
                    <w:rPr>
                      <w:rFonts w:ascii="仿宋_GB2312" w:hAnsi="仿宋_GB2312" w:cs="仿宋_GB2312" w:eastAsia="仿宋_GB2312"/>
                      <w:sz w:val="20"/>
                    </w:rPr>
                    <w:t>”</w:t>
                  </w:r>
                  <w:r>
                    <w:rPr>
                      <w:rFonts w:ascii="仿宋_GB2312" w:hAnsi="仿宋_GB2312" w:cs="仿宋_GB2312" w:eastAsia="仿宋_GB2312"/>
                      <w:sz w:val="20"/>
                    </w:rPr>
                    <w:t>的空间布局</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经纬道路的设计规范与尺度</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668"/>
                  <w:vMerge/>
                  <w:tcBorders>
                    <w:top w:val="none" w:color="000000" w:sz="4"/>
                    <w:left w:val="single" w:color="000000" w:sz="4"/>
                    <w:bottom w:val="single" w:color="000000" w:sz="4"/>
                    <w:right w:val="single" w:color="000000" w:sz="4"/>
                  </w:tcBorders>
                </w:tcPr>
                <w:p/>
              </w:tc>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18章 建筑工艺解析</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木结构建筑的榫卯特点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斗拱结构与装饰艺术</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宫室建筑的等级规制体现</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668"/>
                  <w:vMerge/>
                  <w:tcBorders>
                    <w:top w:val="none" w:color="000000" w:sz="4"/>
                    <w:left w:val="single" w:color="000000" w:sz="4"/>
                    <w:bottom w:val="single" w:color="000000" w:sz="4"/>
                    <w:right w:val="single" w:color="000000" w:sz="4"/>
                  </w:tcBorders>
                </w:tcPr>
                <w:p/>
              </w:tc>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19章 水利工程技艺</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沟洫系统的设计原理与功能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堤防建筑的工艺特点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668"/>
                  <w:vMerge/>
                  <w:tcBorders>
                    <w:top w:val="none" w:color="000000" w:sz="4"/>
                    <w:left w:val="single" w:color="000000" w:sz="4"/>
                    <w:bottom w:val="single" w:color="000000" w:sz="4"/>
                    <w:right w:val="single" w:color="000000" w:sz="4"/>
                  </w:tcBorders>
                </w:tcPr>
                <w:p/>
              </w:tc>
              <w:tc>
                <w:tcPr>
                  <w:tcW w:type="dxa" w:w="812"/>
                  <w:vMerge/>
                  <w:tcBorders>
                    <w:top w:val="none" w:color="000000" w:sz="4"/>
                    <w:left w:val="single" w:color="000000" w:sz="4"/>
                    <w:bottom w:val="single" w:color="000000" w:sz="4"/>
                    <w:right w:val="single" w:color="000000" w:sz="4"/>
                  </w:tcBorders>
                </w:tcP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古代城市排水系统的智慧</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结语：技艺</w:t>
                  </w:r>
                  <w:r>
                    <w:rPr>
                      <w:rFonts w:ascii="仿宋_GB2312" w:hAnsi="仿宋_GB2312" w:cs="仿宋_GB2312" w:eastAsia="仿宋_GB2312"/>
                      <w:sz w:val="20"/>
                    </w:rPr>
                    <w:t>·审美·匠心</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w:t>
                  </w:r>
                  <w:r>
                    <w:rPr>
                      <w:rFonts w:ascii="仿宋_GB2312" w:hAnsi="仿宋_GB2312" w:cs="仿宋_GB2312" w:eastAsia="仿宋_GB2312"/>
                      <w:sz w:val="20"/>
                    </w:rPr>
                    <w:t>20章 课程总结与价值升华</w:t>
                  </w:r>
                </w:p>
              </w:tc>
              <w:tc>
                <w:tcPr>
                  <w:tcW w:type="dxa" w:w="1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六大工艺体系的智慧结晶与美学特征总览</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天时地气材美工巧</w:t>
                  </w:r>
                  <w:r>
                    <w:rPr>
                      <w:rFonts w:ascii="仿宋_GB2312" w:hAnsi="仿宋_GB2312" w:cs="仿宋_GB2312" w:eastAsia="仿宋_GB2312"/>
                      <w:sz w:val="20"/>
                    </w:rPr>
                    <w:t>”</w:t>
                  </w:r>
                  <w:r>
                    <w:rPr>
                      <w:rFonts w:ascii="仿宋_GB2312" w:hAnsi="仿宋_GB2312" w:cs="仿宋_GB2312" w:eastAsia="仿宋_GB2312"/>
                      <w:sz w:val="20"/>
                    </w:rPr>
                    <w:t>的生态智慧与当代启示</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从《考工记》到新时代工匠精神的文化传承</w:t>
                  </w:r>
                </w:p>
              </w:tc>
            </w:tr>
          </w:tbl>
          <w:p>
            <w:pPr>
              <w:pStyle w:val="null3"/>
              <w:ind w:firstLine="400"/>
              <w:jc w:val="both"/>
            </w:pPr>
            <w:r>
              <w:rPr>
                <w:rFonts w:ascii="仿宋_GB2312" w:hAnsi="仿宋_GB2312" w:cs="仿宋_GB2312" w:eastAsia="仿宋_GB2312"/>
                <w:sz w:val="20"/>
              </w:rPr>
              <w:t>（二）课件与文本资源开发</w:t>
            </w:r>
          </w:p>
          <w:tbl>
            <w:tblPr>
              <w:tblBorders>
                <w:top w:val="none" w:color="000000" w:sz="4"/>
                <w:left w:val="none" w:color="000000" w:sz="4"/>
                <w:bottom w:val="none" w:color="000000" w:sz="4"/>
                <w:right w:val="none" w:color="000000" w:sz="4"/>
                <w:insideH w:val="none"/>
                <w:insideV w:val="none"/>
              </w:tblBorders>
            </w:tblPr>
            <w:tblGrid>
              <w:gridCol w:w="528"/>
              <w:gridCol w:w="241"/>
              <w:gridCol w:w="1146"/>
              <w:gridCol w:w="638"/>
            </w:tblGrid>
            <w:tr>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资源类型</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内容要求</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负责人</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PPT课件</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55个</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图文对应、原文选读、审美提示、案例链接</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各知识点</w:t>
                  </w:r>
                  <w:r>
                    <w:rPr>
                      <w:rFonts w:ascii="仿宋_GB2312" w:hAnsi="仿宋_GB2312" w:cs="仿宋_GB2312" w:eastAsia="仿宋_GB2312"/>
                      <w:sz w:val="20"/>
                    </w:rPr>
                    <w:t>/微课负责人</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教学指南</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6篇</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模块教学目标、重点解析、教学建议</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各模块负责人</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原文读本（电子）</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1册</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《考工记》精选章节译注、延伸阅读</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车向东</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案例集锦</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20例</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典型器物深度解析（图文对照）</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各模块负责人</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用语手册</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1册</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工艺描写词汇、赏析表达句型、范文示例</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冯玲玲、张宁</w:t>
                  </w:r>
                </w:p>
              </w:tc>
            </w:tr>
          </w:tbl>
          <w:p>
            <w:pPr>
              <w:pStyle w:val="null3"/>
              <w:jc w:val="both"/>
            </w:pPr>
            <w:r>
              <w:rPr>
                <w:rFonts w:ascii="仿宋_GB2312" w:hAnsi="仿宋_GB2312" w:cs="仿宋_GB2312" w:eastAsia="仿宋_GB2312"/>
                <w:sz w:val="20"/>
                <w:b/>
                <w:color w:val="000000"/>
              </w:rPr>
              <w:t>十一、《</w:t>
            </w:r>
            <w:r>
              <w:rPr>
                <w:rFonts w:ascii="仿宋_GB2312" w:hAnsi="仿宋_GB2312" w:cs="仿宋_GB2312" w:eastAsia="仿宋_GB2312"/>
                <w:sz w:val="20"/>
                <w:b/>
                <w:color w:val="000000"/>
              </w:rPr>
              <w:t>新时代中国特色社会主义思想概论》</w:t>
            </w:r>
            <w:r>
              <w:rPr>
                <w:rFonts w:ascii="仿宋_GB2312" w:hAnsi="仿宋_GB2312" w:cs="仿宋_GB2312" w:eastAsia="仿宋_GB2312"/>
                <w:sz w:val="21"/>
                <w:b/>
              </w:rPr>
              <w:t xml:space="preserve">  </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（一）</w:t>
            </w:r>
            <w:r>
              <w:rPr>
                <w:rFonts w:ascii="仿宋_GB2312" w:hAnsi="仿宋_GB2312" w:cs="仿宋_GB2312" w:eastAsia="仿宋_GB2312"/>
                <w:sz w:val="20"/>
                <w:color w:val="000000"/>
              </w:rPr>
              <w:t>《</w:t>
            </w:r>
            <w:r>
              <w:rPr>
                <w:rFonts w:ascii="仿宋_GB2312" w:hAnsi="仿宋_GB2312" w:cs="仿宋_GB2312" w:eastAsia="仿宋_GB2312"/>
                <w:sz w:val="20"/>
                <w:color w:val="000000"/>
              </w:rPr>
              <w:t>新时代中国特色社会主义思想概论</w:t>
            </w:r>
            <w:r>
              <w:rPr>
                <w:rFonts w:ascii="仿宋_GB2312" w:hAnsi="仿宋_GB2312" w:cs="仿宋_GB2312" w:eastAsia="仿宋_GB2312"/>
                <w:sz w:val="20"/>
                <w:color w:val="000000"/>
              </w:rPr>
              <w:t>》课程录制</w:t>
            </w:r>
            <w:r>
              <w:rPr>
                <w:rFonts w:ascii="仿宋_GB2312" w:hAnsi="仿宋_GB2312" w:cs="仿宋_GB2312" w:eastAsia="仿宋_GB2312"/>
                <w:sz w:val="20"/>
                <w:color w:val="000000"/>
              </w:rPr>
              <w:t>79个微课。</w:t>
            </w:r>
          </w:p>
          <w:tbl>
            <w:tblPr>
              <w:tblBorders>
                <w:top w:val="none" w:color="000000" w:sz="4"/>
                <w:left w:val="none" w:color="000000" w:sz="4"/>
                <w:bottom w:val="none" w:color="000000" w:sz="4"/>
                <w:right w:val="none" w:color="000000" w:sz="4"/>
                <w:insideH w:val="none"/>
                <w:insideV w:val="none"/>
              </w:tblBorders>
            </w:tblPr>
            <w:tblGrid>
              <w:gridCol w:w="233"/>
              <w:gridCol w:w="614"/>
              <w:gridCol w:w="515"/>
              <w:gridCol w:w="1444"/>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章</w:t>
                  </w:r>
                  <w:r>
                    <w:rPr>
                      <w:rFonts w:ascii="仿宋_GB2312" w:hAnsi="仿宋_GB2312" w:cs="仿宋_GB2312" w:eastAsia="仿宋_GB2312"/>
                      <w:sz w:val="20"/>
                    </w:rPr>
                    <w:t xml:space="preserve">  </w:t>
                  </w:r>
                  <w:r>
                    <w:rPr>
                      <w:rFonts w:ascii="仿宋_GB2312" w:hAnsi="仿宋_GB2312" w:cs="仿宋_GB2312" w:eastAsia="仿宋_GB2312"/>
                      <w:sz w:val="20"/>
                    </w:rPr>
                    <w:t>节</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学习</w:t>
                  </w:r>
                  <w:r>
                    <w:rPr>
                      <w:rFonts w:ascii="仿宋_GB2312" w:hAnsi="仿宋_GB2312" w:cs="仿宋_GB2312" w:eastAsia="仿宋_GB2312"/>
                      <w:sz w:val="20"/>
                    </w:rPr>
                    <w:t>单元</w:t>
                  </w:r>
                </w:p>
              </w:tc>
              <w:tc>
                <w:tcPr>
                  <w:tcW w:type="dxa" w:w="1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内容</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firstLine="200"/>
                  </w:p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课程概述</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0"/>
                      <w:color w:val="000000"/>
                    </w:rPr>
                    <w:t>导论</w:t>
                  </w:r>
                </w:p>
                <w:p>
                  <w:pPr>
                    <w:pStyle w:val="null3"/>
                    <w:spacing w:before="60"/>
                    <w:jc w:val="center"/>
                  </w:pPr>
                  <w:r>
                    <w:rPr>
                      <w:rFonts w:ascii="仿宋_GB2312" w:hAnsi="仿宋_GB2312" w:cs="仿宋_GB2312" w:eastAsia="仿宋_GB2312"/>
                      <w:sz w:val="20"/>
                      <w:color w:val="000000"/>
                    </w:rPr>
                    <w:t>马克思主义中国化时代化的新飞跃</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1</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新时代中国特色社会主义思想是如何创立的</w:t>
                  </w:r>
                  <w:r>
                    <w:rPr>
                      <w:rFonts w:ascii="仿宋_GB2312" w:hAnsi="仿宋_GB2312" w:cs="仿宋_GB2312" w:eastAsia="仿宋_GB2312"/>
                      <w:sz w:val="20"/>
                      <w:color w:val="000000"/>
                    </w:rPr>
                    <w:t>？</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2</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2.为什么说“两个结合 ”是我们取得成功的最大法宝?</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3</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3.新时代中国特色社会主义思想的主要内容是什么？</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4</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如何理解新时代中国特色社会主义思想的历史地位</w:t>
                  </w:r>
                  <w:r>
                    <w:rPr>
                      <w:rFonts w:ascii="仿宋_GB2312" w:hAnsi="仿宋_GB2312" w:cs="仿宋_GB2312" w:eastAsia="仿宋_GB2312"/>
                      <w:sz w:val="20"/>
                      <w:color w:val="000000"/>
                    </w:rPr>
                    <w:t>？</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5</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5.青年学生如何学好用好新时代中国特色社会主义思想？</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firstLine="624"/>
                  </w:pPr>
                  <w:r>
                    <w:rPr>
                      <w:rFonts w:ascii="仿宋_GB2312" w:hAnsi="仿宋_GB2312" w:cs="仿宋_GB2312" w:eastAsia="仿宋_GB2312"/>
                      <w:sz w:val="20"/>
                      <w:color w:val="000000"/>
                    </w:rPr>
                    <w:t>第一章</w:t>
                  </w:r>
                </w:p>
                <w:p>
                  <w:pPr>
                    <w:pStyle w:val="null3"/>
                    <w:spacing w:before="60"/>
                  </w:pPr>
                  <w:r>
                    <w:rPr>
                      <w:rFonts w:ascii="仿宋_GB2312" w:hAnsi="仿宋_GB2312" w:cs="仿宋_GB2312" w:eastAsia="仿宋_GB2312"/>
                      <w:sz w:val="20"/>
                      <w:color w:val="000000"/>
                    </w:rPr>
                    <w:t>新时代坚持和发展中国特色社会主</w:t>
                  </w:r>
                  <w:r>
                    <w:rPr>
                      <w:rFonts w:ascii="仿宋_GB2312" w:hAnsi="仿宋_GB2312" w:cs="仿宋_GB2312" w:eastAsia="仿宋_GB2312"/>
                      <w:sz w:val="20"/>
                      <w:color w:val="000000"/>
                    </w:rPr>
                    <w:t>义</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1</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1.中国特色社会主义从何而来?</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2</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2.为什么说中国特色社会主义是社会主义而不是其他什么主义？</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3</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3.为什么说中国特色社会主义进入了新时代？</w:t>
                  </w:r>
                </w:p>
              </w:tc>
            </w:tr>
            <w:tr>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4</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4.为什么我国仍处于并长期出于社会主义初级阶段?</w:t>
                  </w:r>
                </w:p>
              </w:tc>
            </w:tr>
            <w:tr>
              <w:tc>
                <w:tcPr>
                  <w:tcW w:type="dxa" w:w="233"/>
                  <w:vMerge/>
                  <w:tcBorders>
                    <w:top w:val="none" w:color="000000" w:sz="4"/>
                    <w:left w:val="single" w:color="000000" w:sz="4"/>
                    <w:bottom w:val="single" w:color="000000" w:sz="4"/>
                    <w:right w:val="single" w:color="000000" w:sz="4"/>
                  </w:tcBorders>
                </w:tcP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5</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5.当代青年如何坚定“四个自信”？</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firstLine="416"/>
                  </w:pPr>
                  <w:r>
                    <w:rPr>
                      <w:rFonts w:ascii="仿宋_GB2312" w:hAnsi="仿宋_GB2312" w:cs="仿宋_GB2312" w:eastAsia="仿宋_GB2312"/>
                      <w:sz w:val="20"/>
                      <w:color w:val="000000"/>
                    </w:rPr>
                    <w:t>第二章</w:t>
                  </w:r>
                </w:p>
                <w:p>
                  <w:pPr>
                    <w:pStyle w:val="null3"/>
                    <w:jc w:val="left"/>
                  </w:pPr>
                  <w:r>
                    <w:rPr>
                      <w:rFonts w:ascii="仿宋_GB2312" w:hAnsi="仿宋_GB2312" w:cs="仿宋_GB2312" w:eastAsia="仿宋_GB2312"/>
                      <w:sz w:val="20"/>
                      <w:color w:val="000000"/>
                    </w:rPr>
                    <w:t>以中国式现</w:t>
                  </w:r>
                  <w:r>
                    <w:rPr>
                      <w:rFonts w:ascii="仿宋_GB2312" w:hAnsi="仿宋_GB2312" w:cs="仿宋_GB2312" w:eastAsia="仿宋_GB2312"/>
                      <w:sz w:val="20"/>
                      <w:color w:val="000000"/>
                    </w:rPr>
                    <w:t>代化全面推</w:t>
                  </w:r>
                  <w:r>
                    <w:rPr>
                      <w:rFonts w:ascii="仿宋_GB2312" w:hAnsi="仿宋_GB2312" w:cs="仿宋_GB2312" w:eastAsia="仿宋_GB2312"/>
                      <w:sz w:val="21"/>
                    </w:rPr>
                    <w:t xml:space="preserve"> </w:t>
                  </w:r>
                  <w:r>
                    <w:rPr>
                      <w:rFonts w:ascii="仿宋_GB2312" w:hAnsi="仿宋_GB2312" w:cs="仿宋_GB2312" w:eastAsia="仿宋_GB2312"/>
                      <w:sz w:val="20"/>
                      <w:color w:val="000000"/>
                    </w:rPr>
                    <w:t>进中华民族</w:t>
                  </w:r>
                  <w:r>
                    <w:rPr>
                      <w:rFonts w:ascii="仿宋_GB2312" w:hAnsi="仿宋_GB2312" w:cs="仿宋_GB2312" w:eastAsia="仿宋_GB2312"/>
                      <w:sz w:val="20"/>
                      <w:color w:val="000000"/>
                    </w:rPr>
                    <w:t>伟大复兴</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1</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1.为什么说中国梦是中华民族近代以来最大的梦想？</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2</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2.如何擘画全面建成社会主义现代化强国的宏伟蓝图。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3</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3.中国式现代化是一种什么样的现代化?</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4</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4.为什么说中国式现代化创造了人类文明新形态？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5</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5.如何推进中国式现代化？</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firstLine="612"/>
                  </w:pPr>
                  <w:r>
                    <w:rPr>
                      <w:rFonts w:ascii="仿宋_GB2312" w:hAnsi="仿宋_GB2312" w:cs="仿宋_GB2312" w:eastAsia="仿宋_GB2312"/>
                      <w:sz w:val="20"/>
                    </w:rPr>
                    <w:t>第三章</w:t>
                  </w:r>
                </w:p>
                <w:p>
                  <w:pPr>
                    <w:pStyle w:val="null3"/>
                    <w:spacing w:before="60"/>
                    <w:jc w:val="left"/>
                  </w:pPr>
                  <w:r>
                    <w:rPr>
                      <w:rFonts w:ascii="仿宋_GB2312" w:hAnsi="仿宋_GB2312" w:cs="仿宋_GB2312" w:eastAsia="仿宋_GB2312"/>
                      <w:sz w:val="20"/>
                    </w:rPr>
                    <w:t>坚持党的全面领导</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1</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1.为什么说中国共产党领导是中国中国特色社会主义最本质特征？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2</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2.如何理解党的领导是全面的、系统的、整体的？</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3</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如何理解党的领导制度是我国的根本领导制度？</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4</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4.当代青年怎样自觉在思想上政治上行动上同党中央保持高度一致？</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405" w:firstLine="204"/>
                  </w:pPr>
                  <w:r>
                    <w:rPr>
                      <w:rFonts w:ascii="仿宋_GB2312" w:hAnsi="仿宋_GB2312" w:cs="仿宋_GB2312" w:eastAsia="仿宋_GB2312"/>
                      <w:sz w:val="20"/>
                    </w:rPr>
                    <w:t>第四章</w:t>
                  </w:r>
                </w:p>
                <w:p>
                  <w:pPr>
                    <w:pStyle w:val="null3"/>
                    <w:spacing w:before="60"/>
                    <w:jc w:val="left"/>
                  </w:pPr>
                  <w:r>
                    <w:rPr>
                      <w:rFonts w:ascii="仿宋_GB2312" w:hAnsi="仿宋_GB2312" w:cs="仿宋_GB2312" w:eastAsia="仿宋_GB2312"/>
                      <w:sz w:val="20"/>
                    </w:rPr>
                    <w:t>坚持以人民为中心</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1</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1.“江山就是人民，人民就是江山”的深刻内涵是什么？</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2</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2.为什么说人民立场是中国共产党的根本政治立场？</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3</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3.为什么说人民对美好生活的向往就是党的奋斗目标？</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4</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4.新时代青年如何自觉站稳人民立场？</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405" w:firstLine="204"/>
                    <w:jc w:val="left"/>
                  </w:pPr>
                  <w:r>
                    <w:rPr>
                      <w:rFonts w:ascii="仿宋_GB2312" w:hAnsi="仿宋_GB2312" w:cs="仿宋_GB2312" w:eastAsia="仿宋_GB2312"/>
                      <w:sz w:val="20"/>
                    </w:rPr>
                    <w:t>第五章</w:t>
                  </w:r>
                </w:p>
                <w:p>
                  <w:pPr>
                    <w:pStyle w:val="null3"/>
                    <w:spacing w:before="60"/>
                    <w:jc w:val="both"/>
                  </w:pPr>
                  <w:r>
                    <w:rPr>
                      <w:rFonts w:ascii="仿宋_GB2312" w:hAnsi="仿宋_GB2312" w:cs="仿宋_GB2312" w:eastAsia="仿宋_GB2312"/>
                      <w:sz w:val="20"/>
                    </w:rPr>
                    <w:t>全面深化改革开放</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1</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1.为什么要全面深化改革开放？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2</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2.为什么说新时代全面深化改革开放是一场深刻革命？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3</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3.怎样推进全面深化改革开放？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4</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4.为什么说全面深化改革既要摸着石头过河，又要加强顶层设计?</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5</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5.为什么要将改革开放进行到底？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firstLine="612"/>
                  </w:pPr>
                  <w:r>
                    <w:rPr>
                      <w:rFonts w:ascii="仿宋_GB2312" w:hAnsi="仿宋_GB2312" w:cs="仿宋_GB2312" w:eastAsia="仿宋_GB2312"/>
                      <w:sz w:val="20"/>
                    </w:rPr>
                    <w:t>第六章</w:t>
                  </w:r>
                </w:p>
                <w:p>
                  <w:pPr>
                    <w:pStyle w:val="null3"/>
                    <w:spacing w:before="60"/>
                    <w:ind w:firstLine="204"/>
                  </w:pPr>
                  <w:r>
                    <w:rPr>
                      <w:rFonts w:ascii="仿宋_GB2312" w:hAnsi="仿宋_GB2312" w:cs="仿宋_GB2312" w:eastAsia="仿宋_GB2312"/>
                      <w:sz w:val="20"/>
                    </w:rPr>
                    <w:t>推动高质量发展</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1</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1.什么是</w:t>
                  </w:r>
                  <w:r>
                    <w:rPr>
                      <w:rFonts w:ascii="仿宋_GB2312" w:hAnsi="仿宋_GB2312" w:cs="仿宋_GB2312" w:eastAsia="仿宋_GB2312"/>
                      <w:sz w:val="20"/>
                      <w:color w:val="000000"/>
                    </w:rPr>
                    <w:t>新发展阶段、新发展理念</w:t>
                  </w:r>
                  <w:r>
                    <w:rPr>
                      <w:rFonts w:ascii="仿宋_GB2312" w:hAnsi="仿宋_GB2312" w:cs="仿宋_GB2312" w:eastAsia="仿宋_GB2312"/>
                      <w:sz w:val="20"/>
                      <w:color w:val="000000"/>
                    </w:rPr>
                    <w:t>？</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2</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2.如何理解高质量发展的深刻内涵和意义？</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3</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3.为什么要坚持"两个毫不动摇"？</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4</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4.如何构建高水平社会主义市场经济体制？</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614"/>
                  <w:vMerge/>
                  <w:tcBorders>
                    <w:top w:val="none" w:color="000000" w:sz="4"/>
                    <w:left w:val="single" w:color="000000" w:sz="4"/>
                    <w:bottom w:val="single" w:color="000000" w:sz="4"/>
                    <w:right w:val="single" w:color="000000" w:sz="4"/>
                  </w:tcBorders>
                </w:tcPr>
                <w:p/>
              </w:tc>
              <w:tc>
                <w:tcPr>
                  <w:tcW w:type="dxa" w:w="5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5</w:t>
                  </w:r>
                </w:p>
              </w:tc>
              <w:tc>
                <w:tcPr>
                  <w:tcW w:type="dxa" w:w="1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5.为什么要加快构建新发展格局？</w:t>
                  </w:r>
                </w:p>
              </w:tc>
            </w:tr>
            <w:tr>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614"/>
                  <w:vMerge/>
                  <w:tcBorders>
                    <w:top w:val="none" w:color="000000" w:sz="4"/>
                    <w:left w:val="single" w:color="000000" w:sz="4"/>
                    <w:bottom w:val="single" w:color="000000" w:sz="4"/>
                    <w:right w:val="single" w:color="000000" w:sz="4"/>
                  </w:tcBorders>
                </w:tcPr>
                <w:p/>
              </w:tc>
              <w:tc>
                <w:tcPr>
                  <w:tcW w:type="dxa" w:w="515"/>
                  <w:vMerge/>
                  <w:tcBorders>
                    <w:top w:val="none" w:color="000000" w:sz="4"/>
                    <w:left w:val="single" w:color="000000" w:sz="4"/>
                    <w:bottom w:val="single" w:color="000000" w:sz="4"/>
                    <w:right w:val="single" w:color="000000" w:sz="4"/>
                  </w:tcBorders>
                </w:tcPr>
                <w:p/>
              </w:tc>
              <w:tc>
                <w:tcPr>
                  <w:tcW w:type="dxa" w:w="1444"/>
                  <w:vMerge/>
                  <w:tcBorders>
                    <w:top w:val="none" w:color="000000" w:sz="4"/>
                    <w:left w:val="singl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6</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6.怎样建设现代经济体系？</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405" w:firstLine="204"/>
                  </w:pPr>
                  <w:r>
                    <w:rPr>
                      <w:rFonts w:ascii="仿宋_GB2312" w:hAnsi="仿宋_GB2312" w:cs="仿宋_GB2312" w:eastAsia="仿宋_GB2312"/>
                      <w:sz w:val="20"/>
                    </w:rPr>
                    <w:t>第七章</w:t>
                  </w:r>
                </w:p>
                <w:p>
                  <w:pPr>
                    <w:pStyle w:val="null3"/>
                    <w:spacing w:before="60"/>
                  </w:pPr>
                  <w:r>
                    <w:rPr>
                      <w:rFonts w:ascii="仿宋_GB2312" w:hAnsi="仿宋_GB2312" w:cs="仿宋_GB2312" w:eastAsia="仿宋_GB2312"/>
                      <w:sz w:val="20"/>
                    </w:rPr>
                    <w:t>社会主义现代化建设的教育、科技、人才战略</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1</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1.为什么要把教育、科技、人才作为全面建设社会主义现代化国家的基础性、战略性支撑?</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2</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2.怎样加快建设教育强国?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3</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3.怎样加快建设科技强国?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4</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4.怎样加快建设人才强国?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firstLine="612"/>
                  </w:pPr>
                  <w:r>
                    <w:rPr>
                      <w:rFonts w:ascii="仿宋_GB2312" w:hAnsi="仿宋_GB2312" w:cs="仿宋_GB2312" w:eastAsia="仿宋_GB2312"/>
                      <w:sz w:val="20"/>
                    </w:rPr>
                    <w:t>第八章</w:t>
                  </w:r>
                </w:p>
                <w:p>
                  <w:pPr>
                    <w:pStyle w:val="null3"/>
                    <w:spacing w:before="60"/>
                    <w:ind w:firstLine="204"/>
                  </w:pPr>
                  <w:r>
                    <w:rPr>
                      <w:rFonts w:ascii="仿宋_GB2312" w:hAnsi="仿宋_GB2312" w:cs="仿宋_GB2312" w:eastAsia="仿宋_GB2312"/>
                      <w:sz w:val="20"/>
                    </w:rPr>
                    <w:t>发展全过程人民民主</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1</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1.为什么我国不能搬来一座政治制度上的“飞来峰”</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2</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2.为什么说人民民主是社会主义的生命?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3</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3.如何理解人民民主是全过程人民民主?</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4</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4.全过程人民民主好在哪里？</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firstLine="612"/>
                  </w:pPr>
                  <w:r>
                    <w:rPr>
                      <w:rFonts w:ascii="仿宋_GB2312" w:hAnsi="仿宋_GB2312" w:cs="仿宋_GB2312" w:eastAsia="仿宋_GB2312"/>
                      <w:sz w:val="20"/>
                    </w:rPr>
                    <w:t>第九章</w:t>
                  </w:r>
                </w:p>
                <w:p>
                  <w:pPr>
                    <w:pStyle w:val="null3"/>
                    <w:spacing w:before="60"/>
                    <w:ind w:firstLine="204"/>
                  </w:pPr>
                  <w:r>
                    <w:rPr>
                      <w:rFonts w:ascii="仿宋_GB2312" w:hAnsi="仿宋_GB2312" w:cs="仿宋_GB2312" w:eastAsia="仿宋_GB2312"/>
                      <w:sz w:val="20"/>
                    </w:rPr>
                    <w:t>全面依法治国</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1</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1.为什么要全面推进依法治国？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2</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2.为什么中国特色法治道路是建设社会主义法治国家的唯一正确道路？</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3</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3.中国特色社会主义法治体系的基本框架是什么？</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4</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4.为什么说我们坚持依宪治国、依宪执政同西方的所谓“宪政”有本质不同？</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5</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5.为什么说“党大还是法大”是个伪命题?</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firstLine="408"/>
                  </w:pPr>
                  <w:r>
                    <w:rPr>
                      <w:rFonts w:ascii="仿宋_GB2312" w:hAnsi="仿宋_GB2312" w:cs="仿宋_GB2312" w:eastAsia="仿宋_GB2312"/>
                      <w:sz w:val="20"/>
                    </w:rPr>
                    <w:t>第十章</w:t>
                  </w:r>
                </w:p>
                <w:p>
                  <w:pPr>
                    <w:pStyle w:val="null3"/>
                    <w:spacing w:before="60"/>
                  </w:pPr>
                  <w:r>
                    <w:rPr>
                      <w:rFonts w:ascii="仿宋_GB2312" w:hAnsi="仿宋_GB2312" w:cs="仿宋_GB2312" w:eastAsia="仿宋_GB2312"/>
                      <w:sz w:val="20"/>
                    </w:rPr>
                    <w:t>建设社会主义文化强国</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1</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1.为什么说文化繁荣兴盛是实现中华民族伟大复兴的必然要求？</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2</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2.为什么我们能拥有文化自信？</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3</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3.为什么要巩固马克思主义在意识形态领域的指导地位?</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4</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4.为什么说过不了互联网这一关，就过不了长期执政这一关？</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5</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5.如何以社会主义核心价值观引领文化建设?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6</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6.如何提升国家文化软实力和中华文化影响力？</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firstLine="408"/>
                  </w:pPr>
                  <w:r>
                    <w:rPr>
                      <w:rFonts w:ascii="仿宋_GB2312" w:hAnsi="仿宋_GB2312" w:cs="仿宋_GB2312" w:eastAsia="仿宋_GB2312"/>
                      <w:sz w:val="20"/>
                    </w:rPr>
                    <w:t>第十一章</w:t>
                  </w:r>
                </w:p>
                <w:p>
                  <w:pPr>
                    <w:pStyle w:val="null3"/>
                    <w:spacing w:before="60"/>
                  </w:pPr>
                  <w:r>
                    <w:rPr>
                      <w:rFonts w:ascii="仿宋_GB2312" w:hAnsi="仿宋_GB2312" w:cs="仿宋_GB2312" w:eastAsia="仿宋_GB2312"/>
                      <w:sz w:val="20"/>
                    </w:rPr>
                    <w:t>以保障和改善民生为重点加强社会建设</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1</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1.为什么民生是最大的政治？</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2</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2.怎样让老百姓的生活越来越好？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3</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3.如何加强和创新社会治理，实现共建共治共享？</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firstLine="408"/>
                  </w:pPr>
                  <w:r>
                    <w:rPr>
                      <w:rFonts w:ascii="仿宋_GB2312" w:hAnsi="仿宋_GB2312" w:cs="仿宋_GB2312" w:eastAsia="仿宋_GB2312"/>
                      <w:sz w:val="20"/>
                    </w:rPr>
                    <w:t>第十二章</w:t>
                  </w:r>
                </w:p>
                <w:p>
                  <w:pPr>
                    <w:pStyle w:val="null3"/>
                    <w:spacing w:before="60"/>
                  </w:pPr>
                  <w:r>
                    <w:rPr>
                      <w:rFonts w:ascii="仿宋_GB2312" w:hAnsi="仿宋_GB2312" w:cs="仿宋_GB2312" w:eastAsia="仿宋_GB2312"/>
                      <w:sz w:val="20"/>
                    </w:rPr>
                    <w:t>建设社会主义生态文明</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1</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1.新时代我们为什么要突出强调生态文明建设？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2</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2.如何理解“绿水青山就是金山银山”的科学内涵？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3</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3.怎么建设美丽中国?</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4</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4.建设美丽中国为什么要实行最严格的生态环境保护制度？</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firstLine="408"/>
                  </w:pPr>
                  <w:r>
                    <w:rPr>
                      <w:rFonts w:ascii="仿宋_GB2312" w:hAnsi="仿宋_GB2312" w:cs="仿宋_GB2312" w:eastAsia="仿宋_GB2312"/>
                      <w:sz w:val="20"/>
                    </w:rPr>
                    <w:t>第十三章</w:t>
                  </w:r>
                </w:p>
                <w:p>
                  <w:pPr>
                    <w:pStyle w:val="null3"/>
                    <w:spacing w:before="60"/>
                  </w:pPr>
                  <w:r>
                    <w:rPr>
                      <w:rFonts w:ascii="仿宋_GB2312" w:hAnsi="仿宋_GB2312" w:cs="仿宋_GB2312" w:eastAsia="仿宋_GB2312"/>
                      <w:sz w:val="20"/>
                    </w:rPr>
                    <w:t>维护和塑造国家安全</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1</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1.新时代为什么要提出总体国家安全观？</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2</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2.为什么说保证国家安全是头等大事？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3</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3.什么是总体国家安全观？</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4</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4.如何维护和塑造国家安全？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5</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5.为什么说政治安全是国家安全的根本？</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firstLine="408"/>
                  </w:pPr>
                  <w:r>
                    <w:rPr>
                      <w:rFonts w:ascii="仿宋_GB2312" w:hAnsi="仿宋_GB2312" w:cs="仿宋_GB2312" w:eastAsia="仿宋_GB2312"/>
                      <w:sz w:val="20"/>
                    </w:rPr>
                    <w:t>第十四章</w:t>
                  </w:r>
                </w:p>
                <w:p>
                  <w:pPr>
                    <w:pStyle w:val="null3"/>
                    <w:spacing w:before="60"/>
                    <w:jc w:val="left"/>
                  </w:pPr>
                  <w:r>
                    <w:rPr>
                      <w:rFonts w:ascii="仿宋_GB2312" w:hAnsi="仿宋_GB2312" w:cs="仿宋_GB2312" w:eastAsia="仿宋_GB2312"/>
                      <w:sz w:val="20"/>
                    </w:rPr>
                    <w:t>建设巩固国防和强大人民军队</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1</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1.为什么要建设巩固国防和强大人民军队？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2</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2.如何理解新时代强军目标的科学内涵？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3</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3.怎样建设巩固国防和强大人民军队?</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405" w:firstLine="408"/>
                  </w:pPr>
                  <w:r>
                    <w:rPr>
                      <w:rFonts w:ascii="仿宋_GB2312" w:hAnsi="仿宋_GB2312" w:cs="仿宋_GB2312" w:eastAsia="仿宋_GB2312"/>
                      <w:sz w:val="20"/>
                    </w:rPr>
                    <w:t>第十五章</w:t>
                  </w:r>
                </w:p>
                <w:p>
                  <w:pPr>
                    <w:pStyle w:val="null3"/>
                    <w:spacing w:before="60"/>
                  </w:pPr>
                  <w:r>
                    <w:rPr>
                      <w:rFonts w:ascii="仿宋_GB2312" w:hAnsi="仿宋_GB2312" w:cs="仿宋_GB2312" w:eastAsia="仿宋_GB2312"/>
                      <w:sz w:val="20"/>
                    </w:rPr>
                    <w:t>坚持</w:t>
                  </w:r>
                  <w:r>
                    <w:rPr>
                      <w:rFonts w:ascii="仿宋_GB2312" w:hAnsi="仿宋_GB2312" w:cs="仿宋_GB2312" w:eastAsia="仿宋_GB2312"/>
                      <w:sz w:val="20"/>
                    </w:rPr>
                    <w:t>“一国两制 ”和推进祖国完全统一</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1</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1.为什么说"一国两制"是中国特色社会主义的伟大创举?</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2</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2.如何准确把握"一国两制"的科学内涵？</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3</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3.新时代，我们采取什么样的理念和措施保持香港和澳门的繁荣稳定？</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4</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4.如何推进祖国完全统一？</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firstLine="408"/>
                  </w:pPr>
                  <w:r>
                    <w:rPr>
                      <w:rFonts w:ascii="仿宋_GB2312" w:hAnsi="仿宋_GB2312" w:cs="仿宋_GB2312" w:eastAsia="仿宋_GB2312"/>
                      <w:sz w:val="20"/>
                    </w:rPr>
                    <w:t>第十六章</w:t>
                  </w:r>
                </w:p>
                <w:p>
                  <w:pPr>
                    <w:pStyle w:val="null3"/>
                    <w:spacing w:before="60"/>
                  </w:pPr>
                  <w:r>
                    <w:rPr>
                      <w:rFonts w:ascii="仿宋_GB2312" w:hAnsi="仿宋_GB2312" w:cs="仿宋_GB2312" w:eastAsia="仿宋_GB2312"/>
                      <w:sz w:val="20"/>
                    </w:rPr>
                    <w:t>中国特色大国外交和推动构建人类命运共同体</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1</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1.什么是人类命运共同体？</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2</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2.中国为什么要坚持走和平发展道路？</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3</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3.怎样构建新型国际关系？</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firstLine="408"/>
                  </w:pPr>
                  <w:r>
                    <w:rPr>
                      <w:rFonts w:ascii="仿宋_GB2312" w:hAnsi="仿宋_GB2312" w:cs="仿宋_GB2312" w:eastAsia="仿宋_GB2312"/>
                      <w:sz w:val="20"/>
                    </w:rPr>
                    <w:t>第十七章</w:t>
                  </w:r>
                </w:p>
                <w:p>
                  <w:pPr>
                    <w:pStyle w:val="null3"/>
                    <w:spacing w:before="60"/>
                    <w:ind w:firstLine="204"/>
                  </w:pPr>
                  <w:r>
                    <w:rPr>
                      <w:rFonts w:ascii="仿宋_GB2312" w:hAnsi="仿宋_GB2312" w:cs="仿宋_GB2312" w:eastAsia="仿宋_GB2312"/>
                      <w:sz w:val="20"/>
                    </w:rPr>
                    <w:t>全面从严治党</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1</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1.什么是全面从严治党？</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2</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2.为什么要全面从严治党？</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3</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0"/>
                    </w:rPr>
                    <w:t>3.为什么要把党的政治建设摆在首位？</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614"/>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单元</w:t>
                  </w:r>
                  <w:r>
                    <w:rPr>
                      <w:rFonts w:ascii="仿宋_GB2312" w:hAnsi="仿宋_GB2312" w:cs="仿宋_GB2312" w:eastAsia="仿宋_GB2312"/>
                      <w:sz w:val="20"/>
                      <w:color w:val="000000"/>
                    </w:rPr>
                    <w:t>4</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4.为什么说党的自我革命是跳出历史周期律的第二个答案？</w:t>
                  </w:r>
                </w:p>
              </w:tc>
            </w:tr>
            <w:tr>
              <w:tc>
                <w:tcPr>
                  <w:tcW w:type="dxa" w:w="280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为精讲课程配套丰富的辅助视频资源，利用智能搜索并推荐匹配本课程教学的相关资源；每章教学精选3-5个案例视频，呈现新时代中国特色社会主义思想在各地的生动实践和伟大成就等，增强理论的说服力与感染力。</w:t>
                  </w:r>
                </w:p>
                <w:p>
                  <w:pPr>
                    <w:pStyle w:val="null3"/>
                    <w:jc w:val="left"/>
                  </w:pPr>
                  <w:r>
                    <w:rPr>
                      <w:rFonts w:ascii="仿宋_GB2312" w:hAnsi="仿宋_GB2312" w:cs="仿宋_GB2312" w:eastAsia="仿宋_GB2312"/>
                      <w:sz w:val="20"/>
                    </w:rPr>
                    <w:t>2.以《新时代中国特色社会主义思想概论》（2023版）教材为准，生成17个章节的知识框架图或思维导图，覆盖章节目内容。</w:t>
                  </w:r>
                </w:p>
                <w:p>
                  <w:pPr>
                    <w:pStyle w:val="null3"/>
                    <w:jc w:val="left"/>
                  </w:pPr>
                  <w:r>
                    <w:rPr>
                      <w:rFonts w:ascii="仿宋_GB2312" w:hAnsi="仿宋_GB2312" w:cs="仿宋_GB2312" w:eastAsia="仿宋_GB2312"/>
                      <w:sz w:val="20"/>
                    </w:rPr>
                    <w:t>3.搭建VR实景资源</w:t>
                  </w:r>
                  <w:r>
                    <w:rPr>
                      <w:rFonts w:ascii="仿宋_GB2312" w:hAnsi="仿宋_GB2312" w:cs="仿宋_GB2312" w:eastAsia="仿宋_GB2312"/>
                      <w:sz w:val="20"/>
                    </w:rPr>
                    <w:t>链接：依托央媒和省市及以上</w:t>
                  </w:r>
                  <w:r>
                    <w:rPr>
                      <w:rFonts w:ascii="仿宋_GB2312" w:hAnsi="仿宋_GB2312" w:cs="仿宋_GB2312" w:eastAsia="仿宋_GB2312"/>
                      <w:sz w:val="20"/>
                    </w:rPr>
                    <w:t>“大思政”主题展馆、博物馆、纪念馆的实景资源，为教学专题建立VR资源链接，供学生身临其境参观学习，深化课堂认识。</w:t>
                  </w:r>
                </w:p>
                <w:p>
                  <w:pPr>
                    <w:pStyle w:val="null3"/>
                    <w:jc w:val="left"/>
                  </w:pPr>
                  <w:r>
                    <w:rPr>
                      <w:rFonts w:ascii="仿宋_GB2312" w:hAnsi="仿宋_GB2312" w:cs="仿宋_GB2312" w:eastAsia="仿宋_GB2312"/>
                      <w:sz w:val="20"/>
                    </w:rPr>
                    <w:t>4.围绕课程标准，建设多层次、全方位的参考资料库，供学习者延伸学习。收录《新时代中国特色社会主义思想学习纲要》《谈治国理政》（第一至五卷）、总书记最新重要讲话原文、权威解读文章等核心文献，为学生提供原汁原味的学习资料。</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08"/>
              <w:jc w:val="left"/>
            </w:pPr>
            <w:r>
              <w:rPr>
                <w:rFonts w:ascii="仿宋_GB2312" w:hAnsi="仿宋_GB2312" w:cs="仿宋_GB2312" w:eastAsia="仿宋_GB2312"/>
                <w:sz w:val="20"/>
                <w:color w:val="000000"/>
              </w:rPr>
              <w:t>本项目按照</w:t>
            </w:r>
            <w:r>
              <w:rPr>
                <w:rFonts w:ascii="仿宋_GB2312" w:hAnsi="仿宋_GB2312" w:cs="仿宋_GB2312" w:eastAsia="仿宋_GB2312"/>
                <w:sz w:val="20"/>
                <w:color w:val="000000"/>
              </w:rPr>
              <w:t>“兼投不兼中”的原则确定成交供应商，即：每个供应商在本项目中最多只能中一个包，若同一供应商在多个包中综合得分排名第一时，确定其为包号顺序靠前一包成交供应商，其他包号综合得分排名第二的供应商为该包成交供应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①交付期：合同签订后3个月内。②质保期：提供不少于5年的后期推广服务。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①交付期：合同签订后3个月内。②质保期：提供不少于5年的后期推广服务。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陕西职业技术学院指定地点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约定的技术、服务、安全标准组织对供应商每一项技术、服务、安全标准的履约情况进行验收，并出具验收书，交付的课程须符合国家在线精品课程标准，提供符合国家在线课程运行要求的课程运行平台，否则不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按照政府采购合同约定的技术、服务、安全标准组织对供应商每一项技术、服务、安全标准的履约情况进行验收，并出具验收书，交付的课程须符合国家在线精品课程标准，提供符合国家在线课程运行要求的课程运行平台，否则不予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供应商完成合同全部内容并经采购人验收合格后，在采购人付款前提供全额增值税发票，若供应商不能按学校财务部门要求出具发票, 采购人有权不予付款，由此造成的一切损失由供应商自行承担。如因发票问题使得甲方蒙受损失（包括罚款、处理费用、声誉影响等）的，供应商应当承担全部责任，并赔偿损失。如供应商有责任向采购人支付违约金或其他赔偿时，采购人有权直接从上述付款中等额扣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供应商完成合同全部内容并经采购人验收合格后，在采购人付款前提供全额增值税发票，若供应商不能按学校财务部门要求出具发票, 采购人有权不予付款，由此造成的一切损失由供应商自行承担。如因发票问题使得甲方蒙受损失（包括罚款、处理费用、声誉影响等）的，供应商应当承担全部责任，并赔偿损失。如供应商有责任向采购人支付违约金或其他赔偿时，采购人有权直接从上述付款中等额扣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采购标的对应的中小企业划分标准所属行业为其他未列明行业。其他未列明行业的划型标准为：从业人员300人以下的为中小微型企业。其中，从业人员100人及以上的为中型企业；从业人员10人及以的为小型企业；从业人员10人以下的为微型企业。 二、供应商需要在线提交所有通过电子化交易平台实施的政府采购项目的响应文件，同时，线下提交纸质响应文件正本壹份、副本贰份、电子版壹份（U盘壹份）。 三、纸质响应文件正本、副本、电子版，标明投标人名称分开密封递交（响应文件采用双面打印）。 四、线下纸质响应文件递交截止时间：同在线递交电子响应文件截止时间一致；线下纸质响应文件递交地点：西安市雁展路1111号莱安中心T6-15层。如需邮寄响应文件，仅接受顺丰速运（联系人：杨子雨、联系电话：029-81206622-822）。 五、磋商保证金退还：成交通知书发出之日起5个工作日内退还未成交供应商的磋商保证金，自政府采购合同签订之日起5个工作日内退还成交供应商的磋商保证金。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响应报价表、分项报价表.docx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保证金缴纳凭证或担保机构出具的保函.docx 响应报价表、分项报价表.docx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响应文件按磋商文件要求签署、盖章</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保证金缴纳凭证或担保机构出具的保函.docx 响应报价表、分项报价表.docx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响应文件封面 保证金缴纳凭证或担保机构出具的保函.docx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保证金缴纳凭证或担保机构出具的保函.docx 响应报价表、分项报价表.docx 残疾人福利性单位声明函 标的清单 服务内容及服务邀请应答表.docx 供应商资格证明文件.docx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保证金缴纳凭证或担保机构出具的保函.docx 响应报价表、分项报价表.docx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响应文件按磋商文件要求签署、盖章</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响应文件封面 保证金缴纳凭证或担保机构出具的保函.docx 响应报价表、分项报价表.docx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保证金缴纳凭证或担保机构出具的保函.docx 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响应方案说明.docx 中小企业声明函 报价表 供应商承诺书.docx 商务条款响应说明.docx 保证金缴纳凭证或担保机构出具的保函.docx 响应文件封面 响应报价表、分项报价表.docx 残疾人福利性单位声明函 标的清单 服务内容及服务邀请应答表.docx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课程开发与设计方案</w:t>
            </w:r>
          </w:p>
        </w:tc>
        <w:tc>
          <w:tcPr>
            <w:tcW w:type="dxa" w:w="2492"/>
          </w:tcPr>
          <w:p>
            <w:pPr>
              <w:pStyle w:val="null3"/>
            </w:pPr>
            <w:r>
              <w:rPr>
                <w:rFonts w:ascii="仿宋_GB2312" w:hAnsi="仿宋_GB2312" w:cs="仿宋_GB2312" w:eastAsia="仿宋_GB2312"/>
              </w:rPr>
              <w:t>供应商提供针对本项目的课程开发与设计方案，内容包括:①课程背景、目标及设计原则②学分学时及学时分配③教学大纲④内容框架⑤考核方式⑥教学团队⑦章、节、知识点⑧见面课教程等的开发与设计。 各项内容全面详细、阐述条理清晰，能有效保障本项目实施得12分，每有一项缺项扣1.5分，每有一项内容存在缺陷扣0.5分，扣完为止。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课程拍摄方案</w:t>
            </w:r>
          </w:p>
        </w:tc>
        <w:tc>
          <w:tcPr>
            <w:tcW w:type="dxa" w:w="2492"/>
          </w:tcPr>
          <w:p>
            <w:pPr>
              <w:pStyle w:val="null3"/>
            </w:pPr>
            <w:r>
              <w:rPr>
                <w:rFonts w:ascii="仿宋_GB2312" w:hAnsi="仿宋_GB2312" w:cs="仿宋_GB2312" w:eastAsia="仿宋_GB2312"/>
              </w:rPr>
              <w:t>供应商提供针对本项目的课程拍摄方案，内容包括:①拍摄场地②搭建场景③拍摄模式④拍摄过程安排。 各项内容全面详细、阐述条理清晰，能有效保障本项目实施得12分，每有一项缺项扣3分，每有一项内容存在缺陷扣1分，扣完为止。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后期制作方案</w:t>
            </w:r>
          </w:p>
        </w:tc>
        <w:tc>
          <w:tcPr>
            <w:tcW w:type="dxa" w:w="2492"/>
          </w:tcPr>
          <w:p>
            <w:pPr>
              <w:pStyle w:val="null3"/>
            </w:pPr>
            <w:r>
              <w:rPr>
                <w:rFonts w:ascii="仿宋_GB2312" w:hAnsi="仿宋_GB2312" w:cs="仿宋_GB2312" w:eastAsia="仿宋_GB2312"/>
              </w:rPr>
              <w:t>供应商提供针对本项目的后期制作方案，内容包括:①视频内容及技术②动画技术③知识图谱应用④AI教学工具⑤混合式课程运行服务技术⑥平台功能。 各项内容全面详细、阐述条理清晰，能有效保障本项目实施得12分，每有一项缺项扣2分，每有一项内容存在缺陷扣1分，扣完为止。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设备及场地要求</w:t>
            </w:r>
          </w:p>
        </w:tc>
        <w:tc>
          <w:tcPr>
            <w:tcW w:type="dxa" w:w="2492"/>
          </w:tcPr>
          <w:p>
            <w:pPr>
              <w:pStyle w:val="null3"/>
            </w:pPr>
            <w:r>
              <w:rPr>
                <w:rFonts w:ascii="仿宋_GB2312" w:hAnsi="仿宋_GB2312" w:cs="仿宋_GB2312" w:eastAsia="仿宋_GB2312"/>
              </w:rPr>
              <w:t>供应商提供针对本项目的场地及专用工具设备情况，包括：①拍摄设备②拾音设备③灯光设备④剪辑工具⑤场地。每项满足得1分，满分5分。 注：提供设备或工具清单及其证明材料、场地证明材料，否则不计分。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提出针对本项目的人员配置方案，内容包括：①拟投入的服务团队人员结构②人员分工及职责③人员工作经验④人员管理制度。 各项内容全面详细、阐述条理清晰、对评审内容中的各项要求有详细描述及说明得6，每有一项缺项扣1.5分，每有一项内容存在一处缺陷扣0.5分，扣完为止。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供应商针对本项目提供进度安排，内容包括：①时间进度安排②各阶段进度控制③项目实施关键节点控制。 各项内容全面详细、阐述条理清晰、对评审内容中的各项要求有详细描述及说明得6，每有一项缺项扣2分，每有一项内容存在一处缺陷扣1分，扣完为止。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售后及培训方案</w:t>
            </w:r>
          </w:p>
        </w:tc>
        <w:tc>
          <w:tcPr>
            <w:tcW w:type="dxa" w:w="2492"/>
          </w:tcPr>
          <w:p>
            <w:pPr>
              <w:pStyle w:val="null3"/>
            </w:pPr>
            <w:r>
              <w:rPr>
                <w:rFonts w:ascii="仿宋_GB2312" w:hAnsi="仿宋_GB2312" w:cs="仿宋_GB2312" w:eastAsia="仿宋_GB2312"/>
              </w:rPr>
              <w:t>供应商针对本项目提供售后及培训方案，内容包括：①后期平台维护管理②后期课程修改完善③平台操作指导④课程运行指导⑤协助项目申报。 各项内容全面详细、阐述条理清晰、对评审内容中的各项要求有详细描述及说明得10，每有一项缺项扣2分，每有一项内容存在一处缺陷扣1分，扣完为止。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供应商采用课程原型系统或案例系统进行演示，主要针对“课程技术制作规范”内①视频内容、视频技术规格、动画技术规格；②知识图谱应用要求；③AI教学工具要求；④混合式课程运行服务技术要求；⑤平台功能等。 各项演示内容全面详细、阐述条理清晰、对评审内容中的各项要求有详细描述及说明得15，每有一项缺项扣3分，每有一项内容存在一处缺陷扣1分，扣完为止。 备注: 1.缺陷是指演示内容逻辑不清晰，套用其他项目内容与项目需求不匹配及其他不利于项目实施的等任意一种情形。 2.现场演示时间不超过15分钟（不含现场提问及解答时间）；演示要求供应商自备笔记本电脑及相关设备，演示时网络连接由供应商自行解决，演示地点同线下递交文件地点一致。</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1.提供自主研发或与其合作的国家级开放课程平台授权书或代理协议等证明，得2分。 2.提供平台教学服务管理应用软件著作权登记证，得2分。 3.提供国家信息安全等级保护二级及以上认证，得2分。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投标人提供2022年1月1日至今（以合同签订时间为准）类似项目业绩合同，每提供一份计1分，满分6分。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价格分统一采用低价优先法计算，即满足招标文件要求且投标价格最低的投标报价为投标基准价，其价格分为满分。其他投标人的价格分统一按照下列公式计算： 投标报价得分=(投标基准价／投标报价)×价格权值×100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课程开发与设计方案</w:t>
            </w:r>
          </w:p>
        </w:tc>
        <w:tc>
          <w:tcPr>
            <w:tcW w:type="dxa" w:w="2492"/>
          </w:tcPr>
          <w:p>
            <w:pPr>
              <w:pStyle w:val="null3"/>
            </w:pPr>
            <w:r>
              <w:rPr>
                <w:rFonts w:ascii="仿宋_GB2312" w:hAnsi="仿宋_GB2312" w:cs="仿宋_GB2312" w:eastAsia="仿宋_GB2312"/>
              </w:rPr>
              <w:t>供应商提供针对本项目的课程开发与设计方案，内容包括:①课程背景、目标及设计原则②学分学时及学时分配③教学大纲④内容框架⑤考核方式⑥教学团队⑦章、节、知识点⑧见面课教程等的开发与设计。 各项内容全面详细、阐述条理清晰，能有效保障本项目实施得12分，每有一项缺项扣1.5分，每有一项内容存在缺陷扣0.5分，扣完为止。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课程拍摄方案</w:t>
            </w:r>
          </w:p>
        </w:tc>
        <w:tc>
          <w:tcPr>
            <w:tcW w:type="dxa" w:w="2492"/>
          </w:tcPr>
          <w:p>
            <w:pPr>
              <w:pStyle w:val="null3"/>
            </w:pPr>
            <w:r>
              <w:rPr>
                <w:rFonts w:ascii="仿宋_GB2312" w:hAnsi="仿宋_GB2312" w:cs="仿宋_GB2312" w:eastAsia="仿宋_GB2312"/>
              </w:rPr>
              <w:t>供应商提供针对本项目的课程拍摄方案，内容包括:①拍摄场地②搭建场景③拍摄模式④拍摄过程安排。 各项内容全面详细、阐述条理清晰，能有效保障本项目实施得12分，每有一项缺项扣3分，每有一项内容存在缺陷扣1分，扣完为止。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后期制作方案</w:t>
            </w:r>
          </w:p>
        </w:tc>
        <w:tc>
          <w:tcPr>
            <w:tcW w:type="dxa" w:w="2492"/>
          </w:tcPr>
          <w:p>
            <w:pPr>
              <w:pStyle w:val="null3"/>
            </w:pPr>
            <w:r>
              <w:rPr>
                <w:rFonts w:ascii="仿宋_GB2312" w:hAnsi="仿宋_GB2312" w:cs="仿宋_GB2312" w:eastAsia="仿宋_GB2312"/>
              </w:rPr>
              <w:t>供应商提供针对本项目的后期制作方案，内容包括:①视频内容及技术②动画技术③知识图谱应用④AI教学工具⑤混合式课程运行服务技术⑥平台功能。 各项内容全面详细、阐述条理清晰，能有效保障本项目实施得12分，每有一项缺项扣2分，每有一项内容存在缺陷扣1分，扣完为止。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设备及场地要求</w:t>
            </w:r>
          </w:p>
        </w:tc>
        <w:tc>
          <w:tcPr>
            <w:tcW w:type="dxa" w:w="2492"/>
          </w:tcPr>
          <w:p>
            <w:pPr>
              <w:pStyle w:val="null3"/>
            </w:pPr>
            <w:r>
              <w:rPr>
                <w:rFonts w:ascii="仿宋_GB2312" w:hAnsi="仿宋_GB2312" w:cs="仿宋_GB2312" w:eastAsia="仿宋_GB2312"/>
              </w:rPr>
              <w:t>供应商提供针对本项目的场地及专用工具设备情况，包括：①拍摄设备②拾音设备③灯光设备④剪辑工具⑤场地。每项满足得1分，满分5分。 注：提供设备或工具清单及其证明材料、场地证明材料，否则不计分。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提出针对本项目的人员配置方案，内容包括：①拟投入的服务团队人员结构②人员分工及职责③人员工作经验④人员管理制度。 各项内容全面详细、阐述条理清晰、对评审内容中的各项要求有详细描述及说明得6，每有一项缺项扣1.5分，每有一项内容存在一处缺陷扣0.5分，扣完为止。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供应商针对本项目提供进度安排，内容包括：①时间进度安排②各阶段进度控制③项目实施关键节点控制。 各项内容全面详细、阐述条理清晰、对评审内容中的各项要求有详细描述及说明得6，每有一项缺项扣2分，每有一项内容存在一处缺陷扣1分，扣完为止。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售后及培训方案</w:t>
            </w:r>
          </w:p>
        </w:tc>
        <w:tc>
          <w:tcPr>
            <w:tcW w:type="dxa" w:w="2492"/>
          </w:tcPr>
          <w:p>
            <w:pPr>
              <w:pStyle w:val="null3"/>
            </w:pPr>
            <w:r>
              <w:rPr>
                <w:rFonts w:ascii="仿宋_GB2312" w:hAnsi="仿宋_GB2312" w:cs="仿宋_GB2312" w:eastAsia="仿宋_GB2312"/>
              </w:rPr>
              <w:t>供应商针对本项目提供售后及培训方案，内容包括：①后期平台维护管理②后期课程修改完善③平台操作指导④课程运行指导⑤协助项目申报。 各项内容全面详细、阐述条理清晰、对评审内容中的各项要求有详细描述及说明得10，每有一项缺项扣2分，每有一项内容存在一处缺陷扣1分，扣完为止。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供应商采用课程原型系统或案例系统进行演示，主要针对“课程技术制作规范”内①视频内容、视频技术规格、动画技术规格；②知识图谱应用要求；③AI教学工具要求；④混合式课程运行服务技术要求；⑤平台功能等。 各项演示内容全面详细、阐述条理清晰、对评审内容中的各项要求有详细描述及说明得15，每有一项缺项扣3分，每有一项内容存在一处缺陷扣1分，扣完为止。 备注: 1.缺陷是指演示内容逻辑不清晰，套用其他项目内容与项目需求不匹配及其他不利于项目实施的等任意一种情形。 2.现场演示时间不超过15分钟（不含现场提问及解答时间）；演示要求供应商自备笔记本电脑及相关设备，演示时网络连接由供应商自行解决，演示地点同线下递交文件地点一致。</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1.提供自主研发或与其合作的国家级开放课程平台授权书或代理协议等证明，得2分。 2.提供平台教学服务管理应用软件著作权登记证，得2分。 3.提供国家信息安全等级保护二级及以上认证，得2分。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投标人提供2022年1月1日至今（以合同签订时间为准）类似项目业绩合同，每提供一份计1分，满分6分。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价格分统一采用低价优先法计算，即满足招标文件要求且投标价格最低的投标报价为投标基准价，其价格分为满分。其他投标人的价格分统一按照下列公式计算： 投标报价得分=(投标基准价／投标报价)×价格权值×100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详见附件：响应报价表、分项报价表.docx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详见附件：保证金缴纳凭证或担保机构出具的保函.docx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详见附件：响应报价表、分项报价表.docx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详见附件：保证金缴纳凭证或担保机构出具的保函.docx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