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版本号：KY2025-1-124020260105001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医疗设备(YYZB2024-03)采购项目2</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KY2025-1-1240</w:t>
      </w:r>
      <w:r>
        <w:br/>
      </w:r>
      <w:r>
        <w:br/>
      </w:r>
      <w:r>
        <w:br/>
      </w:r>
    </w:p>
    <w:p>
      <w:pPr>
        <w:pStyle w:val="null3"/>
        <w:jc w:val="center"/>
        <w:outlineLvl w:val="2"/>
      </w:pPr>
      <w:r>
        <w:rPr>
          <w:rFonts w:ascii="仿宋_GB2312" w:hAnsi="仿宋_GB2312" w:cs="仿宋_GB2312" w:eastAsia="仿宋_GB2312"/>
          <w:sz w:val="28"/>
          <w:b/>
        </w:rPr>
        <w:t>陕西省人民医院</w:t>
      </w:r>
    </w:p>
    <w:p>
      <w:pPr>
        <w:pStyle w:val="null3"/>
        <w:jc w:val="center"/>
        <w:outlineLvl w:val="2"/>
      </w:pPr>
      <w:r>
        <w:rPr>
          <w:rFonts w:ascii="仿宋_GB2312" w:hAnsi="仿宋_GB2312" w:cs="仿宋_GB2312" w:eastAsia="仿宋_GB2312"/>
          <w:sz w:val="28"/>
          <w:b/>
        </w:rPr>
        <w:t>陕西开源招标有限公司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2026年01月06日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陕西开源招标有限公司</w:t>
      </w:r>
      <w:r>
        <w:rPr>
          <w:rFonts w:ascii="仿宋_GB2312" w:hAnsi="仿宋_GB2312" w:cs="仿宋_GB2312" w:eastAsia="仿宋_GB2312"/>
        </w:rPr>
        <w:t>（以下简称“代理机构”）受</w:t>
      </w:r>
      <w:r>
        <w:rPr>
          <w:rFonts w:ascii="仿宋_GB2312" w:hAnsi="仿宋_GB2312" w:cs="仿宋_GB2312" w:eastAsia="仿宋_GB2312"/>
        </w:rPr>
        <w:t>陕西省人民医院</w:t>
      </w:r>
      <w:r>
        <w:rPr>
          <w:rFonts w:ascii="仿宋_GB2312" w:hAnsi="仿宋_GB2312" w:cs="仿宋_GB2312" w:eastAsia="仿宋_GB2312"/>
        </w:rPr>
        <w:t>委托，拟对</w:t>
      </w:r>
      <w:r>
        <w:rPr>
          <w:rFonts w:ascii="仿宋_GB2312" w:hAnsi="仿宋_GB2312" w:cs="仿宋_GB2312" w:eastAsia="仿宋_GB2312"/>
        </w:rPr>
        <w:t>医疗设备(YYZB2024-03)采购项目2</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KY2025-1-1240</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医疗设备(YYZB2024-03)采购项目2</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陕西省人民医院医疗设备(YYZB2024-03)采购项目2，1台，具体内容详见招标文件第3章。</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1、有效的主体资格证明：具有独立承担民事责任能力的法人、其他组织或自然人，并出具合法有效的营业执照或事业单位法人证书等国家规定的相关证明，自然人参与的提供其身份证明。</w:t>
      </w:r>
    </w:p>
    <w:p>
      <w:pPr>
        <w:pStyle w:val="null3"/>
      </w:pPr>
      <w:r>
        <w:rPr>
          <w:rFonts w:ascii="仿宋_GB2312" w:hAnsi="仿宋_GB2312" w:cs="仿宋_GB2312" w:eastAsia="仿宋_GB2312"/>
        </w:rPr>
        <w:t>2、财务状况报告：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p>
      <w:pPr>
        <w:pStyle w:val="null3"/>
      </w:pPr>
      <w:r>
        <w:rPr>
          <w:rFonts w:ascii="仿宋_GB2312" w:hAnsi="仿宋_GB2312" w:cs="仿宋_GB2312" w:eastAsia="仿宋_GB2312"/>
        </w:rPr>
        <w:t>3、税收缴纳证明：提供2025年1月至今已缴纳至少一个月的依法缴纳税款的相关凭据（时间以税款所属日期为准），凭据应有税务机关或代收机关的公章或业务专用章。依法免税或无须缴纳税款的投标人，应提供相关证明文件。</w:t>
      </w:r>
    </w:p>
    <w:p>
      <w:pPr>
        <w:pStyle w:val="null3"/>
      </w:pPr>
      <w:r>
        <w:rPr>
          <w:rFonts w:ascii="仿宋_GB2312" w:hAnsi="仿宋_GB2312" w:cs="仿宋_GB2312" w:eastAsia="仿宋_GB2312"/>
        </w:rPr>
        <w:t>4、社会保障资金缴纳证明：提供2025年1月至今已缴存的至少一个月的社会保障资金缴存单据或社保机构开具的社会保险参保缴费情况证明，依法不需要缴纳社会保障资金的单位应提供相关证明材料。</w:t>
      </w:r>
    </w:p>
    <w:p>
      <w:pPr>
        <w:pStyle w:val="null3"/>
      </w:pPr>
      <w:r>
        <w:rPr>
          <w:rFonts w:ascii="仿宋_GB2312" w:hAnsi="仿宋_GB2312" w:cs="仿宋_GB2312" w:eastAsia="仿宋_GB2312"/>
        </w:rPr>
        <w:t>5、书面声明：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p>
      <w:pPr>
        <w:pStyle w:val="null3"/>
      </w:pPr>
      <w:r>
        <w:rPr>
          <w:rFonts w:ascii="仿宋_GB2312" w:hAnsi="仿宋_GB2312" w:cs="仿宋_GB2312" w:eastAsia="仿宋_GB2312"/>
        </w:rPr>
        <w:t>6、承诺函：提供具有履行合同所必需的设备和专业技术能力的承诺函。</w:t>
      </w:r>
    </w:p>
    <w:p>
      <w:pPr>
        <w:pStyle w:val="null3"/>
      </w:pPr>
      <w:r>
        <w:rPr>
          <w:rFonts w:ascii="仿宋_GB2312" w:hAnsi="仿宋_GB2312" w:cs="仿宋_GB2312" w:eastAsia="仿宋_GB2312"/>
        </w:rPr>
        <w:t>7、法定代表人授权书：法定代表人参加投标的，须提供法定代表人身份证明；法定代表人授权本单位他人参加投标的，须提供法定代表人授权委托书并提供被授权人投标截止时间前六个月内任意一个月由投标单位缴纳的社保缴纳证明。</w:t>
      </w:r>
    </w:p>
    <w:p>
      <w:pPr>
        <w:pStyle w:val="null3"/>
      </w:pPr>
      <w:r>
        <w:rPr>
          <w:rFonts w:ascii="仿宋_GB2312" w:hAnsi="仿宋_GB2312" w:cs="仿宋_GB2312" w:eastAsia="仿宋_GB2312"/>
        </w:rPr>
        <w:t>8、特定资质1：投标人为代理商的应出具医疗器械经营许可证（或医疗器械经营备案凭证）和制造厂商的医疗器械生产许可证（或医疗器械生产备案凭证）；投标人为制造厂商的应出具医疗器械生产许可证（或医疗器械生产备案凭证）。</w:t>
      </w:r>
    </w:p>
    <w:p>
      <w:pPr>
        <w:pStyle w:val="null3"/>
      </w:pPr>
      <w:r>
        <w:rPr>
          <w:rFonts w:ascii="仿宋_GB2312" w:hAnsi="仿宋_GB2312" w:cs="仿宋_GB2312" w:eastAsia="仿宋_GB2312"/>
        </w:rPr>
        <w:t>9、特定资质2：所投产品如属于医疗器械应出具医疗器械注册证或医疗器械备案凭证。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陕西省人民医院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西安市友谊西路256号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710068</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陈老师</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029-85251331-2323</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陕西开源招标有限公司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西安市雁展路1111号莱安中心T6-15层</w:t>
      </w:r>
    </w:p>
    <w:p>
      <w:pPr>
        <w:pStyle w:val="null3"/>
      </w:pPr>
      <w:r>
        <w:rPr>
          <w:rFonts w:ascii="仿宋_GB2312" w:hAnsi="仿宋_GB2312" w:cs="仿宋_GB2312" w:eastAsia="仿宋_GB2312"/>
        </w:rPr>
        <w:t xml:space="preserve"> 邮编： </w:t>
      </w:r>
      <w:r>
        <w:rPr>
          <w:rFonts w:ascii="仿宋_GB2312" w:hAnsi="仿宋_GB2312" w:cs="仿宋_GB2312" w:eastAsia="仿宋_GB2312"/>
        </w:rPr>
        <w:t>716000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汪涛、牛佩文、刘金柯、卢韶华</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029-81206622-821</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财政厅政府采购管理处</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柴老师、杨老师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029-68936409、029-68936410</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采购包1：1,200,000.00元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如有</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如有</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采购包1保证金金额：15,000.00元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开户名称：陕西开源招标有限公司</w:t>
            </w:r>
          </w:p>
          <w:p>
            <w:pPr>
              <w:pStyle w:val="null3"/>
            </w:pPr>
            <w:r>
              <w:rPr>
                <w:rFonts w:ascii="仿宋_GB2312" w:hAnsi="仿宋_GB2312" w:cs="仿宋_GB2312" w:eastAsia="仿宋_GB2312"/>
              </w:rPr>
              <w:t>开户银行：交通银行西安甜水井街支行</w:t>
            </w:r>
          </w:p>
          <w:p>
            <w:pPr>
              <w:pStyle w:val="null3"/>
            </w:pPr>
            <w:r>
              <w:rPr>
                <w:rFonts w:ascii="仿宋_GB2312" w:hAnsi="仿宋_GB2312" w:cs="仿宋_GB2312" w:eastAsia="仿宋_GB2312"/>
              </w:rPr>
              <w:t>银行账号：86113010750181502000814</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1、交费金额参照国家计委颁布的《招标代理服务收费管理暂行办法》（计价格[2002]1980号）及发改办价格[2003]857号文件规定的招标代理服务收费标准，50万元（含）以下项目按照下浮40%进行收取；50万元（不含）以上的项目按照下浮43%进行收取。 2、本项目代理服务费按货物计取。</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陕西省人民医院</w:t>
      </w:r>
      <w:r>
        <w:rPr>
          <w:rFonts w:ascii="仿宋_GB2312" w:hAnsi="仿宋_GB2312" w:cs="仿宋_GB2312" w:eastAsia="仿宋_GB2312"/>
        </w:rPr>
        <w:t>和</w:t>
      </w:r>
      <w:r>
        <w:rPr>
          <w:rFonts w:ascii="仿宋_GB2312" w:hAnsi="仿宋_GB2312" w:cs="仿宋_GB2312" w:eastAsia="仿宋_GB2312"/>
        </w:rPr>
        <w:t>陕西开源招标有限公司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陕西省人民医院</w:t>
      </w:r>
      <w:r>
        <w:rPr>
          <w:rFonts w:ascii="仿宋_GB2312" w:hAnsi="仿宋_GB2312" w:cs="仿宋_GB2312" w:eastAsia="仿宋_GB2312"/>
        </w:rPr>
        <w:t>负责解释。除上述招标文件内容，其他内容由</w:t>
      </w:r>
      <w:r>
        <w:rPr>
          <w:rFonts w:ascii="仿宋_GB2312" w:hAnsi="仿宋_GB2312" w:cs="仿宋_GB2312" w:eastAsia="仿宋_GB2312"/>
        </w:rPr>
        <w:t>陕西开源招标有限公司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陕西省人民医院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陕西开源招标有限公司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陕西开源招标有限公司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陕西开源招标有限公司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联系人：汪涛、牛佩文</w:t>
      </w:r>
    </w:p>
    <w:p>
      <w:pPr>
        <w:pStyle w:val="null3"/>
      </w:pPr>
      <w:r>
        <w:rPr>
          <w:rFonts w:ascii="仿宋_GB2312" w:hAnsi="仿宋_GB2312" w:cs="仿宋_GB2312" w:eastAsia="仿宋_GB2312"/>
        </w:rPr>
        <w:t>联系电话：029-81206622-821</w:t>
      </w:r>
    </w:p>
    <w:p>
      <w:pPr>
        <w:pStyle w:val="null3"/>
      </w:pPr>
      <w:r>
        <w:rPr>
          <w:rFonts w:ascii="仿宋_GB2312" w:hAnsi="仿宋_GB2312" w:cs="仿宋_GB2312" w:eastAsia="仿宋_GB2312"/>
        </w:rPr>
        <w:t>地址：西安市雁展路1111号莱安中心T6-15层</w:t>
      </w:r>
    </w:p>
    <w:p>
      <w:pPr>
        <w:pStyle w:val="null3"/>
      </w:pPr>
      <w:r>
        <w:rPr>
          <w:rFonts w:ascii="仿宋_GB2312" w:hAnsi="仿宋_GB2312" w:cs="仿宋_GB2312" w:eastAsia="仿宋_GB2312"/>
        </w:rPr>
        <w:t>邮编：716000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陕西省人民医院医疗设备(YYZB2024-03)采购项目2，1台，具体内容详见技术要求。</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1,200,000.00</w:t>
      </w:r>
    </w:p>
    <w:p>
      <w:pPr>
        <w:pStyle w:val="null3"/>
      </w:pPr>
      <w:r>
        <w:rPr>
          <w:rFonts w:ascii="仿宋_GB2312" w:hAnsi="仿宋_GB2312" w:cs="仿宋_GB2312" w:eastAsia="仿宋_GB2312"/>
        </w:rPr>
        <w:t>采购包最高限价（元）: 850,000.00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超声波治疗仪</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标的名称：超声波治疗仪</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b/>
              </w:rPr>
              <w:t>一、采购清单</w:t>
            </w:r>
          </w:p>
          <w:tbl>
            <w:tblPr>
              <w:tblBorders>
                <w:top w:val="none" w:color="000000" w:sz="4"/>
                <w:left w:val="none" w:color="000000" w:sz="4"/>
                <w:bottom w:val="none" w:color="000000" w:sz="4"/>
                <w:right w:val="none" w:color="000000" w:sz="4"/>
                <w:insideH w:val="none"/>
                <w:insideV w:val="none"/>
              </w:tblBorders>
            </w:tblPr>
            <w:tblGrid>
              <w:gridCol w:w="301"/>
              <w:gridCol w:w="945"/>
              <w:gridCol w:w="614"/>
              <w:gridCol w:w="640"/>
            </w:tblGrid>
            <w:tr>
              <w:tc>
                <w:tcPr>
                  <w:tcW w:type="dxa" w:w="3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序号</w:t>
                  </w:r>
                </w:p>
              </w:tc>
              <w:tc>
                <w:tcPr>
                  <w:tcW w:type="dxa" w:w="94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设备名称</w:t>
                  </w:r>
                </w:p>
              </w:tc>
              <w:tc>
                <w:tcPr>
                  <w:tcW w:type="dxa" w:w="61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数量（台）</w:t>
                  </w:r>
                </w:p>
              </w:tc>
              <w:tc>
                <w:tcPr>
                  <w:tcW w:type="dxa" w:w="640"/>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b/>
                    </w:rPr>
                    <w:t>来源</w:t>
                  </w:r>
                </w:p>
              </w:tc>
            </w:tr>
            <w:tr>
              <w:tc>
                <w:tcPr>
                  <w:tcW w:type="dxa" w:w="3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94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超声波治疗仪</w:t>
                  </w:r>
                </w:p>
              </w:tc>
              <w:tc>
                <w:tcPr>
                  <w:tcW w:type="dxa" w:w="61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1</w:t>
                  </w:r>
                </w:p>
              </w:tc>
              <w:tc>
                <w:tcPr>
                  <w:tcW w:type="dxa" w:w="640"/>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rFonts w:ascii="仿宋_GB2312" w:hAnsi="仿宋_GB2312" w:cs="仿宋_GB2312" w:eastAsia="仿宋_GB2312"/>
                      <w:sz w:val="24"/>
                    </w:rPr>
                    <w:t>国产</w:t>
                  </w:r>
                </w:p>
              </w:tc>
            </w:tr>
          </w:tbl>
          <w:p>
            <w:pPr>
              <w:pStyle w:val="null3"/>
              <w:ind w:right="285"/>
              <w:jc w:val="both"/>
            </w:pPr>
            <w:r>
              <w:rPr>
                <w:rFonts w:ascii="仿宋_GB2312" w:hAnsi="仿宋_GB2312" w:cs="仿宋_GB2312" w:eastAsia="仿宋_GB2312"/>
                <w:sz w:val="24"/>
                <w:b/>
              </w:rPr>
              <w:t>二、技术参数</w:t>
            </w:r>
          </w:p>
          <w:p>
            <w:pPr>
              <w:pStyle w:val="null3"/>
              <w:ind w:right="285"/>
              <w:jc w:val="both"/>
            </w:pPr>
            <w:r>
              <w:rPr>
                <w:rFonts w:ascii="仿宋_GB2312" w:hAnsi="仿宋_GB2312" w:cs="仿宋_GB2312" w:eastAsia="仿宋_GB2312"/>
                <w:sz w:val="24"/>
              </w:rPr>
              <w:t>1.主要功能:通过聚焦超声波能量精准作用于皮肤不同层次，达到提拉紧致、淡化皱纹的效果。</w:t>
            </w:r>
          </w:p>
          <w:p>
            <w:pPr>
              <w:pStyle w:val="null3"/>
              <w:jc w:val="both"/>
            </w:pPr>
            <w:r>
              <w:rPr>
                <w:rFonts w:ascii="仿宋_GB2312" w:hAnsi="仿宋_GB2312" w:cs="仿宋_GB2312" w:eastAsia="仿宋_GB2312"/>
                <w:sz w:val="24"/>
              </w:rPr>
              <w:t>▲1.1.注册证适用范围:利用超声能量作用于面部，改善面部皮肤松弛</w:t>
            </w:r>
          </w:p>
          <w:p>
            <w:pPr>
              <w:pStyle w:val="null3"/>
              <w:jc w:val="both"/>
            </w:pPr>
            <w:r>
              <w:rPr>
                <w:rFonts w:ascii="仿宋_GB2312" w:hAnsi="仿宋_GB2312" w:cs="仿宋_GB2312" w:eastAsia="仿宋_GB2312"/>
                <w:sz w:val="24"/>
              </w:rPr>
              <w:t>2.技术参数</w:t>
            </w:r>
          </w:p>
          <w:p>
            <w:pPr>
              <w:pStyle w:val="null3"/>
              <w:jc w:val="both"/>
            </w:pPr>
            <w:r>
              <w:rPr>
                <w:rFonts w:ascii="仿宋_GB2312" w:hAnsi="仿宋_GB2312" w:cs="仿宋_GB2312" w:eastAsia="仿宋_GB2312"/>
                <w:sz w:val="24"/>
              </w:rPr>
              <w:t>2.1.主机显示屏≥15英寸</w:t>
            </w:r>
          </w:p>
          <w:p>
            <w:pPr>
              <w:pStyle w:val="null3"/>
              <w:jc w:val="both"/>
            </w:pPr>
            <w:r>
              <w:rPr>
                <w:rFonts w:ascii="仿宋_GB2312" w:hAnsi="仿宋_GB2312" w:cs="仿宋_GB2312" w:eastAsia="仿宋_GB2312"/>
                <w:sz w:val="24"/>
              </w:rPr>
              <w:t>2.2.波束类型：会聚型</w:t>
            </w:r>
          </w:p>
          <w:p>
            <w:pPr>
              <w:pStyle w:val="null3"/>
              <w:jc w:val="both"/>
            </w:pPr>
            <w:r>
              <w:rPr>
                <w:rFonts w:ascii="仿宋_GB2312" w:hAnsi="仿宋_GB2312" w:cs="仿宋_GB2312" w:eastAsia="仿宋_GB2312"/>
                <w:sz w:val="24"/>
              </w:rPr>
              <w:t>2.3.超声输出方式：脉冲式</w:t>
            </w:r>
          </w:p>
          <w:p>
            <w:pPr>
              <w:pStyle w:val="null3"/>
              <w:jc w:val="both"/>
            </w:pPr>
            <w:r>
              <w:rPr>
                <w:rFonts w:ascii="仿宋_GB2312" w:hAnsi="仿宋_GB2312" w:cs="仿宋_GB2312" w:eastAsia="仿宋_GB2312"/>
                <w:sz w:val="24"/>
              </w:rPr>
              <w:t>▲2.4.可选超声工作频率：≥2种，至少具备超声工作频率：4MHz±15%、6.5Mhz±15%</w:t>
            </w:r>
          </w:p>
          <w:p>
            <w:pPr>
              <w:pStyle w:val="null3"/>
              <w:jc w:val="both"/>
            </w:pPr>
            <w:r>
              <w:rPr>
                <w:rFonts w:ascii="仿宋_GB2312" w:hAnsi="仿宋_GB2312" w:cs="仿宋_GB2312" w:eastAsia="仿宋_GB2312"/>
                <w:sz w:val="24"/>
              </w:rPr>
              <w:t>2.5.焦平面距离：2.0mm、3.0mm、4.5mm</w:t>
            </w:r>
          </w:p>
          <w:p>
            <w:pPr>
              <w:pStyle w:val="null3"/>
              <w:jc w:val="both"/>
            </w:pPr>
            <w:r>
              <w:rPr>
                <w:rFonts w:ascii="仿宋_GB2312" w:hAnsi="仿宋_GB2312" w:cs="仿宋_GB2312" w:eastAsia="仿宋_GB2312"/>
                <w:sz w:val="24"/>
              </w:rPr>
              <w:t>▲2.6.额定输出声功率：≥9W，可分档调节</w:t>
            </w:r>
          </w:p>
          <w:p>
            <w:pPr>
              <w:pStyle w:val="null3"/>
              <w:jc w:val="both"/>
            </w:pPr>
            <w:r>
              <w:rPr>
                <w:rFonts w:ascii="仿宋_GB2312" w:hAnsi="仿宋_GB2312" w:cs="仿宋_GB2312" w:eastAsia="仿宋_GB2312"/>
                <w:sz w:val="24"/>
              </w:rPr>
              <w:t>2.7.输出声功率的时间稳定性：设备连续工作0.5小时内，额定输出声功率的变化应不超过±20%</w:t>
            </w:r>
          </w:p>
          <w:p>
            <w:pPr>
              <w:pStyle w:val="null3"/>
              <w:jc w:val="both"/>
            </w:pPr>
            <w:r>
              <w:rPr>
                <w:rFonts w:ascii="仿宋_GB2312" w:hAnsi="仿宋_GB2312" w:cs="仿宋_GB2312" w:eastAsia="仿宋_GB2312"/>
                <w:sz w:val="24"/>
              </w:rPr>
              <w:t>2.8.具备定时器功能，在预定时间到达后停止治疗头超声输出并给出指示信号</w:t>
            </w:r>
          </w:p>
          <w:p>
            <w:pPr>
              <w:pStyle w:val="null3"/>
              <w:jc w:val="both"/>
            </w:pPr>
            <w:r>
              <w:rPr>
                <w:rFonts w:ascii="仿宋_GB2312" w:hAnsi="仿宋_GB2312" w:cs="仿宋_GB2312" w:eastAsia="仿宋_GB2312"/>
                <w:sz w:val="24"/>
              </w:rPr>
              <w:t>2.9.输出指示：功率指示值与实际值偏差≤±20%范围内</w:t>
            </w:r>
          </w:p>
          <w:p>
            <w:pPr>
              <w:pStyle w:val="null3"/>
              <w:jc w:val="both"/>
            </w:pPr>
            <w:r>
              <w:rPr>
                <w:rFonts w:ascii="仿宋_GB2312" w:hAnsi="仿宋_GB2312" w:cs="仿宋_GB2312" w:eastAsia="仿宋_GB2312"/>
                <w:sz w:val="24"/>
              </w:rPr>
              <w:t>2.10.侧壁不需要的超声辐射：≤100mW/cm2</w:t>
            </w:r>
          </w:p>
          <w:p>
            <w:pPr>
              <w:pStyle w:val="null3"/>
              <w:jc w:val="both"/>
            </w:pPr>
            <w:r>
              <w:rPr>
                <w:rFonts w:ascii="仿宋_GB2312" w:hAnsi="仿宋_GB2312" w:cs="仿宋_GB2312" w:eastAsia="仿宋_GB2312"/>
                <w:sz w:val="24"/>
              </w:rPr>
              <w:t>2.11.治疗头超温：≤41℃</w:t>
            </w:r>
          </w:p>
          <w:p>
            <w:pPr>
              <w:pStyle w:val="null3"/>
              <w:jc w:val="both"/>
            </w:pPr>
            <w:r>
              <w:rPr>
                <w:rFonts w:ascii="仿宋_GB2312" w:hAnsi="仿宋_GB2312" w:cs="仿宋_GB2312" w:eastAsia="仿宋_GB2312"/>
                <w:sz w:val="24"/>
              </w:rPr>
              <w:t>2.12.噪声：≤65dB(A)</w:t>
            </w:r>
          </w:p>
          <w:p>
            <w:pPr>
              <w:pStyle w:val="null3"/>
              <w:jc w:val="both"/>
            </w:pPr>
            <w:r>
              <w:rPr>
                <w:rFonts w:ascii="仿宋_GB2312" w:hAnsi="仿宋_GB2312" w:cs="仿宋_GB2312" w:eastAsia="仿宋_GB2312"/>
                <w:sz w:val="24"/>
              </w:rPr>
              <w:t>2.13.脚踏开关防进液的防护程度≥IPX8；</w:t>
            </w:r>
          </w:p>
          <w:p>
            <w:pPr>
              <w:pStyle w:val="null3"/>
              <w:jc w:val="both"/>
            </w:pPr>
            <w:r>
              <w:rPr>
                <w:rFonts w:ascii="仿宋_GB2312" w:hAnsi="仿宋_GB2312" w:cs="仿宋_GB2312" w:eastAsia="仿宋_GB2312"/>
                <w:sz w:val="24"/>
              </w:rPr>
              <w:t>2.14.超声炮治疗手柄针对不同治疗层次可选治疗头：D2.0、D3.0、D4.5。</w:t>
            </w:r>
          </w:p>
          <w:p>
            <w:pPr>
              <w:pStyle w:val="null3"/>
              <w:jc w:val="both"/>
            </w:pPr>
            <w:r>
              <w:rPr>
                <w:rFonts w:ascii="仿宋_GB2312" w:hAnsi="仿宋_GB2312" w:cs="仿宋_GB2312" w:eastAsia="仿宋_GB2312"/>
                <w:sz w:val="24"/>
              </w:rPr>
              <w:t>2.15.超声炮治疗手柄具备滑动传感器检测功能，手柄停止运动立即停止输出超声能量</w:t>
            </w:r>
          </w:p>
          <w:p>
            <w:pPr>
              <w:pStyle w:val="null3"/>
              <w:jc w:val="both"/>
            </w:pPr>
            <w:r>
              <w:rPr>
                <w:rFonts w:ascii="仿宋_GB2312" w:hAnsi="仿宋_GB2312" w:cs="仿宋_GB2312" w:eastAsia="仿宋_GB2312"/>
                <w:sz w:val="24"/>
              </w:rPr>
              <w:t>2.16.超声刀治疗手柄：治疗头与手柄一体化设计</w:t>
            </w:r>
          </w:p>
          <w:p>
            <w:pPr>
              <w:pStyle w:val="null3"/>
              <w:jc w:val="both"/>
            </w:pPr>
            <w:r>
              <w:rPr>
                <w:rFonts w:ascii="仿宋_GB2312" w:hAnsi="仿宋_GB2312" w:cs="仿宋_GB2312" w:eastAsia="仿宋_GB2312"/>
                <w:sz w:val="24"/>
              </w:rPr>
              <w:t>▲2.17.治疗头发数：单个超声刀治疗头≥4.5万发</w:t>
            </w:r>
          </w:p>
          <w:p>
            <w:pPr>
              <w:pStyle w:val="null3"/>
              <w:jc w:val="both"/>
            </w:pPr>
            <w:r>
              <w:rPr>
                <w:rFonts w:ascii="仿宋_GB2312" w:hAnsi="仿宋_GB2312" w:cs="仿宋_GB2312" w:eastAsia="仿宋_GB2312"/>
                <w:sz w:val="24"/>
              </w:rPr>
              <w:t>2.18.治疗头发数：单个超声炮治疗头为≥45万发</w:t>
            </w:r>
          </w:p>
          <w:p>
            <w:pPr>
              <w:pStyle w:val="null3"/>
              <w:jc w:val="both"/>
            </w:pPr>
            <w:r>
              <w:rPr>
                <w:rFonts w:ascii="仿宋_GB2312" w:hAnsi="仿宋_GB2312" w:cs="仿宋_GB2312" w:eastAsia="仿宋_GB2312"/>
                <w:sz w:val="24"/>
              </w:rPr>
              <w:t>2.19.开机可自定义开机密码，避免非专业人员误操作。</w:t>
            </w:r>
          </w:p>
          <w:p>
            <w:pPr>
              <w:pStyle w:val="null3"/>
              <w:jc w:val="both"/>
            </w:pPr>
            <w:r>
              <w:rPr>
                <w:rFonts w:ascii="仿宋_GB2312" w:hAnsi="仿宋_GB2312" w:cs="仿宋_GB2312" w:eastAsia="仿宋_GB2312"/>
                <w:sz w:val="24"/>
              </w:rPr>
              <w:t>2.20.系统支持新建客户档案，方便随时查看患者的历史诊疗记录</w:t>
            </w:r>
          </w:p>
          <w:p>
            <w:pPr>
              <w:pStyle w:val="null3"/>
              <w:jc w:val="both"/>
            </w:pPr>
            <w:r>
              <w:rPr>
                <w:rFonts w:ascii="仿宋_GB2312" w:hAnsi="仿宋_GB2312" w:cs="仿宋_GB2312" w:eastAsia="仿宋_GB2312"/>
                <w:sz w:val="24"/>
              </w:rPr>
              <w:t>2.21.治疗界面多种参数可调，包括输出功率、点间隔、长度、定时</w:t>
            </w:r>
          </w:p>
          <w:p>
            <w:pPr>
              <w:pStyle w:val="null3"/>
              <w:jc w:val="both"/>
            </w:pPr>
            <w:r>
              <w:rPr>
                <w:rFonts w:ascii="仿宋_GB2312" w:hAnsi="仿宋_GB2312" w:cs="仿宋_GB2312" w:eastAsia="仿宋_GB2312"/>
                <w:sz w:val="24"/>
              </w:rPr>
              <w:t>2.22.主机具备外部存储卡槽，支持内存卡插拔，便于治疗数据提取</w:t>
            </w:r>
          </w:p>
          <w:p>
            <w:pPr>
              <w:pStyle w:val="null3"/>
              <w:jc w:val="both"/>
            </w:pPr>
            <w:r>
              <w:rPr>
                <w:rFonts w:ascii="仿宋_GB2312" w:hAnsi="仿宋_GB2312" w:cs="仿宋_GB2312" w:eastAsia="仿宋_GB2312"/>
                <w:sz w:val="24"/>
              </w:rPr>
              <w:t>2.23.同一设备最多可同时连接≥3把超声治疗手柄</w:t>
            </w:r>
          </w:p>
          <w:p>
            <w:pPr>
              <w:pStyle w:val="null3"/>
              <w:jc w:val="both"/>
            </w:pPr>
            <w:r>
              <w:rPr>
                <w:rFonts w:ascii="仿宋_GB2312" w:hAnsi="仿宋_GB2312" w:cs="仿宋_GB2312" w:eastAsia="仿宋_GB2312"/>
                <w:sz w:val="24"/>
              </w:rPr>
              <w:t>▲2.24.超声炮手柄治疗模式≥4种，频率可调，最高≥35Hz</w:t>
            </w:r>
          </w:p>
          <w:p>
            <w:pPr>
              <w:pStyle w:val="null3"/>
              <w:jc w:val="both"/>
            </w:pPr>
            <w:r>
              <w:rPr>
                <w:rFonts w:ascii="仿宋_GB2312" w:hAnsi="仿宋_GB2312" w:cs="仿宋_GB2312" w:eastAsia="仿宋_GB2312"/>
                <w:sz w:val="24"/>
              </w:rPr>
              <w:t>2.25.超声炮手柄治疗模式具备单发模式</w:t>
            </w:r>
          </w:p>
          <w:p>
            <w:pPr>
              <w:pStyle w:val="null3"/>
              <w:jc w:val="both"/>
            </w:pPr>
            <w:r>
              <w:rPr>
                <w:rFonts w:ascii="仿宋_GB2312" w:hAnsi="仿宋_GB2312" w:cs="仿宋_GB2312" w:eastAsia="仿宋_GB2312"/>
                <w:sz w:val="24"/>
              </w:rPr>
              <w:t>2.26.设备设计使用年限≥8年</w:t>
            </w:r>
          </w:p>
          <w:p>
            <w:pPr>
              <w:pStyle w:val="null3"/>
              <w:jc w:val="both"/>
            </w:pPr>
            <w:r>
              <w:rPr>
                <w:rFonts w:ascii="仿宋_GB2312" w:hAnsi="仿宋_GB2312" w:cs="仿宋_GB2312" w:eastAsia="仿宋_GB2312"/>
                <w:sz w:val="24"/>
              </w:rPr>
              <w:t>3.配置要求：主机1台，超声刀手柄2个，超声炮手柄1个,台车1台，脚踏开关组件1套。</w:t>
            </w:r>
          </w:p>
          <w:p>
            <w:pPr>
              <w:pStyle w:val="null3"/>
              <w:ind w:right="285"/>
              <w:jc w:val="both"/>
            </w:pPr>
            <w:r>
              <w:rPr>
                <w:rFonts w:ascii="仿宋_GB2312" w:hAnsi="仿宋_GB2312" w:cs="仿宋_GB2312" w:eastAsia="仿宋_GB2312"/>
                <w:sz w:val="24"/>
                <w:b/>
              </w:rPr>
              <w:t>三、其他要求</w:t>
            </w:r>
          </w:p>
          <w:p>
            <w:pPr>
              <w:pStyle w:val="null3"/>
              <w:jc w:val="both"/>
            </w:pPr>
            <w:r>
              <w:rPr>
                <w:rFonts w:ascii="仿宋_GB2312" w:hAnsi="仿宋_GB2312" w:cs="仿宋_GB2312" w:eastAsia="仿宋_GB2312"/>
                <w:sz w:val="24"/>
              </w:rPr>
              <w:t>1.售后要求：</w:t>
            </w:r>
            <w:r>
              <w:rPr>
                <w:rFonts w:ascii="仿宋_GB2312" w:hAnsi="仿宋_GB2312" w:cs="仿宋_GB2312" w:eastAsia="仿宋_GB2312"/>
                <w:sz w:val="24"/>
              </w:rPr>
              <w:t>售后服务响应时间（质保期内）：即时响应（包括电话响应）；电话响应无法</w:t>
            </w:r>
            <w:r>
              <w:rPr>
                <w:rFonts w:ascii="仿宋_GB2312" w:hAnsi="仿宋_GB2312" w:cs="仿宋_GB2312" w:eastAsia="仿宋_GB2312"/>
                <w:sz w:val="24"/>
              </w:rPr>
              <w:t>解决</w:t>
            </w:r>
            <w:r>
              <w:rPr>
                <w:rFonts w:ascii="仿宋_GB2312" w:hAnsi="仿宋_GB2312" w:cs="仿宋_GB2312" w:eastAsia="仿宋_GB2312"/>
                <w:sz w:val="24"/>
              </w:rPr>
              <w:t>2小时内到达现场。修复时间24小时内解决；如在72小时内无法修复，则提供部件冗余服务或采取应急措施，提供相同产品或不低于故障产品规格档次的备用产品供采购人使用，以确保货物的正常使用。</w:t>
            </w:r>
          </w:p>
          <w:p>
            <w:pPr>
              <w:pStyle w:val="null3"/>
            </w:pPr>
            <w:r>
              <w:rPr>
                <w:rFonts w:ascii="仿宋_GB2312" w:hAnsi="仿宋_GB2312" w:cs="仿宋_GB2312" w:eastAsia="仿宋_GB2312"/>
                <w:sz w:val="24"/>
              </w:rPr>
              <w:t>2.培训要求：现场培训。</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合同签订之日起，接甲方通知后30日内完成交付、安装及调试。</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陕西省人民医院指定地点。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设备全部到货（因甲方场地等原因无法安装，以到货时间计算）或设备全部验收合格后</w:t>
      </w:r>
      <w:r>
        <w:rPr>
          <w:rFonts w:ascii="仿宋_GB2312" w:hAnsi="仿宋_GB2312" w:cs="仿宋_GB2312" w:eastAsia="仿宋_GB2312"/>
        </w:rPr>
        <w:t xml:space="preserve"> ，达到付款条件起 </w:t>
      </w:r>
      <w:r>
        <w:rPr>
          <w:rFonts w:ascii="仿宋_GB2312" w:hAnsi="仿宋_GB2312" w:cs="仿宋_GB2312" w:eastAsia="仿宋_GB2312"/>
        </w:rPr>
        <w:t>60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1、招标文件、投标文件、澄清表（函）； 2、合同及附件文本； 3、国家相应的标准、规范。</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验收合格通过之日起不少于3年。</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按招标文件、投标文件及合同约定执行。</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1、投标人需要在线提交所有通过电子化交易平台实施的政府采购项目的投标文件，同时，线下提交纸质投标文件正本壹份、副本贰份、电子版壹份（U盘壹份）。 2、纸质投标文件正本、副本、电子版，标明投标人名称分开密封递交（投标文件采用双面打印）。 3、线下纸质投标文件递交截止时间：同在线递交电子投标文件截止时间一致；线下纸质投标文件递交地点：西安市雁展路1111号莱安中心T6-15层。如需邮寄投标文件，仅接受顺丰速运（联系人：汪涛、联系电话：029-81206622-821）。 4、保证金的退还：自中标通知书发出之日起5个工作日内退还未中标人的投标保证金,自采购合同签订之日起5个工作日内退还中标人的投标保证金。</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投标人资格条件证明文件.docx 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有效的主体资格证明</w:t>
            </w:r>
          </w:p>
        </w:tc>
        <w:tc>
          <w:tcPr>
            <w:tcW w:type="dxa" w:w="3322"/>
          </w:tcPr>
          <w:p>
            <w:pPr>
              <w:pStyle w:val="null3"/>
            </w:pPr>
            <w:r>
              <w:rPr>
                <w:rFonts w:ascii="仿宋_GB2312" w:hAnsi="仿宋_GB2312" w:cs="仿宋_GB2312" w:eastAsia="仿宋_GB2312"/>
              </w:rPr>
              <w:t>具有独立承担民事责任能力的法人、其他组织或自然人，并出具合法有效的营业执照或事业单位法人证书等国家规定的相关证明，自然人参与的提供其身份证明。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2024年度经审计的财务报告（包括“四表一注”，即资产负债表、利润表、现金流量表、所有者权益变动表及其附注，成立时间至提交投标文件截止时间不足一年的可提供成立后任意时段的资产负债表），或其开标前六个月内银行出具的资信证明，或信用担保机构出具的投标担保函。（以上三种形式的资料提供任何一种即可）。</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提供2025年1月至今已缴纳至少一个月的依法缴纳税款的相关凭据（时间以税款所属日期为准），凭据应有税务机关或代收机关的公章或业务专用章。依法免税或无须缴纳税款的投标人，应提供相关证明文件。</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提供2025年1月至今已缴存的至少一个月的社会保障资金缴存单据或社保机构开具的社会保险参保缴费情况证明，依法不需要缴纳社会保障资金的单位应提供相关证明材料。</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参加本次政府采购活动前三年内在经营活动中没有重大违法记录，以及未被列入失信被执行人、重大税收违法失信主体、政府采购严重违法失信行为记录名单的书面声明。本项目拒绝被列入失信被执行人、重大税收违法失信主体、政府采购严重违法失信行为的投标人参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承诺函</w:t>
            </w:r>
          </w:p>
        </w:tc>
        <w:tc>
          <w:tcPr>
            <w:tcW w:type="dxa" w:w="3322"/>
          </w:tcPr>
          <w:p>
            <w:pPr>
              <w:pStyle w:val="null3"/>
            </w:pPr>
            <w:r>
              <w:rPr>
                <w:rFonts w:ascii="仿宋_GB2312" w:hAnsi="仿宋_GB2312" w:cs="仿宋_GB2312" w:eastAsia="仿宋_GB2312"/>
              </w:rPr>
              <w:t>提供具有履行合同所必需的设备和专业技术能力的承诺函。</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法定代表人授权书</w:t>
            </w:r>
          </w:p>
        </w:tc>
        <w:tc>
          <w:tcPr>
            <w:tcW w:type="dxa" w:w="3322"/>
          </w:tcPr>
          <w:p>
            <w:pPr>
              <w:pStyle w:val="null3"/>
            </w:pPr>
            <w:r>
              <w:rPr>
                <w:rFonts w:ascii="仿宋_GB2312" w:hAnsi="仿宋_GB2312" w:cs="仿宋_GB2312" w:eastAsia="仿宋_GB2312"/>
              </w:rPr>
              <w:t>法定代表人参加投标的，须提供法定代表人身份证明；法定代表人授权本单位他人参加投标的，须提供法定代表人授权委托书并提供被授权人投标截止时间前六个月内任意一个月由投标单位缴纳的社保缴纳证明。</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特定资质1</w:t>
            </w:r>
          </w:p>
        </w:tc>
        <w:tc>
          <w:tcPr>
            <w:tcW w:type="dxa" w:w="3322"/>
          </w:tcPr>
          <w:p>
            <w:pPr>
              <w:pStyle w:val="null3"/>
            </w:pPr>
            <w:r>
              <w:rPr>
                <w:rFonts w:ascii="仿宋_GB2312" w:hAnsi="仿宋_GB2312" w:cs="仿宋_GB2312" w:eastAsia="仿宋_GB2312"/>
              </w:rPr>
              <w:t>投标人为代理商的应出具医疗器械经营许可证（或医疗器械经营备案凭证）和制造厂商的医疗器械生产许可证（或医疗器械生产备案凭证）；投标人为制造厂商的应出具医疗器械生产许可证（或医疗器械生产备案凭证）。</w:t>
            </w:r>
          </w:p>
        </w:tc>
        <w:tc>
          <w:tcPr>
            <w:tcW w:type="dxa" w:w="1661"/>
          </w:tcPr>
          <w:p>
            <w:pPr>
              <w:pStyle w:val="null3"/>
            </w:pPr>
            <w:r>
              <w:rPr>
                <w:rFonts w:ascii="仿宋_GB2312" w:hAnsi="仿宋_GB2312" w:cs="仿宋_GB2312" w:eastAsia="仿宋_GB2312"/>
              </w:rPr>
              <w:t>投标人资格条件证明文件.docx</w:t>
            </w:r>
          </w:p>
        </w:tc>
      </w:tr>
      <w:tr>
        <w:tc>
          <w:tcPr>
            <w:tcW w:type="dxa" w:w="831"/>
          </w:tcPr>
          <w:p>
            <w:pPr>
              <w:pStyle w:val="null3"/>
            </w:pPr>
            <w:r>
              <w:rPr>
                <w:rFonts w:ascii="仿宋_GB2312" w:hAnsi="仿宋_GB2312" w:cs="仿宋_GB2312" w:eastAsia="仿宋_GB2312"/>
              </w:rPr>
              <w:t>9</w:t>
            </w:r>
          </w:p>
        </w:tc>
        <w:tc>
          <w:tcPr>
            <w:tcW w:type="dxa" w:w="2492"/>
          </w:tcPr>
          <w:p>
            <w:pPr>
              <w:pStyle w:val="null3"/>
            </w:pPr>
            <w:r>
              <w:rPr>
                <w:rFonts w:ascii="仿宋_GB2312" w:hAnsi="仿宋_GB2312" w:cs="仿宋_GB2312" w:eastAsia="仿宋_GB2312"/>
              </w:rPr>
              <w:t>特定资质2</w:t>
            </w:r>
          </w:p>
        </w:tc>
        <w:tc>
          <w:tcPr>
            <w:tcW w:type="dxa" w:w="3322"/>
          </w:tcPr>
          <w:p>
            <w:pPr>
              <w:pStyle w:val="null3"/>
            </w:pPr>
            <w:r>
              <w:rPr>
                <w:rFonts w:ascii="仿宋_GB2312" w:hAnsi="仿宋_GB2312" w:cs="仿宋_GB2312" w:eastAsia="仿宋_GB2312"/>
              </w:rPr>
              <w:t>所投产品如属于医疗器械应出具医疗器械注册证或医疗器械备案凭证。</w:t>
            </w:r>
          </w:p>
        </w:tc>
        <w:tc>
          <w:tcPr>
            <w:tcW w:type="dxa" w:w="1661"/>
          </w:tcPr>
          <w:p>
            <w:pPr>
              <w:pStyle w:val="null3"/>
            </w:pPr>
            <w:r>
              <w:rPr>
                <w:rFonts w:ascii="仿宋_GB2312" w:hAnsi="仿宋_GB2312" w:cs="仿宋_GB2312" w:eastAsia="仿宋_GB2312"/>
              </w:rPr>
              <w:t>投标人资格条件证明文件.docx</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分项报价表.docx 标的清单 报价表.docx</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投标人名称</w:t>
            </w:r>
          </w:p>
        </w:tc>
        <w:tc>
          <w:tcPr>
            <w:tcW w:type="dxa" w:w="3322"/>
          </w:tcPr>
          <w:p>
            <w:pPr>
              <w:pStyle w:val="null3"/>
            </w:pPr>
            <w:r>
              <w:rPr>
                <w:rFonts w:ascii="仿宋_GB2312" w:hAnsi="仿宋_GB2312" w:cs="仿宋_GB2312" w:eastAsia="仿宋_GB2312"/>
              </w:rPr>
              <w:t>投标人名称与营业执照、资质证书一致</w:t>
            </w:r>
          </w:p>
        </w:tc>
        <w:tc>
          <w:tcPr>
            <w:tcW w:type="dxa" w:w="1661"/>
          </w:tcPr>
          <w:p>
            <w:pPr>
              <w:pStyle w:val="null3"/>
            </w:pPr>
            <w:r>
              <w:rPr>
                <w:rFonts w:ascii="仿宋_GB2312" w:hAnsi="仿宋_GB2312" w:cs="仿宋_GB2312" w:eastAsia="仿宋_GB2312"/>
              </w:rPr>
              <w:t>投标人资格条件证明文件.docx 投标方案说明.docx 中小企业声明函 技术指标偏差表.docx 商务条款响应说明.docx 分项报价表.docx 投标函 残疾人福利性单位声明函 保证金交纳凭证.docx 标的清单 投标文件封面 报价表.docx 投标人承诺书.docx 监狱企业的证明文件</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投标文件按招标文件要求签署、盖章</w:t>
            </w:r>
          </w:p>
        </w:tc>
        <w:tc>
          <w:tcPr>
            <w:tcW w:type="dxa" w:w="1661"/>
          </w:tcPr>
          <w:p>
            <w:pPr>
              <w:pStyle w:val="null3"/>
            </w:pPr>
            <w:r>
              <w:rPr>
                <w:rFonts w:ascii="仿宋_GB2312" w:hAnsi="仿宋_GB2312" w:cs="仿宋_GB2312" w:eastAsia="仿宋_GB2312"/>
              </w:rPr>
              <w:t>投标人资格条件证明文件.docx 投标方案说明.docx 中小企业声明函 技术指标偏差表.docx 商务条款响应说明.docx 分项报价表.docx 投标函 残疾人福利性单位声明函 保证金交纳凭证.docx 标的清单 投标文件封面 报价表.docx 投标人承诺书.docx 监狱企业的证明文件</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投标有效期</w:t>
            </w:r>
          </w:p>
        </w:tc>
        <w:tc>
          <w:tcPr>
            <w:tcW w:type="dxa" w:w="3322"/>
          </w:tcPr>
          <w:p>
            <w:pPr>
              <w:pStyle w:val="null3"/>
            </w:pPr>
            <w:r>
              <w:rPr>
                <w:rFonts w:ascii="仿宋_GB2312" w:hAnsi="仿宋_GB2312" w:cs="仿宋_GB2312" w:eastAsia="仿宋_GB2312"/>
              </w:rPr>
              <w:t>投标有效期达到招标文件要求</w:t>
            </w:r>
          </w:p>
        </w:tc>
        <w:tc>
          <w:tcPr>
            <w:tcW w:type="dxa" w:w="1661"/>
          </w:tcPr>
          <w:p>
            <w:pPr>
              <w:pStyle w:val="null3"/>
            </w:pPr>
            <w:r>
              <w:rPr>
                <w:rFonts w:ascii="仿宋_GB2312" w:hAnsi="仿宋_GB2312" w:cs="仿宋_GB2312" w:eastAsia="仿宋_GB2312"/>
              </w:rPr>
              <w:t>投标函</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保证金缴纳符合招标文件要求</w:t>
            </w:r>
          </w:p>
        </w:tc>
        <w:tc>
          <w:tcPr>
            <w:tcW w:type="dxa" w:w="1661"/>
          </w:tcPr>
          <w:p>
            <w:pPr>
              <w:pStyle w:val="null3"/>
            </w:pPr>
            <w:r>
              <w:rPr>
                <w:rFonts w:ascii="仿宋_GB2312" w:hAnsi="仿宋_GB2312" w:cs="仿宋_GB2312" w:eastAsia="仿宋_GB2312"/>
              </w:rPr>
              <w:t>保证金交纳凭证.docx</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其他实质性要求</w:t>
            </w:r>
          </w:p>
        </w:tc>
        <w:tc>
          <w:tcPr>
            <w:tcW w:type="dxa" w:w="3322"/>
          </w:tcPr>
          <w:p>
            <w:pPr>
              <w:pStyle w:val="null3"/>
            </w:pPr>
            <w:r>
              <w:rPr>
                <w:rFonts w:ascii="仿宋_GB2312" w:hAnsi="仿宋_GB2312" w:cs="仿宋_GB2312" w:eastAsia="仿宋_GB2312"/>
              </w:rPr>
              <w:t>符合法律、法规和招标文件中规定的其他实质性要求</w:t>
            </w:r>
          </w:p>
        </w:tc>
        <w:tc>
          <w:tcPr>
            <w:tcW w:type="dxa" w:w="1661"/>
          </w:tcPr>
          <w:p>
            <w:pPr>
              <w:pStyle w:val="null3"/>
            </w:pPr>
            <w:r>
              <w:rPr>
                <w:rFonts w:ascii="仿宋_GB2312" w:hAnsi="仿宋_GB2312" w:cs="仿宋_GB2312" w:eastAsia="仿宋_GB2312"/>
              </w:rPr>
              <w:t>投标人资格条件证明文件.docx 投标方案说明.docx 中小企业声明函 技术指标偏差表.docx 商务条款响应说明.docx 分项报价表.docx 投标函 残疾人福利性单位声明函 保证金交纳凭证.docx 标的清单 投标文件封面 报价表.docx 投标人承诺书.docx 监狱企业的证明文件</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节能环保</w:t>
            </w:r>
          </w:p>
        </w:tc>
        <w:tc>
          <w:tcPr>
            <w:tcW w:type="dxa" w:w="2492"/>
          </w:tcPr>
          <w:p>
            <w:pPr>
              <w:pStyle w:val="null3"/>
            </w:pPr>
            <w:r>
              <w:rPr>
                <w:rFonts w:ascii="仿宋_GB2312" w:hAnsi="仿宋_GB2312" w:cs="仿宋_GB2312" w:eastAsia="仿宋_GB2312"/>
              </w:rPr>
              <w:t>投标产品中每有一项为节能产品经国家认证的计0.5分，每有一项为环境标志产品经国家认证的计0.5分，投标人投标产品中每有一项产品同时为节能产品和环境标志产品计1分，最多计1分。（以经国家确定的认证机构出具的、处于有效期内的节能产品、环境标志产品认证证书为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参数响应度</w:t>
            </w:r>
          </w:p>
        </w:tc>
        <w:tc>
          <w:tcPr>
            <w:tcW w:type="dxa" w:w="2492"/>
          </w:tcPr>
          <w:p>
            <w:pPr>
              <w:pStyle w:val="null3"/>
            </w:pPr>
            <w:r>
              <w:rPr>
                <w:rFonts w:ascii="仿宋_GB2312" w:hAnsi="仿宋_GB2312" w:cs="仿宋_GB2312" w:eastAsia="仿宋_GB2312"/>
              </w:rPr>
              <w:t>投标产品的技术指标评审：完全响应或优于计45分。“▲”号技术参数一项不符合扣分分值为：投标总价（以万元为单位）除以20，非“▲”号技术参数一项不满足扣分分值为：投标总价（以万元为单位）除以100；扣完为止。 加注“▲”号的主要参数须提供技术支持资料，技术支持资料指制造商公开发布的印刷资料（技术白皮书、图片等技术标准资料）或检测机构出具的检测报告或技术说明书，未提供有效支持依据的可按负偏离处理。（对应参数证明材料标注页码）</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投标产品响应的规范性</w:t>
            </w:r>
          </w:p>
        </w:tc>
        <w:tc>
          <w:tcPr>
            <w:tcW w:type="dxa" w:w="2492"/>
          </w:tcPr>
          <w:p>
            <w:pPr>
              <w:pStyle w:val="null3"/>
            </w:pPr>
            <w:r>
              <w:rPr>
                <w:rFonts w:ascii="仿宋_GB2312" w:hAnsi="仿宋_GB2312" w:cs="仿宋_GB2312" w:eastAsia="仿宋_GB2312"/>
              </w:rPr>
              <w:t>根据投标产品响应的规范性进行评审： 1、投标产品技术响应完整详细、科学规范、可行度高，配套服务方案全面详细，计 5 分； 2、投标产品技术响应基本完整、规范，可行，配套服务方案全面计4分； 3、投标产品技术响应基本完整、规范，可行性，配套服务方案基本全面，有轻微瑕疵，计3分； 4、投标产品技术响应完整性、规范性、可行度一般，配套服务方案一般，计2分； 5、投标产品技术响应内容有缺陷或完全拷贝参数要求未进行细化响应，配套服务方案粗略，计1分； 6、其他情况不计分。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产品的先进性和可靠性</w:t>
            </w:r>
          </w:p>
        </w:tc>
        <w:tc>
          <w:tcPr>
            <w:tcW w:type="dxa" w:w="2492"/>
          </w:tcPr>
          <w:p>
            <w:pPr>
              <w:pStyle w:val="null3"/>
            </w:pPr>
            <w:r>
              <w:rPr>
                <w:rFonts w:ascii="仿宋_GB2312" w:hAnsi="仿宋_GB2312" w:cs="仿宋_GB2312" w:eastAsia="仿宋_GB2312"/>
              </w:rPr>
              <w:t>根据所投产品性能稳定性、质量可靠性、技术先进性等方面进行评审： 1、所投产品技术成熟度高、性能可靠性强、关键部件匹配性强，完全符合用户需求，计4分； 2、所投产品技术成熟度、性能可靠性、关键部件匹配性基本满足用户需求，但存在不足的，计3分； 3、所投产品技术成熟度、性能可靠性、关键部件有较大缺陷，但能基本满足用户使用，计2分； 4、所投产品技术成熟度、性能可靠性、关键部件有较大缺陷，不能满足用户基本使用，计1分； 5、其他情况不计分。</w:t>
            </w:r>
          </w:p>
        </w:tc>
        <w:tc>
          <w:tcPr>
            <w:tcW w:type="dxa" w:w="831"/>
          </w:tcPr>
          <w:p>
            <w:pPr>
              <w:pStyle w:val="null3"/>
              <w:jc w:val="right"/>
            </w:pPr>
            <w:r>
              <w:rPr>
                <w:rFonts w:ascii="仿宋_GB2312" w:hAnsi="仿宋_GB2312" w:cs="仿宋_GB2312" w:eastAsia="仿宋_GB2312"/>
              </w:rPr>
              <w:t>4.0000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p>
            <w:pPr>
              <w:pStyle w:val="null3"/>
            </w:pPr>
            <w:r>
              <w:rPr>
                <w:rFonts w:ascii="仿宋_GB2312" w:hAnsi="仿宋_GB2312" w:cs="仿宋_GB2312" w:eastAsia="仿宋_GB2312"/>
              </w:rPr>
              <w:t>技术指标偏差表.docx</w:t>
            </w:r>
          </w:p>
        </w:tc>
      </w:tr>
      <w:tr>
        <w:tc>
          <w:tcPr>
            <w:tcW w:type="dxa" w:w="831"/>
            <w:vMerge/>
          </w:tcPr>
          <w:p/>
        </w:tc>
        <w:tc>
          <w:tcPr>
            <w:tcW w:type="dxa" w:w="1661"/>
          </w:tcPr>
          <w:p>
            <w:pPr>
              <w:pStyle w:val="null3"/>
            </w:pPr>
            <w:r>
              <w:rPr>
                <w:rFonts w:ascii="仿宋_GB2312" w:hAnsi="仿宋_GB2312" w:cs="仿宋_GB2312" w:eastAsia="仿宋_GB2312"/>
              </w:rPr>
              <w:t>供货渠道</w:t>
            </w:r>
          </w:p>
        </w:tc>
        <w:tc>
          <w:tcPr>
            <w:tcW w:type="dxa" w:w="2492"/>
          </w:tcPr>
          <w:p>
            <w:pPr>
              <w:pStyle w:val="null3"/>
            </w:pPr>
            <w:r>
              <w:rPr>
                <w:rFonts w:ascii="仿宋_GB2312" w:hAnsi="仿宋_GB2312" w:cs="仿宋_GB2312" w:eastAsia="仿宋_GB2312"/>
              </w:rPr>
              <w:t>设备供货渠道正常、货物来源质量有保证，检验手续完善、合法有效，无产权纠纷，提供投标产品的合法来源渠道证明文件，不限于销售协议/代理协议/购销合同/购货发票等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提供投标人2022年1月1日至投标截止时间（以合同签订时间为准）类似货物供货合同，提供1份计0.5分，满分2分。无合同计0分，无法取得采购方联系或证实的合同视为无效合同。</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技术指标偏差表.docx</w:t>
            </w:r>
          </w:p>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针对该项目有详尽售后服务承诺，售后服务计划、售后服务措施，具有本地化售后服务能力，出具相关证明材料，计6分；内容较完整，计4分；内容不完整计2分，未提供不计分。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vMerge/>
          </w:tcPr>
          <w:p/>
        </w:tc>
        <w:tc>
          <w:tcPr>
            <w:tcW w:type="dxa" w:w="1661"/>
          </w:tcPr>
          <w:p>
            <w:pPr>
              <w:pStyle w:val="null3"/>
            </w:pPr>
            <w:r>
              <w:rPr>
                <w:rFonts w:ascii="仿宋_GB2312" w:hAnsi="仿宋_GB2312" w:cs="仿宋_GB2312" w:eastAsia="仿宋_GB2312"/>
              </w:rPr>
              <w:t>培训方案</w:t>
            </w:r>
          </w:p>
        </w:tc>
        <w:tc>
          <w:tcPr>
            <w:tcW w:type="dxa" w:w="2492"/>
          </w:tcPr>
          <w:p>
            <w:pPr>
              <w:pStyle w:val="null3"/>
            </w:pPr>
            <w:r>
              <w:rPr>
                <w:rFonts w:ascii="仿宋_GB2312" w:hAnsi="仿宋_GB2312" w:cs="仿宋_GB2312" w:eastAsia="仿宋_GB2312"/>
              </w:rPr>
              <w:t>具有可行的技术培训方案，保证使用单位能熟练操作维护和正常使用，列出详细的培训内容、培训方式等说明的计1分；内容不完整计0.5分，未提供不计分。</w:t>
            </w:r>
          </w:p>
        </w:tc>
        <w:tc>
          <w:tcPr>
            <w:tcW w:type="dxa" w:w="831"/>
          </w:tcPr>
          <w:p>
            <w:pPr>
              <w:pStyle w:val="null3"/>
              <w:jc w:val="right"/>
            </w:pPr>
            <w:r>
              <w:rPr>
                <w:rFonts w:ascii="仿宋_GB2312" w:hAnsi="仿宋_GB2312" w:cs="仿宋_GB2312" w:eastAsia="仿宋_GB2312"/>
              </w:rPr>
              <w:t>1.0000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投标方案说明.docx</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价格分统一采用低价优先法计算，即满足招标文件要求且投标价格最低的投标报价为评标基准价，其价格分为满分。其他投标人的价格分统一按照下列公式计算： 投标报价得分=(评标基准价／投标报价)×价格权值×100 计算分数时四舍五入取小数点后两位。</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1"/>
          </w:tcPr>
          <w:p>
            <w:pPr>
              <w:pStyle w:val="null3"/>
            </w:pPr>
            <w:r>
              <w:rPr>
                <w:rFonts w:ascii="仿宋_GB2312" w:hAnsi="仿宋_GB2312" w:cs="仿宋_GB2312" w:eastAsia="仿宋_GB2312"/>
              </w:rPr>
              <w:t>1</w:t>
            </w:r>
          </w:p>
        </w:tc>
        <w:tc>
          <w:tcPr>
            <w:tcW w:type="dxa" w:w="1661"/>
          </w:tcPr>
          <w:p>
            <w:pPr>
              <w:pStyle w:val="null3"/>
            </w:pPr>
            <w:r>
              <w:rPr>
                <w:rFonts w:ascii="仿宋_GB2312" w:hAnsi="仿宋_GB2312" w:cs="仿宋_GB2312" w:eastAsia="仿宋_GB2312"/>
              </w:rPr>
              <w:t>小型、微型企业，监狱企业，残疾人福利性单位</w:t>
            </w:r>
          </w:p>
        </w:tc>
        <w:tc>
          <w:tcPr>
            <w:tcW w:type="dxa" w:w="1661"/>
          </w:tcPr>
          <w:p>
            <w:pPr>
              <w:pStyle w:val="null3"/>
            </w:pPr>
            <w:r>
              <w:rPr>
                <w:rFonts w:ascii="仿宋_GB2312" w:hAnsi="仿宋_GB2312" w:cs="仿宋_GB2312" w:eastAsia="仿宋_GB2312"/>
              </w:rPr>
              <w:t>投标人或联合体成员均为小型、微型企业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pPr>
            <w:r>
              <w:rPr>
                <w:rFonts w:ascii="仿宋_GB2312" w:hAnsi="仿宋_GB2312" w:cs="仿宋_GB2312" w:eastAsia="仿宋_GB2312"/>
              </w:rPr>
              <w:t>（1）根据《关于进一步加大政府采购支持中小企业力度的通知》财库〔2022〕19号的相关规定，对小型和微型企业的价格给予10%的扣除，用扣除后的价格参与评审。 （2）根据《财政部民政部中国残疾人联合会关于促进残疾人就业政府采购政策的通知》（财库〔2017〕141号）的规定，对符合条件的残疾人福利性单位设备的价格给予10%的扣除，用扣除后的价格参与评审。 小型、微型企业和监狱企业级符合财政部、民政部、中国残疾人联合会关于促进残疾人就业政府采购政策的通知，以上政策同时具备的仅对其进行一次10%的价格扣除，不重复扣除。</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p>
            <w:pPr>
              <w:pStyle w:val="null3"/>
            </w:pPr>
            <w:r>
              <w:rPr>
                <w:rFonts w:ascii="仿宋_GB2312" w:hAnsi="仿宋_GB2312" w:cs="仿宋_GB2312" w:eastAsia="仿宋_GB2312"/>
              </w:rPr>
              <w:t>中小企业声明函</w:t>
            </w:r>
          </w:p>
          <w:p>
            <w:pPr>
              <w:pStyle w:val="null3"/>
            </w:pPr>
            <w:r>
              <w:rPr>
                <w:rFonts w:ascii="仿宋_GB2312" w:hAnsi="仿宋_GB2312" w:cs="仿宋_GB2312" w:eastAsia="仿宋_GB2312"/>
              </w:rPr>
              <w:t>残疾人福利性单位声明函</w:t>
            </w:r>
          </w:p>
          <w:p>
            <w:pPr>
              <w:pStyle w:val="null3"/>
            </w:pPr>
            <w:r>
              <w:rPr>
                <w:rFonts w:ascii="仿宋_GB2312" w:hAnsi="仿宋_GB2312" w:cs="仿宋_GB2312" w:eastAsia="仿宋_GB2312"/>
              </w:rPr>
              <w:t>监狱企业的证明文件</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详见附件：报价表.docx</w:t>
      </w:r>
    </w:p>
    <w:p>
      <w:pPr>
        <w:pStyle w:val="null3"/>
        <w:ind w:firstLine="960"/>
      </w:pPr>
      <w:r>
        <w:rPr>
          <w:rFonts w:ascii="仿宋_GB2312" w:hAnsi="仿宋_GB2312" w:cs="仿宋_GB2312" w:eastAsia="仿宋_GB2312"/>
        </w:rPr>
        <w:t>详见附件：分项报价表.docx</w:t>
      </w:r>
    </w:p>
    <w:p>
      <w:pPr>
        <w:pStyle w:val="null3"/>
        <w:ind w:firstLine="960"/>
      </w:pPr>
      <w:r>
        <w:rPr>
          <w:rFonts w:ascii="仿宋_GB2312" w:hAnsi="仿宋_GB2312" w:cs="仿宋_GB2312" w:eastAsia="仿宋_GB2312"/>
        </w:rPr>
        <w:t>详见附件：投标人资格条件证明文件.docx</w:t>
      </w:r>
    </w:p>
    <w:p>
      <w:pPr>
        <w:pStyle w:val="null3"/>
        <w:ind w:firstLine="960"/>
      </w:pPr>
      <w:r>
        <w:rPr>
          <w:rFonts w:ascii="仿宋_GB2312" w:hAnsi="仿宋_GB2312" w:cs="仿宋_GB2312" w:eastAsia="仿宋_GB2312"/>
        </w:rPr>
        <w:t>详见附件：技术指标偏差表.docx</w:t>
      </w:r>
    </w:p>
    <w:p>
      <w:pPr>
        <w:pStyle w:val="null3"/>
        <w:ind w:firstLine="960"/>
      </w:pPr>
      <w:r>
        <w:rPr>
          <w:rFonts w:ascii="仿宋_GB2312" w:hAnsi="仿宋_GB2312" w:cs="仿宋_GB2312" w:eastAsia="仿宋_GB2312"/>
        </w:rPr>
        <w:t>详见附件：商务条款响应说明.docx</w:t>
      </w:r>
    </w:p>
    <w:p>
      <w:pPr>
        <w:pStyle w:val="null3"/>
        <w:ind w:firstLine="960"/>
      </w:pPr>
      <w:r>
        <w:rPr>
          <w:rFonts w:ascii="仿宋_GB2312" w:hAnsi="仿宋_GB2312" w:cs="仿宋_GB2312" w:eastAsia="仿宋_GB2312"/>
        </w:rPr>
        <w:t>详见附件：投标方案说明.docx</w:t>
      </w:r>
    </w:p>
    <w:p>
      <w:pPr>
        <w:pStyle w:val="null3"/>
        <w:ind w:firstLine="960"/>
      </w:pPr>
      <w:r>
        <w:rPr>
          <w:rFonts w:ascii="仿宋_GB2312" w:hAnsi="仿宋_GB2312" w:cs="仿宋_GB2312" w:eastAsia="仿宋_GB2312"/>
        </w:rPr>
        <w:t>详见附件：投标人承诺书.docx</w:t>
      </w:r>
    </w:p>
    <w:p>
      <w:pPr>
        <w:pStyle w:val="null3"/>
        <w:ind w:firstLine="960"/>
      </w:pPr>
      <w:r>
        <w:rPr>
          <w:rFonts w:ascii="仿宋_GB2312" w:hAnsi="仿宋_GB2312" w:cs="仿宋_GB2312" w:eastAsia="仿宋_GB2312"/>
        </w:rPr>
        <w:t>详见附件：保证金交纳凭证.docx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详见附件：拟签订合同文本.docx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