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版本号：LZBE2025-1871.20260107001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机载相控阵合成孔径雷达采购项目(三次)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LZBE2025-1871.</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机载相控阵合成孔径雷达采购项目(三次)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LZBE2025-1871.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机载相控阵合成孔径雷达采购项目(三次)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延安大学机载相控阵合成孔径雷达采购项目（三次），1项，具体内容详见招标文件第三章。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4、参加本次政府采购活动前3年内在经营活动中没有重大违法记录的书面声明：投标人需提供参加本次政府采购活动前3年内在经营活动中没有重大违法记录的书面声明并进行电子签章。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5、具有履行合同所必需的设备和专业技术能力书面声明函：投标人需提供具有履行合同所必需的设备和专业技术能力书面声明函并进行电子签章。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银行账号：30201278017793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10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30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（1）供应商需提供设备出厂检验报告、产品合格证、雷达频率使用许可证等全套随机文件。 在双方商定的标准测试环境下（如：开阔地、有角反射器等标准目标物）进行飞行数据采集。采集的数据需在现场使用配套的处理软件进行快速成像和处理。对部署好的两个或多个角反射器进行飞行成像。处理后的图像中，能清晰分辨出两个角反射器，其距离向和方位向分辨率均需达到或优于合同规定值 整套系统（无人机平台、SAR雷达、数据链、地面站、处理软件）已完成集成、安装与调试，可独立执行完整的飞行与数据处理任务。 供应商需在验收前提供详细的《培训大纲》，包括：SAR基本原理、系统组成与功能、飞行安全规范、任务规划方法、设备操作流程、数据采集技巧、数据处理流程、常见故障诊断与排除、设备维护保养等。通过现场培训，能够让1-2名指定参训人员独立、正确、高效地操作整套系统，并理解基本原理和故障排除方法，达到“熟练掌握、灵活应用”的程度。 （2）根据招标文件、投标文件及合同约定执行。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机载相控阵合成孔径雷达采购项目（二次），1项，具体内容详见技术要求。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1,367,200.00</w:t>
      </w:r>
    </w:p>
    <w:p>
      <w:pPr>
        <w:pStyle w:val="null3"/>
      </w:pPr>
      <w:r>
        <w:rPr>
          <w:rFonts w:ascii="仿宋_GB2312" w:hAnsi="仿宋_GB2312" w:cs="仿宋_GB2312" w:eastAsia="仿宋_GB2312"/>
        </w:rPr>
        <w:t>采购包最高限价（元）: 1,367,200.00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机载相控阵合成孔径雷达等设备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1,367,200.00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标的名称：机载相控阵合成孔径雷达等设备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一、技术参数</w:t>
            </w:r>
          </w:p>
          <w:tbl>
            <w:tblPr>
              <w:tblBorders>
                <w:top w:val="none" w:color="000000" w:sz="4"/>
                <w:left w:val="none" w:color="000000" w:sz="4"/>
                <w:bottom w:val="none" w:color="000000" w:sz="4"/>
                <w:right w:val="none" w:color="000000" w:sz="4"/>
                <w:insideH w:val="none"/>
                <w:insideV w:val="none"/>
              </w:tblBorders>
            </w:tblPr>
            <w:tblGrid>
              <w:gridCol w:w="117"/>
              <w:gridCol w:w="270"/>
              <w:gridCol w:w="1925"/>
              <w:gridCol w:w="238"/>
            </w:tblGrid>
            <w:tr>
              <w:tc>
                <w:tcPr>
                  <w:tcW w:type="dxa" w:w="11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27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92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技术参数与性能指标、服务要求</w:t>
                  </w:r>
                </w:p>
              </w:tc>
              <w:tc>
                <w:tcPr>
                  <w:tcW w:type="dxa" w:w="23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机</w:t>
                  </w:r>
                  <w:r>
                    <w:rPr>
                      <w:rFonts w:ascii="仿宋_GB2312" w:hAnsi="仿宋_GB2312" w:cs="仿宋_GB2312" w:eastAsia="仿宋_GB2312"/>
                      <w:sz w:val="21"/>
                    </w:rPr>
                    <w:t>载相控阵合成孔径雷达</w:t>
                  </w:r>
                </w:p>
              </w:tc>
              <w:tc>
                <w:tcPr>
                  <w:tcW w:type="dxa" w:w="19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（一）产品组成</w:t>
                  </w:r>
                </w:p>
                <w:p>
                  <w:pPr>
                    <w:pStyle w:val="null3"/>
                    <w:ind w:firstLine="420"/>
                    <w:jc w:val="both"/>
                  </w:pPr>
                  <w:r>
                    <w:rPr>
                      <w:rFonts w:ascii="仿宋_GB2312" w:hAnsi="仿宋_GB2312" w:cs="仿宋_GB2312" w:eastAsia="仿宋_GB2312"/>
                      <w:sz w:val="21"/>
                    </w:rPr>
                    <w:t>机载相控阵合成孔径雷达包含但不限于：无人直升机平台</w:t>
                  </w:r>
                  <w:r>
                    <w:rPr>
                      <w:rFonts w:ascii="仿宋_GB2312" w:hAnsi="仿宋_GB2312" w:cs="仿宋_GB2312" w:eastAsia="仿宋_GB2312"/>
                      <w:sz w:val="21"/>
                    </w:rPr>
                    <w:t>1套、相控阵合成孔径雷达SAR系统1套、SAR成像处理软件1套。</w:t>
                  </w:r>
                </w:p>
                <w:p>
                  <w:pPr>
                    <w:pStyle w:val="null3"/>
                    <w:jc w:val="both"/>
                  </w:pPr>
                  <w:r>
                    <w:rPr>
                      <w:rFonts w:ascii="仿宋_GB2312" w:hAnsi="仿宋_GB2312" w:cs="仿宋_GB2312" w:eastAsia="仿宋_GB2312"/>
                      <w:sz w:val="21"/>
                      <w:b/>
                    </w:rPr>
                    <w:t>（二）功能指标</w:t>
                  </w:r>
                </w:p>
                <w:p>
                  <w:pPr>
                    <w:pStyle w:val="null3"/>
                    <w:ind w:firstLine="420"/>
                    <w:jc w:val="both"/>
                  </w:pPr>
                  <w:r>
                    <w:rPr>
                      <w:rFonts w:ascii="仿宋_GB2312" w:hAnsi="仿宋_GB2312" w:cs="仿宋_GB2312" w:eastAsia="仿宋_GB2312"/>
                      <w:sz w:val="21"/>
                    </w:rPr>
                    <w:t>SAR成像处理软件具有自聚焦、运动补偿处理功能；SAR成像处理软件支持图像拼接功能，能够输出正射校正之后的SAR影像成果；软件实时显示雷达回波时域波形及脉冲压缩波形；软件输出图像文件类型：SAR幅值图像、SAR复数图像；SAR成像处理软件支持输出图像深度调整功能，可调节范围为8/16bit；具备雷达实时状态监控、自动和手动开关机功能；载荷设备：X波段合成孔径雷达（波段：X波段；雷达重量≤2.5kg；成像精度：≤0.1m*0.1m;雷达体制：相控阵体制；稳定度：6级以内风速正常作业稳定成像）。</w:t>
                  </w:r>
                </w:p>
                <w:p>
                  <w:pPr>
                    <w:pStyle w:val="null3"/>
                    <w:jc w:val="both"/>
                  </w:pPr>
                  <w:r>
                    <w:rPr>
                      <w:rFonts w:ascii="仿宋_GB2312" w:hAnsi="仿宋_GB2312" w:cs="仿宋_GB2312" w:eastAsia="仿宋_GB2312"/>
                      <w:sz w:val="21"/>
                      <w:b/>
                    </w:rPr>
                    <w:t>（三）性能指标</w:t>
                  </w:r>
                </w:p>
                <w:p>
                  <w:pPr>
                    <w:pStyle w:val="null3"/>
                    <w:jc w:val="both"/>
                  </w:pPr>
                  <w:r>
                    <w:rPr>
                      <w:rFonts w:ascii="仿宋_GB2312" w:hAnsi="仿宋_GB2312" w:cs="仿宋_GB2312" w:eastAsia="仿宋_GB2312"/>
                      <w:sz w:val="21"/>
                    </w:rPr>
                    <w:t>1.无人直升机平台技术要求：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）支持低电量保护，低于设定值自动返航；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）支持失联保护设置，链路断开时，无人机能自动返回起飞点；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）支持自动模式、返航模式、降落模式、引导模式；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）具备自适应和自决策的程序控制飞行能力，具备自主起飞、自主着陆、自主巡航功能；支持预先输入飞行计划和性能约束，可根据不同飞行阶段及设备有效状态提供安全保护和故障处理功能；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）平台类型：无人直升机；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）整机尺寸：展开，不含桨叶</w:t>
                  </w:r>
                  <w:r>
                    <w:rPr>
                      <w:rFonts w:ascii="仿宋_GB2312" w:hAnsi="仿宋_GB2312" w:cs="仿宋_GB2312" w:eastAsia="仿宋_GB2312"/>
                      <w:sz w:val="21"/>
                    </w:rPr>
                    <w:t>≥1700*400*500mm(长*宽*高)，</w:t>
                  </w:r>
                </w:p>
                <w:p>
                  <w:pPr>
                    <w:pStyle w:val="null3"/>
                    <w:jc w:val="both"/>
                  </w:pPr>
                  <w:r>
                    <w:rPr>
                      <w:rFonts w:ascii="仿宋_GB2312" w:hAnsi="仿宋_GB2312" w:cs="仿宋_GB2312" w:eastAsia="仿宋_GB2312"/>
                      <w:sz w:val="21"/>
                    </w:rPr>
                    <w:t>拆分，不含桨叶</w:t>
                  </w:r>
                  <w:r>
                    <w:rPr>
                      <w:rFonts w:ascii="仿宋_GB2312" w:hAnsi="仿宋_GB2312" w:cs="仿宋_GB2312" w:eastAsia="仿宋_GB2312"/>
                      <w:sz w:val="21"/>
                    </w:rPr>
                    <w:t>≥800*400*500mm（长*宽*高）；主旋翼直径：≥1900mm；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）最大起飞重量：</w:t>
                  </w:r>
                  <w:r>
                    <w:rPr>
                      <w:rFonts w:ascii="仿宋_GB2312" w:hAnsi="仿宋_GB2312" w:cs="仿宋_GB2312" w:eastAsia="仿宋_GB2312"/>
                      <w:sz w:val="21"/>
                    </w:rPr>
                    <w:t>≤18kg；空机重量：≤15kg；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）最大续航时间：</w:t>
                  </w:r>
                  <w:r>
                    <w:rPr>
                      <w:rFonts w:ascii="仿宋_GB2312" w:hAnsi="仿宋_GB2312" w:cs="仿宋_GB2312" w:eastAsia="仿宋_GB2312"/>
                      <w:sz w:val="21"/>
                    </w:rPr>
                    <w:t>≥90min（空载，充足电量下）；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)最大续航里程：≥80km（空载，充足电量下）；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)最大信号有效距离：≥30km（无干扰、无遮挡）；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)最大平飞速度：≥100km/h；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)巡航速度：50-70（含）km/h；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)最高使用海拔：≥5000米；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)抗风能力：≥8级；</w:t>
                  </w:r>
                </w:p>
                <w:p>
                  <w:pPr>
                    <w:pStyle w:val="null3"/>
                    <w:jc w:val="both"/>
                  </w:pPr>
                  <w:r>
                    <w:rPr>
                      <w:rFonts w:ascii="仿宋_GB2312" w:hAnsi="仿宋_GB2312" w:cs="仿宋_GB2312" w:eastAsia="仿宋_GB2312"/>
                      <w:sz w:val="21"/>
                    </w:rPr>
                    <w:t>2.相控阵合成孔径雷达SAR系统</w:t>
                  </w: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)整机重量：≤2.3kg（集成天线、惯导、实时成像）；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)尺寸：≤160mm×190mm×90mm（雷达）；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)功耗：≤70W；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)频段：X；射频通道数：≥2；每通道信号带宽：≥2000MHz；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)天线扫描范围：≥±30°；成像视角：≥25°～85°；防护等级：≥IP55；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)天线形式：二维相控阵；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)工作体制：脉冲；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）数传接口：网络；数据下载接口：网络及</w:t>
                  </w:r>
                  <w:r>
                    <w:rPr>
                      <w:rFonts w:ascii="仿宋_GB2312" w:hAnsi="仿宋_GB2312" w:cs="仿宋_GB2312" w:eastAsia="仿宋_GB2312"/>
                      <w:sz w:val="21"/>
                    </w:rPr>
                    <w:t>USB；</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）波束调节方式：相控阵调节指向；波束实时补偿：相控阵实时补偿；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）数据格式：</w:t>
                  </w:r>
                  <w:r>
                    <w:rPr>
                      <w:rFonts w:ascii="仿宋_GB2312" w:hAnsi="仿宋_GB2312" w:cs="仿宋_GB2312" w:eastAsia="仿宋_GB2312"/>
                      <w:sz w:val="21"/>
                    </w:rPr>
                    <w:t>KML、复图像、实图像、JPG；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SAR图像：分辨率≤0.1m*0.1m，最远距离≥2km  最大幅宽≥1km；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）成像方式</w:t>
                  </w:r>
                  <w:r>
                    <w:rPr>
                      <w:rFonts w:ascii="仿宋_GB2312" w:hAnsi="仿宋_GB2312" w:cs="仿宋_GB2312" w:eastAsia="仿宋_GB2312"/>
                      <w:sz w:val="21"/>
                    </w:rPr>
                    <w:t>:实时成像及地面精处理；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）实时成像分辨率</w:t>
                  </w:r>
                  <w:r>
                    <w:rPr>
                      <w:rFonts w:ascii="仿宋_GB2312" w:hAnsi="仿宋_GB2312" w:cs="仿宋_GB2312" w:eastAsia="仿宋_GB2312"/>
                      <w:sz w:val="21"/>
                    </w:rPr>
                    <w:t>:≤0.5m*0.5m；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）工作模式</w:t>
                  </w:r>
                  <w:r>
                    <w:rPr>
                      <w:rFonts w:ascii="仿宋_GB2312" w:hAnsi="仿宋_GB2312" w:cs="仿宋_GB2312" w:eastAsia="仿宋_GB2312"/>
                      <w:sz w:val="21"/>
                    </w:rPr>
                    <w:t>:包含但不限于条带、圆迹（八边形）模式；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）数据存储容量</w:t>
                  </w:r>
                  <w:r>
                    <w:rPr>
                      <w:rFonts w:ascii="仿宋_GB2312" w:hAnsi="仿宋_GB2312" w:cs="仿宋_GB2312" w:eastAsia="仿宋_GB2312"/>
                      <w:sz w:val="21"/>
                    </w:rPr>
                    <w:t>:≥2TB；图传距离:≥5km（通视）；极化:全极化（HH、HV、VH、VV）；</w:t>
                  </w:r>
                </w:p>
                <w:p>
                  <w:pPr>
                    <w:pStyle w:val="null3"/>
                    <w:jc w:val="both"/>
                  </w:pPr>
                  <w:r>
                    <w:rPr>
                      <w:rFonts w:ascii="仿宋_GB2312" w:hAnsi="仿宋_GB2312" w:cs="仿宋_GB2312" w:eastAsia="仿宋_GB2312"/>
                      <w:sz w:val="21"/>
                    </w:rPr>
                    <w:t>3.SAR成像处理软件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SAR成像处理软件具有自聚焦、运动补偿处理功能：支持图像拼接功能，能够输出正射校正之后的SAR影像成果；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）软件实时显示雷达回波时域波形及脉冲压缩波形；软件输出图像文件类型：</w:t>
                  </w:r>
                  <w:r>
                    <w:rPr>
                      <w:rFonts w:ascii="仿宋_GB2312" w:hAnsi="仿宋_GB2312" w:cs="仿宋_GB2312" w:eastAsia="仿宋_GB2312"/>
                      <w:sz w:val="21"/>
                    </w:rPr>
                    <w:t>SAR幅值图像、SAR复数图像；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SAR成像处理软件支持雷达处理深度调整功能，可调节范围为8/16bit；软件具备雷达实时状态监控、自动和手动开关机功能；</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3</w:t>
                  </w:r>
                  <w:r>
                    <w:rPr>
                      <w:rFonts w:ascii="仿宋_GB2312" w:hAnsi="仿宋_GB2312" w:cs="仿宋_GB2312" w:eastAsia="仿宋_GB2312"/>
                      <w:sz w:val="21"/>
                      <w:color w:val="000000"/>
                    </w:rPr>
                    <w:t>）系统</w:t>
                  </w:r>
                  <w:r>
                    <w:rPr>
                      <w:rFonts w:ascii="仿宋_GB2312" w:hAnsi="仿宋_GB2312" w:cs="仿宋_GB2312" w:eastAsia="仿宋_GB2312"/>
                      <w:sz w:val="21"/>
                    </w:rPr>
                    <w:t>需支持接口协议开放，接入甲方指定管控平台；</w:t>
                  </w: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1/套</w:t>
                  </w:r>
                </w:p>
              </w:tc>
            </w:tr>
            <w:tr>
              <w:tc>
                <w:tcPr>
                  <w:tcW w:type="dxa" w:w="1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合成孔径雷达测试终端</w:t>
                  </w:r>
                </w:p>
              </w:tc>
              <w:tc>
                <w:tcPr>
                  <w:tcW w:type="dxa" w:w="19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一、云桌面服务终端器（</w:t>
                  </w:r>
                  <w:r>
                    <w:rPr>
                      <w:rFonts w:ascii="仿宋_GB2312" w:hAnsi="仿宋_GB2312" w:cs="仿宋_GB2312" w:eastAsia="仿宋_GB2312"/>
                      <w:sz w:val="21"/>
                      <w:b/>
                    </w:rPr>
                    <w:t>2台）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）尺寸：机架式服务器；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CPU ：性能不低于Intel至强golden 18核 ，主频≥3.1GHz*2颗；内存：≥64G*8 DDR4；硬盘：≥240GB SSD*2,≥SSD 960G*2,≥SATA 8T*6；</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）网卡：千兆网口</w:t>
                  </w:r>
                  <w:r>
                    <w:rPr>
                      <w:rFonts w:ascii="仿宋_GB2312" w:hAnsi="仿宋_GB2312" w:cs="仿宋_GB2312" w:eastAsia="仿宋_GB2312"/>
                      <w:sz w:val="21"/>
                    </w:rPr>
                    <w:t>≥4个，10GB*2；阵列卡：支持RAID0,1,5；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37</w:t>
                  </w:r>
                  <w:r>
                    <w:rPr>
                      <w:rFonts w:ascii="仿宋_GB2312" w:hAnsi="仿宋_GB2312" w:cs="仿宋_GB2312" w:eastAsia="仿宋_GB2312"/>
                      <w:sz w:val="21"/>
                    </w:rPr>
                    <w:t>）电源：</w:t>
                  </w:r>
                  <w:r>
                    <w:rPr>
                      <w:rFonts w:ascii="仿宋_GB2312" w:hAnsi="仿宋_GB2312" w:cs="仿宋_GB2312" w:eastAsia="仿宋_GB2312"/>
                      <w:sz w:val="21"/>
                    </w:rPr>
                    <w:t>≥800W冗余电源；</w:t>
                  </w:r>
                </w:p>
                <w:p>
                  <w:pPr>
                    <w:pStyle w:val="null3"/>
                    <w:jc w:val="left"/>
                  </w:pPr>
                  <w:r>
                    <w:rPr>
                      <w:rFonts w:ascii="仿宋_GB2312" w:hAnsi="仿宋_GB2312" w:cs="仿宋_GB2312" w:eastAsia="仿宋_GB2312"/>
                      <w:sz w:val="21"/>
                      <w:b/>
                    </w:rPr>
                    <w:t>二、终端（</w:t>
                  </w:r>
                  <w:r>
                    <w:rPr>
                      <w:rFonts w:ascii="仿宋_GB2312" w:hAnsi="仿宋_GB2312" w:cs="仿宋_GB2312" w:eastAsia="仿宋_GB2312"/>
                      <w:sz w:val="21"/>
                      <w:b/>
                    </w:rPr>
                    <w:t>50节点）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）处理器采用</w:t>
                  </w:r>
                  <w:r>
                    <w:rPr>
                      <w:rFonts w:ascii="仿宋_GB2312" w:hAnsi="仿宋_GB2312" w:cs="仿宋_GB2312" w:eastAsia="仿宋_GB2312"/>
                      <w:sz w:val="21"/>
                    </w:rPr>
                    <w:t>x86架构，不低于双核双线程，基准频率≥2.4GHz；内存容量≥2GB，硬盘容量≥16GB（SSD）；</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）提供</w:t>
                  </w:r>
                  <w:r>
                    <w:rPr>
                      <w:rFonts w:ascii="仿宋_GB2312" w:hAnsi="仿宋_GB2312" w:cs="仿宋_GB2312" w:eastAsia="仿宋_GB2312"/>
                      <w:sz w:val="21"/>
                    </w:rPr>
                    <w:t>VGA+HDMI两路显示输出；集成声卡；提供USB 接口≥6个，其中USB3.0不少于1个；提供千兆网络接口；提供有线键盘、鼠标；</w:t>
                  </w:r>
                </w:p>
                <w:p>
                  <w:pPr>
                    <w:pStyle w:val="null3"/>
                    <w:jc w:val="left"/>
                  </w:pPr>
                  <w:r>
                    <w:rPr>
                      <w:rFonts w:ascii="仿宋_GB2312" w:hAnsi="仿宋_GB2312" w:cs="仿宋_GB2312" w:eastAsia="仿宋_GB2312"/>
                      <w:sz w:val="21"/>
                      <w:b/>
                    </w:rPr>
                    <w:t>三、云桌面软件（</w:t>
                  </w:r>
                  <w:r>
                    <w:rPr>
                      <w:rFonts w:ascii="仿宋_GB2312" w:hAnsi="仿宋_GB2312" w:cs="仿宋_GB2312" w:eastAsia="仿宋_GB2312"/>
                      <w:sz w:val="21"/>
                      <w:b/>
                    </w:rPr>
                    <w:t>50节点）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）支持提供</w:t>
                  </w:r>
                  <w:r>
                    <w:rPr>
                      <w:rFonts w:ascii="仿宋_GB2312" w:hAnsi="仿宋_GB2312" w:cs="仿宋_GB2312" w:eastAsia="仿宋_GB2312"/>
                      <w:sz w:val="21"/>
                    </w:rPr>
                    <w:t>IDV、VDI、VOI融合云桌面功能，支持不同架构云桌面的统一管理；支持VDI虚拟机从光驱启动、硬盘启动、网络启动的方式；支持虚拟交换机功能，可配置端口组、划分VLAN等，支持通过VLAN对虚拟机进行网络隔离；支持USB策略设置，对USB存储设备可设置两种权限：只读和读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）支持剪贴板策略设置：支持将客户端桌面上的文本信息拷贝到虚拟机里面，控制功能包括</w:t>
                  </w:r>
                  <w:r>
                    <w:rPr>
                      <w:rFonts w:ascii="仿宋_GB2312" w:hAnsi="仿宋_GB2312" w:cs="仿宋_GB2312" w:eastAsia="仿宋_GB2312"/>
                      <w:sz w:val="21"/>
                    </w:rPr>
                    <w:t>“禁用”“终端到虚拟机”“虚拟机到终端”“双向”；支持磁盘策略设置，可将Windows客户端的磁盘重定向到虚拟机里面，控制功能包括“禁用”“只读”“只写”“读写”；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）支持屏幕水印，可设置水印满屏显示，可按需调整水印字体大小、颜色、透明度和倾斜度，可自定义显示用户名、</w:t>
                  </w:r>
                  <w:r>
                    <w:rPr>
                      <w:rFonts w:ascii="仿宋_GB2312" w:hAnsi="仿宋_GB2312" w:cs="仿宋_GB2312" w:eastAsia="仿宋_GB2312"/>
                      <w:sz w:val="21"/>
                    </w:rPr>
                    <w:t>IP、MAC信息。打开动态水印功能后，可自动变换水印位置；支持实时统计全局系统的CPU、内存、硬盘的使用情况，支持针对虚拟机CPU和内存占用过高告警；支持云桌面网络QoS和磁盘QoS，限制虚拟桌面的带宽和读写IO；</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）支持在不依赖第三方软件的基础上，通过管理界面对指定虚拟桌面进行动态实时的九宫格画面展示，支持查看指定云桌面的内部资源使用情况，包括进程名称、进程</w:t>
                  </w:r>
                  <w:r>
                    <w:rPr>
                      <w:rFonts w:ascii="仿宋_GB2312" w:hAnsi="仿宋_GB2312" w:cs="仿宋_GB2312" w:eastAsia="仿宋_GB2312"/>
                      <w:sz w:val="21"/>
                    </w:rPr>
                    <w:t>CPU占用率、进程内存使用等信息；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提供虚拟机回收站功能，支持虚拟机被删除后暂时放置于回收站，回收站内的虚拟机可以还原。固定周期后，回收站内的虚拟机将永久删除，同时支持在回收站中手动删除；支持虚拟机在闲置时可自动休眠的功能，可设置自动休眠的监测时长，支持对闲置虚拟机的自动关机、自动断电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支持在客户端侧设置个性化策略，支持联动关机，可设置显示模式、显示质量、编码格式、解码类型、帧率等；支持在客户端菜单显示网络质量，支持网络中断后的桌面会话重连功能，临时性的网络中断不会影响原先的桌面操作行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）无需使用第三方应用软件，支持通过客户端菜单进行屏幕广播，可跨平台同时对终端</w:t>
                  </w:r>
                  <w:r>
                    <w:rPr>
                      <w:rFonts w:ascii="仿宋_GB2312" w:hAnsi="仿宋_GB2312" w:cs="仿宋_GB2312" w:eastAsia="仿宋_GB2312"/>
                      <w:sz w:val="21"/>
                    </w:rPr>
                    <w:t>Windows虚拟机、Linux虚拟机、国产操作系统虚拟机进行同步广播，不受虚拟机安装何种操作系统的限制；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47</w:t>
                  </w:r>
                  <w:r>
                    <w:rPr>
                      <w:rFonts w:ascii="仿宋_GB2312" w:hAnsi="仿宋_GB2312" w:cs="仿宋_GB2312" w:eastAsia="仿宋_GB2312"/>
                      <w:sz w:val="21"/>
                    </w:rPr>
                    <w:t>）支持用户在客户端侧进行自助维护，包括开机、重置、强制关机、强制重启、修改密码、创建</w:t>
                  </w:r>
                  <w:r>
                    <w:rPr>
                      <w:rFonts w:ascii="仿宋_GB2312" w:hAnsi="仿宋_GB2312" w:cs="仿宋_GB2312" w:eastAsia="仿宋_GB2312"/>
                      <w:sz w:val="21"/>
                    </w:rPr>
                    <w:t>/恢复/删除快照等；支持用户通过同一个客户端协议远程调度并使用桌面云系统、第三方云平台虚拟机系统、物理工作站系统等资源，能够对现有设备统一管理和使用的功能；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）系统须支持硬件编码功能；支持终端管理功能，可在桌面云管理系统上直接查看云终端的</w:t>
                  </w:r>
                  <w:r>
                    <w:rPr>
                      <w:rFonts w:ascii="仿宋_GB2312" w:hAnsi="仿宋_GB2312" w:cs="仿宋_GB2312" w:eastAsia="仿宋_GB2312"/>
                      <w:sz w:val="21"/>
                    </w:rPr>
                    <w:t>CPU、内存、操作系统、版本号、IP、MAC、登录用户、最后登录时间等，支持以列表方式对显示质量、编码格式、解码类型、帧率等关键指标进行直观展示。支持在管理中心对终端的鼠标模式、显示模式、帧率等进行远程批量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）提供独立的终端配置工具，自动下发终端配置信息，包括云服务器地址、端口、账号信息等；支持一键巡检；支持在管理界面直接打开</w:t>
                  </w:r>
                  <w:r>
                    <w:rPr>
                      <w:rFonts w:ascii="仿宋_GB2312" w:hAnsi="仿宋_GB2312" w:cs="仿宋_GB2312" w:eastAsia="仿宋_GB2312"/>
                      <w:sz w:val="21"/>
                    </w:rPr>
                    <w:t>WEB SSH进入后台执行命令；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）支持虚拟机和云终端的定时任务，包括对虚拟机设置定时开</w:t>
                  </w:r>
                  <w:r>
                    <w:rPr>
                      <w:rFonts w:ascii="仿宋_GB2312" w:hAnsi="仿宋_GB2312" w:cs="仿宋_GB2312" w:eastAsia="仿宋_GB2312"/>
                      <w:sz w:val="21"/>
                    </w:rPr>
                    <w:t>/关机、挂起/恢复、休眠/唤醒、强制断电和批量快照策略，以及对云终端设置定时开关机策略；支持在管理平台创建教室，并为教室按需分配教学模板，满足模板切换的功能，支持将教室进行归档，归档后教室将被关闭，教室下的虚拟机将隐藏且不可用，与相关虚拟机的绑定关系也将解除，支持桌面的归档以及归档一键恢复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支持启用课程表功能，可自定义上课时间和对应的课程模板，以图表方式显示，按照课程表自动打开教学模板和切换教学模板，提高教学效率；支持将教学模板以链接的形式分享给指定用户，指定用户通过该链接可编辑和升级模板。可设置分享链接的有效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）云桌面可设置为每次关机后还原，也可支持按每天、每周、每月进行自动还原；支持当前在线用户和历史在线用户的统计功能，可按照年、月、周、日、以及自定义日期方式进行统计，并以柱状图显示；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53</w:t>
                  </w:r>
                  <w:r>
                    <w:rPr>
                      <w:rFonts w:ascii="仿宋_GB2312" w:hAnsi="仿宋_GB2312" w:cs="仿宋_GB2312" w:eastAsia="仿宋_GB2312"/>
                      <w:sz w:val="21"/>
                    </w:rPr>
                    <w:t>）支持通过手机等移动设备管理桌面云系统功能：进行主机资源信息进行查看（</w:t>
                  </w:r>
                  <w:r>
                    <w:rPr>
                      <w:rFonts w:ascii="仿宋_GB2312" w:hAnsi="仿宋_GB2312" w:cs="仿宋_GB2312" w:eastAsia="仿宋_GB2312"/>
                      <w:sz w:val="21"/>
                    </w:rPr>
                    <w:t>CPU、内存、存储等占用情况）、虚拟机详情展示和编辑；支持对虚拟机CPU/内存进行编辑，可对虚拟机进行启动，关闭，强制关闭；可查看用户列表、终端列表、在线用户信息等；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）系统支持跨主机的</w:t>
                  </w:r>
                  <w:r>
                    <w:rPr>
                      <w:rFonts w:ascii="仿宋_GB2312" w:hAnsi="仿宋_GB2312" w:cs="仿宋_GB2312" w:eastAsia="仿宋_GB2312"/>
                      <w:sz w:val="21"/>
                    </w:rPr>
                    <w:t>USB重定向功能，采用多主机以集群模式部署时，可对USB设备进行统一管理；提供AI运维助手工具，支持人机对话功能并自动回答云桌面运维问题；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）终端底层镜像管理支持多镜像多节点缓存，每个镜像支持最少</w:t>
                  </w:r>
                  <w:r>
                    <w:rPr>
                      <w:rFonts w:ascii="仿宋_GB2312" w:hAnsi="仿宋_GB2312" w:cs="仿宋_GB2312" w:eastAsia="仿宋_GB2312"/>
                      <w:sz w:val="21"/>
                    </w:rPr>
                    <w:t>10个快照更新节点，支持做父子节点或者兄弟节点两种模式，并通过树状结构展示节点间关系；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）为保障电子考试，在服务器端可以设置客户机禁止共享</w:t>
                  </w:r>
                  <w:r>
                    <w:rPr>
                      <w:rFonts w:ascii="仿宋_GB2312" w:hAnsi="仿宋_GB2312" w:cs="仿宋_GB2312" w:eastAsia="仿宋_GB2312"/>
                      <w:sz w:val="21"/>
                    </w:rPr>
                    <w:t>U盘；支持自动增量快照维护；具有CPU、硬盘温度监测报警功能；终端须具备桌面还原和个性化的双重需求；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57</w:t>
                  </w:r>
                  <w:r>
                    <w:rPr>
                      <w:rFonts w:ascii="仿宋_GB2312" w:hAnsi="仿宋_GB2312" w:cs="仿宋_GB2312" w:eastAsia="仿宋_GB2312"/>
                      <w:sz w:val="21"/>
                    </w:rPr>
                    <w:t>）具备高级设置功能，可设置</w:t>
                  </w:r>
                  <w:r>
                    <w:rPr>
                      <w:rFonts w:ascii="仿宋_GB2312" w:hAnsi="仿宋_GB2312" w:cs="仿宋_GB2312" w:eastAsia="仿宋_GB2312"/>
                      <w:sz w:val="21"/>
                    </w:rPr>
                    <w:t>P2P部署时种子的最大服务数和离线时的最高限速；在网络状况不佳时，可以设置使用可靠连接选项；可以设置客户端菜单功能键，用以允许或禁止终端使用者。</w:t>
                  </w:r>
                </w:p>
                <w:p>
                  <w:pPr>
                    <w:pStyle w:val="null3"/>
                    <w:jc w:val="left"/>
                  </w:pPr>
                  <w:r>
                    <w:rPr>
                      <w:rFonts w:ascii="仿宋_GB2312" w:hAnsi="仿宋_GB2312" w:cs="仿宋_GB2312" w:eastAsia="仿宋_GB2312"/>
                      <w:sz w:val="21"/>
                      <w:b/>
                    </w:rPr>
                    <w:t>四、显示器（</w:t>
                  </w:r>
                  <w:r>
                    <w:rPr>
                      <w:rFonts w:ascii="仿宋_GB2312" w:hAnsi="仿宋_GB2312" w:cs="仿宋_GB2312" w:eastAsia="仿宋_GB2312"/>
                      <w:sz w:val="21"/>
                      <w:b/>
                    </w:rPr>
                    <w:t>50台）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）屏幕</w:t>
                  </w:r>
                  <w:r>
                    <w:rPr>
                      <w:rFonts w:ascii="仿宋_GB2312" w:hAnsi="仿宋_GB2312" w:cs="仿宋_GB2312" w:eastAsia="仿宋_GB2312"/>
                      <w:sz w:val="21"/>
                    </w:rPr>
                    <w:t>尺寸</w:t>
                  </w:r>
                  <w:r>
                    <w:rPr>
                      <w:rFonts w:ascii="仿宋_GB2312" w:hAnsi="仿宋_GB2312" w:cs="仿宋_GB2312" w:eastAsia="仿宋_GB2312"/>
                      <w:sz w:val="21"/>
                    </w:rPr>
                    <w:t>≥23.8吋；屏幕材质IPS；分辨率≥1920*1080；</w:t>
                  </w:r>
                </w:p>
                <w:p>
                  <w:pPr>
                    <w:pStyle w:val="null3"/>
                    <w:jc w:val="left"/>
                  </w:pPr>
                  <w:r>
                    <w:rPr>
                      <w:rFonts w:ascii="仿宋_GB2312" w:hAnsi="仿宋_GB2312" w:cs="仿宋_GB2312" w:eastAsia="仿宋_GB2312"/>
                      <w:sz w:val="21"/>
                      <w:b/>
                    </w:rPr>
                    <w:t>五、交换机（</w:t>
                  </w:r>
                  <w:r>
                    <w:rPr>
                      <w:rFonts w:ascii="仿宋_GB2312" w:hAnsi="仿宋_GB2312" w:cs="仿宋_GB2312" w:eastAsia="仿宋_GB2312"/>
                      <w:sz w:val="21"/>
                      <w:b/>
                    </w:rPr>
                    <w:t>1台）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59</w:t>
                  </w:r>
                  <w:r>
                    <w:rPr>
                      <w:rFonts w:ascii="仿宋_GB2312" w:hAnsi="仿宋_GB2312" w:cs="仿宋_GB2312" w:eastAsia="仿宋_GB2312"/>
                      <w:sz w:val="21"/>
                    </w:rPr>
                    <w:t>）万兆</w:t>
                  </w:r>
                  <w:r>
                    <w:rPr>
                      <w:rFonts w:ascii="仿宋_GB2312" w:hAnsi="仿宋_GB2312" w:cs="仿宋_GB2312" w:eastAsia="仿宋_GB2312"/>
                      <w:sz w:val="21"/>
                    </w:rPr>
                    <w:t>SFP+光口≥12个；千兆电口≥12个；Console口≥1个，交换容量≥1Tbps，包转发率≥500Mpps（若存在双参数，以较小参数为准）；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）支持</w:t>
                  </w:r>
                  <w:r>
                    <w:rPr>
                      <w:rFonts w:ascii="仿宋_GB2312" w:hAnsi="仿宋_GB2312" w:cs="仿宋_GB2312" w:eastAsia="仿宋_GB2312"/>
                      <w:sz w:val="21"/>
                    </w:rPr>
                    <w:t>M-LAG技术，跨设备链路聚合（非堆叠技术实现）；支持基于终端类型自动识别结果，禁止非法终端(例如私接路由器)接入；</w:t>
                  </w:r>
                </w:p>
                <w:p>
                  <w:pPr>
                    <w:pStyle w:val="null3"/>
                    <w:jc w:val="left"/>
                  </w:pPr>
                  <w:r>
                    <w:rPr>
                      <w:rFonts w:ascii="仿宋_GB2312" w:hAnsi="仿宋_GB2312" w:cs="仿宋_GB2312" w:eastAsia="仿宋_GB2312"/>
                      <w:sz w:val="21"/>
                      <w:b/>
                    </w:rPr>
                    <w:t>六、接入交换机（</w:t>
                  </w:r>
                  <w:r>
                    <w:rPr>
                      <w:rFonts w:ascii="仿宋_GB2312" w:hAnsi="仿宋_GB2312" w:cs="仿宋_GB2312" w:eastAsia="仿宋_GB2312"/>
                      <w:sz w:val="21"/>
                      <w:b/>
                    </w:rPr>
                    <w:t>3台）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1</w:t>
                  </w:r>
                  <w:r>
                    <w:rPr>
                      <w:rFonts w:ascii="仿宋_GB2312" w:hAnsi="仿宋_GB2312" w:cs="仿宋_GB2312" w:eastAsia="仿宋_GB2312"/>
                      <w:sz w:val="21"/>
                    </w:rPr>
                    <w:t>）千兆电口</w:t>
                  </w:r>
                  <w:r>
                    <w:rPr>
                      <w:rFonts w:ascii="仿宋_GB2312" w:hAnsi="仿宋_GB2312" w:cs="仿宋_GB2312" w:eastAsia="仿宋_GB2312"/>
                      <w:sz w:val="21"/>
                    </w:rPr>
                    <w:t>≥24个，万兆SFP+光口≥4个；Console口≥1个；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交换容量</w:t>
                  </w:r>
                  <w:r>
                    <w:rPr>
                      <w:rFonts w:ascii="仿宋_GB2312" w:hAnsi="仿宋_GB2312" w:cs="仿宋_GB2312" w:eastAsia="仿宋_GB2312"/>
                      <w:sz w:val="21"/>
                    </w:rPr>
                    <w:t>≥600Gbps，包转发率≥170Mpps，若存在双参数以较小值为准；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3</w:t>
                  </w:r>
                  <w:r>
                    <w:rPr>
                      <w:rFonts w:ascii="仿宋_GB2312" w:hAnsi="仿宋_GB2312" w:cs="仿宋_GB2312" w:eastAsia="仿宋_GB2312"/>
                      <w:sz w:val="21"/>
                    </w:rPr>
                    <w:t>）支持防网关</w:t>
                  </w:r>
                  <w:r>
                    <w:rPr>
                      <w:rFonts w:ascii="仿宋_GB2312" w:hAnsi="仿宋_GB2312" w:cs="仿宋_GB2312" w:eastAsia="仿宋_GB2312"/>
                      <w:sz w:val="21"/>
                    </w:rPr>
                    <w:t>ARP欺骗，支持端口保护、隔离，支持防止DOS、ARP攻击功能，支持CPU保护功能；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M-LAG技术，跨设备链路聚合（非堆叠技术实现）；需支持联动第三方安全设备或平台，通过联动实现从系统及接入层交换机对风险终端MAC地址进行封堵。</w:t>
                  </w: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1/套</w:t>
                  </w:r>
                </w:p>
              </w:tc>
            </w:tr>
          </w:tbl>
          <w:p>
            <w:pPr>
              <w:pStyle w:val="null3"/>
            </w:pPr>
            <w:r>
              <w:rPr>
                <w:rFonts w:ascii="仿宋_GB2312" w:hAnsi="仿宋_GB2312" w:cs="仿宋_GB2312" w:eastAsia="仿宋_GB2312"/>
                <w:sz w:val="28"/>
                <w:b/>
              </w:rPr>
              <w:t>二、其它要求</w:t>
            </w:r>
          </w:p>
          <w:p>
            <w:pPr>
              <w:pStyle w:val="null3"/>
              <w:ind w:firstLine="400"/>
            </w:pPr>
            <w:r>
              <w:rPr>
                <w:rFonts w:ascii="仿宋_GB2312" w:hAnsi="仿宋_GB2312" w:cs="仿宋_GB2312" w:eastAsia="仿宋_GB2312"/>
              </w:rPr>
              <w:t>1、</w:t>
            </w:r>
            <w:r>
              <w:rPr>
                <w:rFonts w:ascii="仿宋_GB2312" w:hAnsi="仿宋_GB2312" w:cs="仿宋_GB2312" w:eastAsia="仿宋_GB2312"/>
              </w:rPr>
              <w:t>在维保期内免费提供故障排除、定期巡检，备件更换，系统升级等服务。售后人员</w:t>
            </w:r>
            <w:r>
              <w:rPr>
                <w:rFonts w:ascii="仿宋_GB2312" w:hAnsi="仿宋_GB2312" w:cs="仿宋_GB2312" w:eastAsia="仿宋_GB2312"/>
              </w:rPr>
              <w:t>7*24小时服务，设备和系统出现故障时2小时内响应，24小时内到达现场进行故障排处。</w:t>
            </w:r>
          </w:p>
          <w:p>
            <w:pPr>
              <w:pStyle w:val="null3"/>
              <w:ind w:firstLine="400"/>
            </w:pPr>
            <w:r>
              <w:rPr>
                <w:rFonts w:ascii="仿宋_GB2312" w:hAnsi="仿宋_GB2312" w:cs="仿宋_GB2312" w:eastAsia="仿宋_GB2312"/>
              </w:rPr>
              <w:t>2、</w:t>
            </w:r>
            <w:r>
              <w:rPr>
                <w:rFonts w:ascii="仿宋_GB2312" w:hAnsi="仿宋_GB2312" w:cs="仿宋_GB2312" w:eastAsia="仿宋_GB2312"/>
              </w:rPr>
              <w:t>培训要求：提供免费的技术培训，包括但不限于所有软件系统的使用方法和技巧；所有硬件设备的使用和维护方法；实训课程的案例、题库等相关知识技巧，培训时长不少于</w:t>
            </w:r>
            <w:r>
              <w:rPr>
                <w:rFonts w:ascii="仿宋_GB2312" w:hAnsi="仿宋_GB2312" w:cs="仿宋_GB2312" w:eastAsia="仿宋_GB2312"/>
              </w:rPr>
              <w:t>5天。</w:t>
            </w:r>
          </w:p>
          <w:p>
            <w:pPr>
              <w:pStyle w:val="null3"/>
              <w:ind w:firstLine="400"/>
            </w:pPr>
            <w:r>
              <w:rPr>
                <w:rFonts w:ascii="仿宋_GB2312" w:hAnsi="仿宋_GB2312" w:cs="仿宋_GB2312" w:eastAsia="仿宋_GB2312"/>
              </w:rPr>
              <w:t>3、投标人承诺如若中标负责为采购人提供不低于2人培训且取得CAAC执照，并承诺提供3年无人机机身险和三责险且为本项目提供原厂售后服务。</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供应商需提供设备出厂检验报告、产品合格证、雷达频率使用许可证等全套随机文件。 在双方商定的标准测试环境下（如：开阔地、有角反射器等标准目标物）进行飞行数据采集。采集的数据需在现场使用配套的处理软件进行快速成像和处理。对部署好的两个或多个角反射器进行飞行成像。处理后的图像中，能清晰分辨出两个角反射器，其距离向和方位向分辨率均需达到或优于合同规定值 整套系统（无人机平台、SAR雷达、数据链、地面站、处理软件）已完成集成、安装与调试，可独立执行完整的飞行与数据处理任务。 供应商需在验收前提供详细的《培训大纲》，包括：SAR基本原理、系统组成与功能、飞行安全规范、任务规划方法、设备操作流程、数据采集技巧、数据处理流程、常见故障诊断与排除、设备维护保养等。通过现场培训，能够让1-2名指定参训人员独立、正确、高效地操作整套系统，并理解基本原理和故障排除方法，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质保期：设备质保3年，软件免费提供升级，硬件质保期过后若出现故障，零配件按出厂价提供。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投标人需提供参加本次政府采购活动前3年内在经营活动中没有重大违法记录的书面声明并进行电子签章。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投标人需提供具有履行合同所必需的设备和专业技术能力书面声明函并进行电子签章。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商务条款响应说明.docx 技术指标偏差表.docx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根据投标人对所投产品技术参数的响应情况进行评审：完全符合、响应招标文件要求，没有负偏离计24分；“▲”号参数为重要技术指标，每负偏离一项扣1分，非“▲”号参数每负偏离一项扣0.2分，扣完为止。 备注： 技术参数中“▲”参数须提供相应的佐证材料（包括但不限于产品彩页、说明书、检测报告、官网和功能截图等）予以证明技术的响应性，否则视为负偏离，不计分。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1、完全满足招标文件要求，无瑕疵计14分； 2、存在1处瑕疵计12分； 3、存在2处瑕疵计10分； 4、存在3处瑕疵计8分； 5、存在4处瑕疵计6分； 6、存在5处瑕疵计4分； 7、存在6处瑕疵计2分；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投标人在产品使用、技术保障方面的方案及保证措施，根据响应程度按差别赋分。 1、完全满足招标文件要求，无瑕疵计4分； 2、存在1处瑕疵计3分； 3、存在2处瑕疵计2分； 3、存在3处瑕疵计1分； 4、未提供或内容存在4处及以上瑕疵：0分。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培训课程地点和时间、培训的内容、方式、次数等，培训内容应包括所提供产品的原理和技术性能、操作方法、安装调试、排除故障等各个方面，培训的具体日期及人数由使用单位确定。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提供所投产品（无人直升机平台、相控阵合成孔径雷达SAR系统、SAR成像处理软件）合法来源渠道证明文件（包括但不限于销售协议或代理协议或原厂授权等），每提供1个产品计1分，满分3分，未提供不计分。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投标人提供2022年1月1日至今（以合同签订日期为准）类似项目业绩合同，每提供一份计1分，满分4分。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