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版本号：KY2025-1-122920260109001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主院区介入放射科飞利浦DSA维修服务采购项目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KY2025-1-1229</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主院区介入放射科飞利浦DSA维修服务采购项目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KY2025-1-1229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主院区介入放射科飞利浦DSA维修服务采购项目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陕西省人民医院主院区介入放射科飞利浦DSA维修服务采购项目，具体内容详见单一来源采购文件第三部分。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银行账号：86113010750181502000839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50万元（含）以下项目按照下浮40%进行收取；50万元（不含）以上的项目按照下浮43%进行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陕西省人民医院主院区介入放射科飞利浦DSA维修服务采购项目，具体内容详见采购需求。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1,220,000.00</w:t>
      </w:r>
    </w:p>
    <w:p>
      <w:pPr>
        <w:pStyle w:val="null3"/>
      </w:pPr>
      <w:r>
        <w:rPr>
          <w:rFonts w:ascii="仿宋_GB2312" w:hAnsi="仿宋_GB2312" w:cs="仿宋_GB2312" w:eastAsia="仿宋_GB2312"/>
        </w:rPr>
        <w:t>采购包最高限价（元）: 1,220,000.00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标的名称：更换球管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jc w:val="left"/>
            </w:pPr>
            <w:r>
              <w:rPr>
                <w:rFonts w:ascii="仿宋_GB2312" w:hAnsi="仿宋_GB2312" w:cs="仿宋_GB2312" w:eastAsia="仿宋_GB2312"/>
                <w:sz w:val="24"/>
              </w:rPr>
              <w:t>一、设备名称：主院区血管造影机</w:t>
            </w:r>
          </w:p>
          <w:p>
            <w:pPr>
              <w:pStyle w:val="null3"/>
              <w:ind w:firstLine="240"/>
              <w:jc w:val="left"/>
            </w:pPr>
            <w:r>
              <w:rPr>
                <w:rFonts w:ascii="仿宋_GB2312" w:hAnsi="仿宋_GB2312" w:cs="仿宋_GB2312" w:eastAsia="仿宋_GB2312"/>
                <w:sz w:val="24"/>
              </w:rPr>
              <w:t>型号：</w:t>
            </w:r>
            <w:r>
              <w:rPr>
                <w:rFonts w:ascii="仿宋_GB2312" w:hAnsi="仿宋_GB2312" w:cs="仿宋_GB2312" w:eastAsia="仿宋_GB2312"/>
                <w:sz w:val="24"/>
              </w:rPr>
              <w:t>FD20</w:t>
            </w:r>
          </w:p>
          <w:p>
            <w:pPr>
              <w:pStyle w:val="null3"/>
              <w:ind w:firstLine="240"/>
              <w:jc w:val="left"/>
            </w:pPr>
            <w:r>
              <w:rPr>
                <w:rFonts w:ascii="仿宋_GB2312" w:hAnsi="仿宋_GB2312" w:cs="仿宋_GB2312" w:eastAsia="仿宋_GB2312"/>
                <w:sz w:val="24"/>
              </w:rPr>
              <w:t>序列号：</w:t>
            </w:r>
            <w:r>
              <w:rPr>
                <w:rFonts w:ascii="仿宋_GB2312" w:hAnsi="仿宋_GB2312" w:cs="仿宋_GB2312" w:eastAsia="仿宋_GB2312"/>
                <w:sz w:val="24"/>
              </w:rPr>
              <w:t>84732243</w:t>
            </w:r>
          </w:p>
          <w:p>
            <w:pPr>
              <w:pStyle w:val="null3"/>
              <w:ind w:firstLine="240"/>
              <w:jc w:val="left"/>
            </w:pPr>
            <w:r>
              <w:rPr>
                <w:rFonts w:ascii="仿宋_GB2312" w:hAnsi="仿宋_GB2312" w:cs="仿宋_GB2312" w:eastAsia="仿宋_GB2312"/>
                <w:sz w:val="24"/>
              </w:rPr>
              <w:t>二、故障说明：球管焦点损坏，不能曝光</w:t>
            </w:r>
          </w:p>
          <w:p>
            <w:pPr>
              <w:pStyle w:val="null3"/>
              <w:ind w:firstLine="240"/>
              <w:jc w:val="left"/>
            </w:pPr>
            <w:r>
              <w:rPr>
                <w:rFonts w:ascii="仿宋_GB2312" w:hAnsi="仿宋_GB2312" w:cs="仿宋_GB2312" w:eastAsia="仿宋_GB2312"/>
                <w:sz w:val="24"/>
              </w:rPr>
              <w:t>三、解决方案：更换球管</w:t>
            </w:r>
          </w:p>
          <w:p>
            <w:pPr>
              <w:pStyle w:val="null3"/>
              <w:ind w:firstLine="240"/>
              <w:jc w:val="left"/>
            </w:pPr>
            <w:r>
              <w:rPr>
                <w:rFonts w:ascii="仿宋_GB2312" w:hAnsi="仿宋_GB2312" w:cs="仿宋_GB2312" w:eastAsia="仿宋_GB2312"/>
                <w:sz w:val="24"/>
              </w:rPr>
              <w:t>四、需采购配件的名称及型号数量</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备件名称：球管</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轴承</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液态金属轴承</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热容量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≥2.4M</w:t>
                  </w:r>
                  <w:r>
                    <w:rPr>
                      <w:rFonts w:ascii="仿宋_GB2312" w:hAnsi="仿宋_GB2312" w:cs="仿宋_GB2312" w:eastAsia="仿宋_GB2312"/>
                      <w:sz w:val="24"/>
                    </w:rPr>
                    <w:t>HU</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阳极散热率</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11000W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阳极转速</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4200转/分钟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焦点数</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焦点尺寸（</w:t>
                  </w:r>
                  <w:r>
                    <w:rPr>
                      <w:rFonts w:ascii="仿宋_GB2312" w:hAnsi="仿宋_GB2312" w:cs="仿宋_GB2312" w:eastAsia="仿宋_GB2312"/>
                      <w:sz w:val="24"/>
                      <w:color w:val="000000"/>
                    </w:rPr>
                    <w:t>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小焦点</w:t>
                  </w:r>
                  <w:r>
                    <w:rPr>
                      <w:rFonts w:ascii="仿宋_GB2312" w:hAnsi="仿宋_GB2312" w:cs="仿宋_GB2312" w:eastAsia="仿宋_GB2312"/>
                      <w:sz w:val="24"/>
                      <w:color w:val="000000"/>
                    </w:rPr>
                    <w:t>0.4mm，大焦点0.7mm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冷却方式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油冷</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阳极靶边直径</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内置栅控</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非高压发生器控制脉冲透视</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靶面角度</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最大管电压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150KV</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内置金属铜滤片厚度</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球管外壳</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金属陶瓷外壳</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自合同签订之日起，乙方开具符合甲方要求的全额发票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 4、保证金的退还：自采购合同签订之日起5个工作日内退还成交供应商的协商保证金。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响应方案说明.docx 报价表、分项报价表.docx 标的清单 报价表 服务内容及服务要求应答表.docx 供应商资格证明文件.docx 响应函 供应商承诺书.docx 商务条款响应说明.docx 保证金交纳凭证（保函）.docx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报价表、分项报价表.docx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 报价表、分项报价表.docx 报价表 供应商承诺书.docx 商务条款响应说明.docx 保证金交纳凭证（保函）.docx 响应文件封面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 报价表、分项报价表.docx 报价表 供应商承诺书.docx 商务条款响应说明.docx 保证金交纳凭证（保函）.docx 响应文件封面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 报价表、分项报价表.docx 报价表 供应商承诺书.docx 商务条款响应说明.docx 保证金交纳凭证（保函）.docx 响应文件封面 残疾人福利性单位声明函 标的清单 服务内容及服务要求应答表.docx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