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开标一览表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497546923"/>
      <w:bookmarkEnd w:id="0"/>
      <w:bookmarkStart w:id="1" w:name="_Toc385992405"/>
      <w:bookmarkEnd w:id="1"/>
      <w:bookmarkStart w:id="2" w:name="_Toc497551825"/>
      <w:bookmarkEnd w:id="2"/>
      <w:bookmarkStart w:id="3" w:name="_Toc497711590"/>
      <w:bookmarkEnd w:id="3"/>
      <w:bookmarkStart w:id="4" w:name="_Hlt491766443"/>
      <w:bookmarkEnd w:id="4"/>
      <w:bookmarkStart w:id="5" w:name="_Toc492955464"/>
      <w:bookmarkEnd w:id="5"/>
      <w:bookmarkStart w:id="6" w:name="_Toc389620245"/>
      <w:bookmarkEnd w:id="6"/>
      <w:bookmarkStart w:id="7" w:name="_Toc497712138"/>
      <w:bookmarkEnd w:id="7"/>
      <w:bookmarkStart w:id="8" w:name="_Toc2469289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default" w:ascii="仿宋_GB2312" w:hAnsi="仿宋_GB2312" w:eastAsia="仿宋_GB2312" w:cs="仿宋_GB2312"/>
          <w:b/>
          <w:bCs/>
          <w:kern w:val="1"/>
          <w:sz w:val="24"/>
          <w:szCs w:val="24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若投标文件其它部分</w:t>
      </w: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交货期、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  <w:t>付款方式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质保期的响应与此报价表不一致时，以本报价表响应内容为准。</w:t>
      </w: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本表所列产品型号为所投产品型号，应与所附注册证型号保持一致，此项属于实质性条款，不接受澄清，若与注册证型号不一致将视为无效投标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99EC9D6">
      <w:pPr>
        <w:rPr>
          <w:rFonts w:hint="eastAsia" w:ascii="仿宋_GB2312" w:hAnsi="仿宋_GB2312" w:eastAsia="仿宋_GB2312" w:cs="仿宋_GB2312"/>
        </w:rPr>
      </w:pPr>
    </w:p>
    <w:p w14:paraId="7149647D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4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2026-01-09T07:57:52Z</dcterms:created>
  <dc:creator>Administrator</dc:creator>
  <cp:lastModifiedBy>夏日微凉</cp:lastModifiedBy>
  <dcterms:modified xsi:type="dcterms:W3CDTF">2026-01-09T07:58:23Z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6E88B855FDA4452BB4B7654AA23B76FC_12</vt:lpwstr>
  </property>
</Properties>
</file>