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5E2020">
      <w:pPr>
        <w:outlineLvl w:val="9"/>
        <w:rPr>
          <w:rFonts w:hint="eastAsia" w:ascii="仿宋_GB2312" w:hAnsi="仿宋_GB2312" w:eastAsia="仿宋_GB2312" w:cs="仿宋_GB2312"/>
          <w:sz w:val="32"/>
          <w:szCs w:val="32"/>
          <w:highlight w:val="none"/>
        </w:rPr>
      </w:pPr>
      <w:bookmarkStart w:id="0" w:name="_Toc497712139"/>
      <w:bookmarkStart w:id="1" w:name="_Toc497711591"/>
      <w:bookmarkStart w:id="2" w:name="_Toc233435988"/>
      <w:bookmarkStart w:id="3" w:name="_Toc385992406"/>
      <w:bookmarkStart w:id="4" w:name="_Toc497546924"/>
      <w:bookmarkStart w:id="5" w:name="_Toc492955465"/>
      <w:bookmarkStart w:id="6" w:name="_Toc497551826"/>
      <w:bookmarkStart w:id="7" w:name="_Toc7686"/>
      <w:bookmarkStart w:id="8" w:name="_Toc389620246"/>
      <w:r>
        <w:rPr>
          <w:rFonts w:hint="eastAsia" w:ascii="仿宋_GB2312" w:hAnsi="仿宋_GB2312" w:eastAsia="仿宋_GB2312" w:cs="仿宋_GB2312"/>
          <w:sz w:val="32"/>
          <w:szCs w:val="32"/>
          <w:highlight w:val="none"/>
        </w:rPr>
        <w:t>附件</w:t>
      </w:r>
      <w:bookmarkStart w:id="9" w:name="_Hlt491765535"/>
      <w:bookmarkEnd w:id="9"/>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规格、技术参数偏离表</w:t>
      </w:r>
      <w:bookmarkEnd w:id="0"/>
      <w:bookmarkEnd w:id="1"/>
      <w:bookmarkEnd w:id="2"/>
      <w:bookmarkEnd w:id="3"/>
      <w:bookmarkEnd w:id="4"/>
      <w:bookmarkEnd w:id="5"/>
      <w:bookmarkEnd w:id="6"/>
      <w:bookmarkEnd w:id="7"/>
      <w:bookmarkEnd w:id="8"/>
    </w:p>
    <w:p w14:paraId="305EE9A6">
      <w:pPr>
        <w:pStyle w:val="3"/>
        <w:rPr>
          <w:rFonts w:hint="eastAsia" w:ascii="仿宋_GB2312" w:hAnsi="仿宋_GB2312" w:eastAsia="仿宋_GB2312" w:cs="仿宋_GB2312"/>
        </w:rPr>
      </w:pPr>
    </w:p>
    <w:p w14:paraId="146F7019">
      <w:pPr>
        <w:tabs>
          <w:tab w:val="left" w:pos="6390"/>
        </w:tabs>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rPr>
        <w:t>供应商名称：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  项目编号：</w:t>
      </w:r>
      <w:r>
        <w:rPr>
          <w:rFonts w:hint="eastAsia" w:ascii="仿宋_GB2312" w:hAnsi="仿宋_GB2312" w:eastAsia="仿宋_GB2312" w:cs="仿宋_GB2312"/>
          <w:sz w:val="24"/>
          <w:u w:val="single"/>
        </w:rPr>
        <w:t xml:space="preserve">           </w:t>
      </w:r>
    </w:p>
    <w:p w14:paraId="4729F7FC">
      <w:pPr>
        <w:jc w:val="right"/>
        <w:rPr>
          <w:rFonts w:hint="eastAsia" w:ascii="仿宋_GB2312" w:hAnsi="仿宋_GB2312" w:eastAsia="仿宋_GB2312" w:cs="仿宋_GB2312"/>
          <w:sz w:val="24"/>
        </w:rPr>
      </w:pPr>
      <w:r>
        <w:rPr>
          <w:rFonts w:hint="eastAsia" w:ascii="仿宋_GB2312" w:hAnsi="仿宋_GB2312" w:eastAsia="仿宋_GB2312" w:cs="仿宋_GB2312"/>
          <w:sz w:val="24"/>
        </w:rPr>
        <w:t xml:space="preserve">                                            第</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页共</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页</w:t>
      </w:r>
    </w:p>
    <w:tbl>
      <w:tblPr>
        <w:tblStyle w:val="4"/>
        <w:tblW w:w="499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763"/>
        <w:gridCol w:w="1616"/>
        <w:gridCol w:w="2042"/>
        <w:gridCol w:w="1830"/>
        <w:gridCol w:w="1293"/>
        <w:gridCol w:w="815"/>
      </w:tblGrid>
      <w:tr w14:paraId="1A84B0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jc w:val="center"/>
        </w:trPr>
        <w:tc>
          <w:tcPr>
            <w:tcW w:w="456" w:type="pct"/>
            <w:noWrap w:val="0"/>
            <w:vAlign w:val="top"/>
          </w:tcPr>
          <w:p w14:paraId="452965F3">
            <w:pPr>
              <w:spacing w:line="400" w:lineRule="atLeast"/>
              <w:jc w:val="center"/>
              <w:rPr>
                <w:rFonts w:hint="eastAsia" w:ascii="仿宋_GB2312" w:hAnsi="仿宋_GB2312" w:eastAsia="仿宋_GB2312" w:cs="仿宋_GB2312"/>
                <w:b/>
                <w:bCs/>
                <w:sz w:val="24"/>
                <w:highlight w:val="none"/>
                <w:lang w:eastAsia="zh-CN"/>
              </w:rPr>
            </w:pPr>
            <w:r>
              <w:rPr>
                <w:rFonts w:hint="eastAsia" w:ascii="仿宋_GB2312" w:hAnsi="仿宋_GB2312" w:eastAsia="仿宋_GB2312" w:cs="仿宋_GB2312"/>
                <w:b/>
                <w:bCs/>
                <w:sz w:val="24"/>
                <w:highlight w:val="none"/>
                <w:lang w:val="en-US" w:eastAsia="zh-CN"/>
              </w:rPr>
              <w:t>序号</w:t>
            </w:r>
          </w:p>
        </w:tc>
        <w:tc>
          <w:tcPr>
            <w:tcW w:w="966" w:type="pct"/>
            <w:noWrap w:val="0"/>
            <w:vAlign w:val="top"/>
          </w:tcPr>
          <w:p w14:paraId="5BF24CDA">
            <w:pPr>
              <w:spacing w:line="400" w:lineRule="atLeast"/>
              <w:jc w:val="center"/>
              <w:rPr>
                <w:rFonts w:hint="eastAsia" w:ascii="仿宋_GB2312" w:hAnsi="仿宋_GB2312" w:eastAsia="仿宋_GB2312" w:cs="仿宋_GB2312"/>
                <w:b/>
                <w:bCs/>
                <w:sz w:val="24"/>
                <w:highlight w:val="none"/>
                <w:lang w:val="en-US" w:eastAsia="zh-CN"/>
              </w:rPr>
            </w:pPr>
            <w:r>
              <w:rPr>
                <w:rFonts w:hint="eastAsia" w:ascii="仿宋_GB2312" w:hAnsi="仿宋_GB2312" w:eastAsia="仿宋_GB2312" w:cs="仿宋_GB2312"/>
                <w:b/>
                <w:bCs/>
                <w:sz w:val="24"/>
                <w:highlight w:val="none"/>
                <w:lang w:val="en-US" w:eastAsia="zh-CN"/>
              </w:rPr>
              <w:t>设备名称</w:t>
            </w:r>
          </w:p>
        </w:tc>
        <w:tc>
          <w:tcPr>
            <w:tcW w:w="1221" w:type="pct"/>
            <w:noWrap w:val="0"/>
            <w:vAlign w:val="top"/>
          </w:tcPr>
          <w:p w14:paraId="619C94EB">
            <w:pPr>
              <w:spacing w:line="400" w:lineRule="atLeast"/>
              <w:jc w:val="cente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招标规格</w:t>
            </w:r>
          </w:p>
        </w:tc>
        <w:tc>
          <w:tcPr>
            <w:tcW w:w="1094" w:type="pct"/>
            <w:noWrap w:val="0"/>
            <w:vAlign w:val="top"/>
          </w:tcPr>
          <w:p w14:paraId="1FA7C7CD">
            <w:pPr>
              <w:spacing w:line="400" w:lineRule="atLeast"/>
              <w:jc w:val="cente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投标规格</w:t>
            </w:r>
          </w:p>
        </w:tc>
        <w:tc>
          <w:tcPr>
            <w:tcW w:w="773" w:type="pct"/>
            <w:noWrap w:val="0"/>
            <w:vAlign w:val="top"/>
          </w:tcPr>
          <w:p w14:paraId="29E659CF">
            <w:pPr>
              <w:spacing w:line="400" w:lineRule="atLeast"/>
              <w:jc w:val="cente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偏离</w:t>
            </w:r>
          </w:p>
        </w:tc>
        <w:tc>
          <w:tcPr>
            <w:tcW w:w="487" w:type="pct"/>
            <w:noWrap w:val="0"/>
            <w:vAlign w:val="top"/>
          </w:tcPr>
          <w:p w14:paraId="7C8F0422">
            <w:pPr>
              <w:spacing w:line="400" w:lineRule="atLeast"/>
              <w:jc w:val="cente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佐证材料页码</w:t>
            </w:r>
          </w:p>
        </w:tc>
      </w:tr>
      <w:tr w14:paraId="36A1F9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56A713B3">
            <w:pPr>
              <w:spacing w:line="400" w:lineRule="atLeast"/>
              <w:jc w:val="center"/>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1</w:t>
            </w:r>
          </w:p>
        </w:tc>
        <w:tc>
          <w:tcPr>
            <w:tcW w:w="966" w:type="pct"/>
            <w:noWrap w:val="0"/>
            <w:vAlign w:val="top"/>
          </w:tcPr>
          <w:p w14:paraId="55D786B4">
            <w:pPr>
              <w:spacing w:line="400" w:lineRule="atLeast"/>
              <w:jc w:val="center"/>
              <w:rPr>
                <w:rFonts w:hint="eastAsia" w:ascii="仿宋_GB2312" w:hAnsi="仿宋_GB2312" w:eastAsia="仿宋_GB2312" w:cs="仿宋_GB2312"/>
                <w:sz w:val="24"/>
                <w:highlight w:val="none"/>
              </w:rPr>
            </w:pPr>
          </w:p>
        </w:tc>
        <w:tc>
          <w:tcPr>
            <w:tcW w:w="1221" w:type="pct"/>
            <w:noWrap w:val="0"/>
            <w:vAlign w:val="top"/>
          </w:tcPr>
          <w:p w14:paraId="07B4C711">
            <w:pPr>
              <w:spacing w:line="400" w:lineRule="atLeast"/>
              <w:jc w:val="center"/>
              <w:rPr>
                <w:rFonts w:hint="eastAsia" w:ascii="仿宋_GB2312" w:hAnsi="仿宋_GB2312" w:eastAsia="仿宋_GB2312" w:cs="仿宋_GB2312"/>
                <w:sz w:val="24"/>
                <w:highlight w:val="none"/>
              </w:rPr>
            </w:pPr>
          </w:p>
        </w:tc>
        <w:tc>
          <w:tcPr>
            <w:tcW w:w="1094" w:type="pct"/>
            <w:noWrap w:val="0"/>
            <w:vAlign w:val="top"/>
          </w:tcPr>
          <w:p w14:paraId="26B26EB4">
            <w:pPr>
              <w:spacing w:line="400" w:lineRule="atLeast"/>
              <w:jc w:val="center"/>
              <w:rPr>
                <w:rFonts w:hint="eastAsia" w:ascii="仿宋_GB2312" w:hAnsi="仿宋_GB2312" w:eastAsia="仿宋_GB2312" w:cs="仿宋_GB2312"/>
                <w:sz w:val="24"/>
                <w:highlight w:val="none"/>
              </w:rPr>
            </w:pPr>
          </w:p>
        </w:tc>
        <w:tc>
          <w:tcPr>
            <w:tcW w:w="773" w:type="pct"/>
            <w:noWrap w:val="0"/>
            <w:vAlign w:val="top"/>
          </w:tcPr>
          <w:p w14:paraId="7521E96D">
            <w:pPr>
              <w:spacing w:line="400" w:lineRule="atLeast"/>
              <w:jc w:val="center"/>
              <w:rPr>
                <w:rFonts w:hint="eastAsia" w:ascii="仿宋_GB2312" w:hAnsi="仿宋_GB2312" w:eastAsia="仿宋_GB2312" w:cs="仿宋_GB2312"/>
                <w:sz w:val="24"/>
                <w:highlight w:val="none"/>
              </w:rPr>
            </w:pPr>
          </w:p>
        </w:tc>
        <w:tc>
          <w:tcPr>
            <w:tcW w:w="487" w:type="pct"/>
            <w:noWrap w:val="0"/>
            <w:vAlign w:val="top"/>
          </w:tcPr>
          <w:p w14:paraId="7BA57A83">
            <w:pPr>
              <w:spacing w:line="400" w:lineRule="atLeast"/>
              <w:jc w:val="center"/>
              <w:rPr>
                <w:rFonts w:hint="eastAsia" w:ascii="仿宋_GB2312" w:hAnsi="仿宋_GB2312" w:eastAsia="仿宋_GB2312" w:cs="仿宋_GB2312"/>
                <w:sz w:val="24"/>
                <w:highlight w:val="none"/>
              </w:rPr>
            </w:pPr>
          </w:p>
        </w:tc>
      </w:tr>
      <w:tr w14:paraId="4F98E3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62F3FB15">
            <w:pPr>
              <w:spacing w:line="400" w:lineRule="atLeast"/>
              <w:jc w:val="center"/>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2</w:t>
            </w:r>
          </w:p>
        </w:tc>
        <w:tc>
          <w:tcPr>
            <w:tcW w:w="966" w:type="pct"/>
            <w:noWrap w:val="0"/>
            <w:vAlign w:val="top"/>
          </w:tcPr>
          <w:p w14:paraId="19A3FD93">
            <w:pPr>
              <w:spacing w:line="400" w:lineRule="atLeast"/>
              <w:jc w:val="center"/>
              <w:rPr>
                <w:rFonts w:hint="eastAsia" w:ascii="仿宋_GB2312" w:hAnsi="仿宋_GB2312" w:eastAsia="仿宋_GB2312" w:cs="仿宋_GB2312"/>
                <w:sz w:val="24"/>
                <w:highlight w:val="none"/>
              </w:rPr>
            </w:pPr>
          </w:p>
        </w:tc>
        <w:tc>
          <w:tcPr>
            <w:tcW w:w="1221" w:type="pct"/>
            <w:noWrap w:val="0"/>
            <w:vAlign w:val="top"/>
          </w:tcPr>
          <w:p w14:paraId="5F547E12">
            <w:pPr>
              <w:spacing w:line="400" w:lineRule="atLeast"/>
              <w:jc w:val="center"/>
              <w:rPr>
                <w:rFonts w:hint="eastAsia" w:ascii="仿宋_GB2312" w:hAnsi="仿宋_GB2312" w:eastAsia="仿宋_GB2312" w:cs="仿宋_GB2312"/>
                <w:sz w:val="24"/>
                <w:highlight w:val="none"/>
              </w:rPr>
            </w:pPr>
          </w:p>
        </w:tc>
        <w:tc>
          <w:tcPr>
            <w:tcW w:w="1094" w:type="pct"/>
            <w:noWrap w:val="0"/>
            <w:vAlign w:val="top"/>
          </w:tcPr>
          <w:p w14:paraId="6708FD11">
            <w:pPr>
              <w:spacing w:line="400" w:lineRule="atLeast"/>
              <w:jc w:val="center"/>
              <w:rPr>
                <w:rFonts w:hint="eastAsia" w:ascii="仿宋_GB2312" w:hAnsi="仿宋_GB2312" w:eastAsia="仿宋_GB2312" w:cs="仿宋_GB2312"/>
                <w:sz w:val="24"/>
                <w:highlight w:val="none"/>
              </w:rPr>
            </w:pPr>
          </w:p>
        </w:tc>
        <w:tc>
          <w:tcPr>
            <w:tcW w:w="773" w:type="pct"/>
            <w:noWrap w:val="0"/>
            <w:vAlign w:val="top"/>
          </w:tcPr>
          <w:p w14:paraId="259C7A2F">
            <w:pPr>
              <w:spacing w:line="400" w:lineRule="atLeast"/>
              <w:jc w:val="center"/>
              <w:rPr>
                <w:rFonts w:hint="eastAsia" w:ascii="仿宋_GB2312" w:hAnsi="仿宋_GB2312" w:eastAsia="仿宋_GB2312" w:cs="仿宋_GB2312"/>
                <w:sz w:val="24"/>
                <w:highlight w:val="none"/>
              </w:rPr>
            </w:pPr>
          </w:p>
        </w:tc>
        <w:tc>
          <w:tcPr>
            <w:tcW w:w="487" w:type="pct"/>
            <w:noWrap w:val="0"/>
            <w:vAlign w:val="top"/>
          </w:tcPr>
          <w:p w14:paraId="041F7EC1">
            <w:pPr>
              <w:spacing w:line="400" w:lineRule="atLeast"/>
              <w:jc w:val="center"/>
              <w:rPr>
                <w:rFonts w:hint="eastAsia" w:ascii="仿宋_GB2312" w:hAnsi="仿宋_GB2312" w:eastAsia="仿宋_GB2312" w:cs="仿宋_GB2312"/>
                <w:sz w:val="24"/>
                <w:highlight w:val="none"/>
              </w:rPr>
            </w:pPr>
          </w:p>
        </w:tc>
      </w:tr>
      <w:tr w14:paraId="27946F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0A3B6473">
            <w:pPr>
              <w:spacing w:line="400" w:lineRule="atLeast"/>
              <w:jc w:val="center"/>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w:t>
            </w:r>
          </w:p>
        </w:tc>
        <w:tc>
          <w:tcPr>
            <w:tcW w:w="966" w:type="pct"/>
            <w:noWrap w:val="0"/>
            <w:vAlign w:val="top"/>
          </w:tcPr>
          <w:p w14:paraId="0241E246">
            <w:pPr>
              <w:spacing w:line="400" w:lineRule="atLeast"/>
              <w:jc w:val="center"/>
              <w:rPr>
                <w:rFonts w:hint="eastAsia" w:ascii="仿宋_GB2312" w:hAnsi="仿宋_GB2312" w:eastAsia="仿宋_GB2312" w:cs="仿宋_GB2312"/>
                <w:sz w:val="24"/>
                <w:highlight w:val="none"/>
              </w:rPr>
            </w:pPr>
          </w:p>
        </w:tc>
        <w:tc>
          <w:tcPr>
            <w:tcW w:w="1221" w:type="pct"/>
            <w:noWrap w:val="0"/>
            <w:vAlign w:val="top"/>
          </w:tcPr>
          <w:p w14:paraId="7DD54B03">
            <w:pPr>
              <w:spacing w:line="400" w:lineRule="atLeast"/>
              <w:jc w:val="center"/>
              <w:rPr>
                <w:rFonts w:hint="eastAsia" w:ascii="仿宋_GB2312" w:hAnsi="仿宋_GB2312" w:eastAsia="仿宋_GB2312" w:cs="仿宋_GB2312"/>
                <w:sz w:val="24"/>
                <w:highlight w:val="none"/>
              </w:rPr>
            </w:pPr>
          </w:p>
        </w:tc>
        <w:tc>
          <w:tcPr>
            <w:tcW w:w="1094" w:type="pct"/>
            <w:noWrap w:val="0"/>
            <w:vAlign w:val="top"/>
          </w:tcPr>
          <w:p w14:paraId="7AA7E3A8">
            <w:pPr>
              <w:spacing w:line="400" w:lineRule="atLeast"/>
              <w:jc w:val="center"/>
              <w:rPr>
                <w:rFonts w:hint="eastAsia" w:ascii="仿宋_GB2312" w:hAnsi="仿宋_GB2312" w:eastAsia="仿宋_GB2312" w:cs="仿宋_GB2312"/>
                <w:sz w:val="24"/>
                <w:highlight w:val="none"/>
              </w:rPr>
            </w:pPr>
          </w:p>
        </w:tc>
        <w:tc>
          <w:tcPr>
            <w:tcW w:w="773" w:type="pct"/>
            <w:noWrap w:val="0"/>
            <w:vAlign w:val="top"/>
          </w:tcPr>
          <w:p w14:paraId="08E7854C">
            <w:pPr>
              <w:spacing w:line="400" w:lineRule="atLeast"/>
              <w:jc w:val="center"/>
              <w:rPr>
                <w:rFonts w:hint="eastAsia" w:ascii="仿宋_GB2312" w:hAnsi="仿宋_GB2312" w:eastAsia="仿宋_GB2312" w:cs="仿宋_GB2312"/>
                <w:sz w:val="24"/>
                <w:highlight w:val="none"/>
              </w:rPr>
            </w:pPr>
          </w:p>
        </w:tc>
        <w:tc>
          <w:tcPr>
            <w:tcW w:w="487" w:type="pct"/>
            <w:noWrap w:val="0"/>
            <w:vAlign w:val="top"/>
          </w:tcPr>
          <w:p w14:paraId="47440853">
            <w:pPr>
              <w:spacing w:line="400" w:lineRule="atLeast"/>
              <w:jc w:val="center"/>
              <w:rPr>
                <w:rFonts w:hint="eastAsia" w:ascii="仿宋_GB2312" w:hAnsi="仿宋_GB2312" w:eastAsia="仿宋_GB2312" w:cs="仿宋_GB2312"/>
                <w:sz w:val="24"/>
                <w:highlight w:val="none"/>
              </w:rPr>
            </w:pPr>
          </w:p>
        </w:tc>
      </w:tr>
    </w:tbl>
    <w:p w14:paraId="6971AA0C">
      <w:pPr>
        <w:spacing w:line="400" w:lineRule="atLeast"/>
        <w:rPr>
          <w:rFonts w:hint="eastAsia" w:ascii="仿宋_GB2312" w:hAnsi="仿宋_GB2312" w:eastAsia="仿宋_GB2312" w:cs="仿宋_GB2312"/>
          <w:sz w:val="24"/>
          <w:highlight w:val="none"/>
        </w:rPr>
      </w:pPr>
    </w:p>
    <w:p w14:paraId="6CEDD71C">
      <w:pPr>
        <w:spacing w:line="400" w:lineRule="atLeast"/>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rPr>
        <w:t>注：1、所有技术条款须列明偏离情况。对于有偏离的必须具体指出技术指标项目，无偏离条款须填写“无偏离”。</w:t>
      </w:r>
    </w:p>
    <w:p w14:paraId="01AF7E84">
      <w:pPr>
        <w:spacing w:line="400" w:lineRule="atLeast"/>
        <w:ind w:firstLine="480" w:firstLineChars="200"/>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2、</w:t>
      </w:r>
      <w:r>
        <w:rPr>
          <w:rFonts w:hint="eastAsia" w:ascii="仿宋_GB2312" w:hAnsi="仿宋_GB2312" w:eastAsia="仿宋_GB2312" w:cs="仿宋_GB2312"/>
          <w:b/>
          <w:bCs/>
          <w:sz w:val="22"/>
          <w:szCs w:val="22"/>
          <w:u w:val="single"/>
        </w:rPr>
        <w:t>▲参数需提供相关的技术、功能证明材料</w:t>
      </w:r>
      <w:r>
        <w:rPr>
          <w:rFonts w:hint="eastAsia" w:ascii="仿宋_GB2312" w:hAnsi="仿宋_GB2312" w:eastAsia="仿宋_GB2312" w:cs="仿宋_GB2312"/>
          <w:sz w:val="22"/>
          <w:szCs w:val="22"/>
        </w:rPr>
        <w:t>（证明材料为第三方检测报告或制造商公开发布的产品彩页或官网截图）予以佐证，未提供证明材料的按负偏离认定</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其他参数以本表所填数据为准，</w:t>
      </w:r>
      <w:r>
        <w:rPr>
          <w:rFonts w:hint="eastAsia" w:ascii="仿宋_GB2312" w:hAnsi="仿宋_GB2312" w:eastAsia="仿宋_GB2312" w:cs="仿宋_GB2312"/>
          <w:sz w:val="24"/>
          <w:highlight w:val="none"/>
        </w:rPr>
        <w:t>请各供应商</w:t>
      </w:r>
      <w:r>
        <w:rPr>
          <w:rFonts w:hint="eastAsia" w:ascii="仿宋_GB2312" w:hAnsi="仿宋_GB2312" w:eastAsia="仿宋_GB2312" w:cs="仿宋_GB2312"/>
          <w:b/>
          <w:bCs/>
          <w:i/>
          <w:iCs/>
          <w:sz w:val="24"/>
          <w:highlight w:val="none"/>
          <w:u w:val="thick"/>
        </w:rPr>
        <w:t>慎重填写</w:t>
      </w:r>
      <w:r>
        <w:rPr>
          <w:rFonts w:hint="eastAsia" w:ascii="仿宋_GB2312" w:hAnsi="仿宋_GB2312" w:eastAsia="仿宋_GB2312" w:cs="仿宋_GB2312"/>
          <w:b/>
          <w:bCs/>
          <w:i/>
          <w:iCs/>
          <w:sz w:val="24"/>
          <w:highlight w:val="none"/>
          <w:u w:val="thick"/>
          <w:lang w:val="en-US" w:eastAsia="zh-CN"/>
        </w:rPr>
        <w:t>偏离情况</w:t>
      </w:r>
      <w:r>
        <w:rPr>
          <w:rFonts w:hint="eastAsia" w:ascii="仿宋_GB2312" w:hAnsi="仿宋_GB2312" w:eastAsia="仿宋_GB2312" w:cs="仿宋_GB2312"/>
          <w:b/>
          <w:bCs/>
          <w:i/>
          <w:iCs/>
          <w:sz w:val="24"/>
          <w:highlight w:val="none"/>
          <w:u w:val="thick"/>
        </w:rPr>
        <w:t>。</w:t>
      </w:r>
    </w:p>
    <w:p w14:paraId="7FB78710">
      <w:pPr>
        <w:spacing w:line="400" w:lineRule="atLeast"/>
        <w:ind w:firstLine="480"/>
        <w:rPr>
          <w:rFonts w:hint="eastAsia" w:ascii="仿宋_GB2312" w:hAnsi="仿宋_GB2312" w:eastAsia="仿宋_GB2312" w:cs="仿宋_GB2312"/>
          <w:sz w:val="24"/>
          <w:highlight w:val="none"/>
          <w:lang w:eastAsia="zh-CN"/>
        </w:rPr>
      </w:pPr>
      <w:r>
        <w:rPr>
          <w:rFonts w:hint="eastAsia" w:ascii="仿宋_GB2312" w:hAnsi="仿宋_GB2312" w:eastAsia="仿宋_GB2312" w:cs="仿宋_GB2312"/>
          <w:sz w:val="24"/>
          <w:highlight w:val="none"/>
          <w:lang w:val="en-US" w:eastAsia="zh-CN"/>
        </w:rPr>
        <w:t>3</w:t>
      </w:r>
      <w:r>
        <w:rPr>
          <w:rFonts w:hint="eastAsia" w:ascii="仿宋_GB2312" w:hAnsi="仿宋_GB2312" w:eastAsia="仿宋_GB2312" w:cs="仿宋_GB2312"/>
          <w:sz w:val="24"/>
          <w:highlight w:val="none"/>
        </w:rPr>
        <w:t>、若本表偏离情况与后附证明材料不符内容达到3项以上，将会影响评审得分，情节严重将可能会被评标委员会视为虚假响应</w:t>
      </w:r>
      <w:r>
        <w:rPr>
          <w:rFonts w:hint="eastAsia" w:ascii="仿宋_GB2312" w:hAnsi="仿宋_GB2312" w:eastAsia="仿宋_GB2312" w:cs="仿宋_GB2312"/>
          <w:sz w:val="24"/>
          <w:highlight w:val="none"/>
          <w:lang w:eastAsia="zh-CN"/>
        </w:rPr>
        <w:t>；</w:t>
      </w:r>
    </w:p>
    <w:p w14:paraId="0EB83557">
      <w:pPr>
        <w:spacing w:line="400" w:lineRule="atLeast"/>
        <w:ind w:firstLine="48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4、</w:t>
      </w:r>
      <w:r>
        <w:rPr>
          <w:rFonts w:hint="eastAsia" w:ascii="仿宋_GB2312" w:hAnsi="仿宋_GB2312" w:eastAsia="仿宋_GB2312" w:cs="仿宋_GB2312"/>
          <w:sz w:val="24"/>
          <w:highlight w:val="none"/>
        </w:rPr>
        <w:t>若签订合同发现与</w:t>
      </w:r>
      <w:r>
        <w:rPr>
          <w:rFonts w:hint="eastAsia" w:ascii="仿宋_GB2312" w:hAnsi="仿宋_GB2312" w:eastAsia="仿宋_GB2312" w:cs="仿宋_GB2312"/>
          <w:sz w:val="24"/>
          <w:highlight w:val="none"/>
          <w:lang w:val="en-US" w:eastAsia="zh-CN"/>
        </w:rPr>
        <w:t>本表</w:t>
      </w:r>
      <w:r>
        <w:rPr>
          <w:rFonts w:hint="eastAsia" w:ascii="仿宋_GB2312" w:hAnsi="仿宋_GB2312" w:eastAsia="仿宋_GB2312" w:cs="仿宋_GB2312"/>
          <w:sz w:val="24"/>
          <w:highlight w:val="none"/>
        </w:rPr>
        <w:t>所投产品不符</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投标文件中为正偏离或无偏离</w:t>
      </w:r>
      <w:r>
        <w:rPr>
          <w:rFonts w:hint="eastAsia" w:ascii="仿宋_GB2312" w:hAnsi="仿宋_GB2312" w:eastAsia="仿宋_GB2312" w:cs="仿宋_GB2312"/>
          <w:sz w:val="24"/>
          <w:szCs w:val="22"/>
          <w:highlight w:val="none"/>
          <w:lang w:val="en-US" w:eastAsia="zh-CN"/>
        </w:rPr>
        <w:t>实</w:t>
      </w:r>
      <w:r>
        <w:rPr>
          <w:rFonts w:hint="eastAsia" w:ascii="仿宋_GB2312" w:hAnsi="仿宋_GB2312" w:eastAsia="仿宋_GB2312" w:cs="仿宋_GB2312"/>
          <w:sz w:val="24"/>
          <w:highlight w:val="none"/>
          <w:lang w:val="en-US" w:eastAsia="zh-CN"/>
        </w:rPr>
        <w:t>际为负偏离，</w:t>
      </w:r>
      <w:r>
        <w:rPr>
          <w:rFonts w:hint="eastAsia" w:ascii="仿宋_GB2312" w:hAnsi="仿宋_GB2312" w:eastAsia="仿宋_GB2312" w:cs="仿宋_GB2312"/>
          <w:sz w:val="24"/>
          <w:highlight w:val="none"/>
        </w:rPr>
        <w:t>将被视为虚假应标</w:t>
      </w:r>
      <w:r>
        <w:rPr>
          <w:rFonts w:hint="eastAsia" w:ascii="仿宋_GB2312" w:hAnsi="仿宋_GB2312" w:eastAsia="仿宋_GB2312" w:cs="仿宋_GB2312"/>
          <w:sz w:val="24"/>
          <w:highlight w:val="none"/>
          <w:lang w:val="en-US" w:eastAsia="zh-CN"/>
        </w:rPr>
        <w:t>并</w:t>
      </w:r>
      <w:r>
        <w:rPr>
          <w:rFonts w:hint="eastAsia" w:ascii="仿宋_GB2312" w:hAnsi="仿宋_GB2312" w:eastAsia="仿宋_GB2312" w:cs="仿宋_GB2312"/>
          <w:sz w:val="24"/>
          <w:highlight w:val="none"/>
        </w:rPr>
        <w:t>上报财政主管部门，列入政府采购黑名单，1-3年不得参加政府采购活动；</w:t>
      </w:r>
    </w:p>
    <w:p w14:paraId="4ACEE28D">
      <w:pPr>
        <w:pStyle w:val="3"/>
        <w:rPr>
          <w:rFonts w:hint="eastAsia" w:ascii="仿宋_GB2312" w:hAnsi="仿宋_GB2312" w:eastAsia="仿宋_GB2312" w:cs="仿宋_GB2312"/>
          <w:color w:val="auto"/>
          <w:kern w:val="2"/>
          <w:sz w:val="24"/>
          <w:highlight w:val="none"/>
          <w:lang w:val="en-US" w:eastAsia="zh-CN" w:bidi="ar-SA"/>
        </w:rPr>
      </w:pPr>
      <w:r>
        <w:rPr>
          <w:rFonts w:hint="eastAsia" w:ascii="仿宋_GB2312" w:hAnsi="仿宋_GB2312" w:eastAsia="仿宋_GB2312" w:cs="仿宋_GB2312"/>
          <w:color w:val="auto"/>
          <w:kern w:val="2"/>
          <w:sz w:val="24"/>
          <w:highlight w:val="none"/>
          <w:lang w:val="en-US" w:eastAsia="zh-CN" w:bidi="ar-SA"/>
        </w:rPr>
        <w:t>5、技术支持资料附于本表之后，标注页码。</w:t>
      </w:r>
    </w:p>
    <w:p w14:paraId="6383019A">
      <w:pPr>
        <w:spacing w:line="400" w:lineRule="atLeast"/>
        <w:ind w:left="720" w:hanging="720"/>
        <w:rPr>
          <w:rFonts w:hint="eastAsia" w:ascii="仿宋_GB2312" w:hAnsi="仿宋_GB2312" w:eastAsia="仿宋_GB2312" w:cs="仿宋_GB2312"/>
          <w:kern w:val="2"/>
          <w:sz w:val="24"/>
          <w:highlight w:val="none"/>
          <w:lang w:val="en-US" w:eastAsia="zh-CN" w:bidi="ar-SA"/>
        </w:rPr>
      </w:pPr>
    </w:p>
    <w:p w14:paraId="0EAB0BBB">
      <w:pPr>
        <w:spacing w:line="480" w:lineRule="auto"/>
        <w:ind w:right="-161" w:firstLine="2640"/>
        <w:rPr>
          <w:rFonts w:hint="eastAsia" w:ascii="仿宋_GB2312" w:hAnsi="仿宋_GB2312" w:eastAsia="仿宋_GB2312" w:cs="仿宋_GB2312"/>
          <w:kern w:val="1"/>
          <w:sz w:val="24"/>
          <w:szCs w:val="24"/>
          <w:highlight w:val="none"/>
        </w:rPr>
      </w:pPr>
    </w:p>
    <w:p w14:paraId="22DBC1A5">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41C00599">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15CAC2DB">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595A3BDD">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6A5B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Body Text First Indent"/>
    <w:basedOn w:val="2"/>
    <w:next w:val="1"/>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2026-01-09T07:54:33Z</dcterms:created>
  <dc:creator>Administrator</dc:creator>
  <cp:lastModifiedBy>夏日微凉</cp:lastModifiedBy>
  <dcterms:modified xsi:type="dcterms:W3CDTF">2026-01-09T07:54:46Z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FE0F8D0AF5EA4B2C8DD3E491173E3830_12</vt:lpwstr>
  </property>
</Properties>
</file>