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F6A82">
      <w:pPr>
        <w:wordWrap w:val="0"/>
        <w:spacing w:after="0" w:line="360" w:lineRule="auto"/>
        <w:jc w:val="right"/>
        <w:rPr>
          <w:rFonts w:hint="eastAsia" w:ascii="黑体" w:hAnsi="黑体" w:eastAsia="黑体" w:cs="微软雅黑"/>
          <w:color w:val="auto"/>
          <w:sz w:val="32"/>
          <w:szCs w:val="32"/>
          <w:highlight w:val="none"/>
          <w:lang w:val="en-US" w:eastAsia="zh-CN"/>
        </w:rPr>
      </w:pPr>
    </w:p>
    <w:p w14:paraId="25A1B23F">
      <w:pPr>
        <w:wordWrap w:val="0"/>
        <w:spacing w:after="0" w:line="360" w:lineRule="auto"/>
        <w:jc w:val="right"/>
        <w:rPr>
          <w:rFonts w:ascii="微软雅黑" w:cs="微软雅黑"/>
          <w:color w:val="auto"/>
          <w:sz w:val="18"/>
          <w:szCs w:val="18"/>
          <w:highlight w:val="none"/>
        </w:rPr>
      </w:pPr>
      <w:r>
        <w:rPr>
          <w:rFonts w:hint="eastAsia" w:ascii="黑体" w:hAnsi="黑体" w:eastAsia="黑体" w:cs="微软雅黑"/>
          <w:color w:val="auto"/>
          <w:sz w:val="32"/>
          <w:szCs w:val="32"/>
          <w:highlight w:val="none"/>
          <w:lang w:val="en-US" w:eastAsia="zh-CN"/>
        </w:rPr>
        <w:t>项目</w:t>
      </w:r>
      <w:r>
        <w:rPr>
          <w:rFonts w:hint="eastAsia" w:ascii="黑体" w:hAnsi="黑体" w:eastAsia="黑体" w:cs="微软雅黑"/>
          <w:color w:val="auto"/>
          <w:sz w:val="32"/>
          <w:szCs w:val="32"/>
          <w:highlight w:val="none"/>
        </w:rPr>
        <w:t>编号：</w:t>
      </w:r>
      <w:r>
        <w:rPr>
          <w:rFonts w:hint="eastAsia" w:ascii="黑体" w:hAnsi="黑体" w:eastAsia="黑体" w:cs="微软雅黑"/>
          <w:color w:val="auto"/>
          <w:sz w:val="32"/>
          <w:szCs w:val="32"/>
          <w:highlight w:val="none"/>
          <w:lang w:val="en-US" w:eastAsia="zh-CN"/>
        </w:rPr>
        <w:t xml:space="preserve">          </w:t>
      </w:r>
    </w:p>
    <w:p w14:paraId="0C95492D">
      <w:pPr>
        <w:pStyle w:val="3"/>
        <w:rPr>
          <w:color w:val="auto"/>
          <w:highlight w:val="none"/>
        </w:rPr>
      </w:pPr>
    </w:p>
    <w:p w14:paraId="5BE41A7B">
      <w:pPr>
        <w:spacing w:after="0" w:line="360" w:lineRule="auto"/>
        <w:jc w:val="center"/>
        <w:rPr>
          <w:rFonts w:hint="eastAsia" w:ascii="黑体" w:hAnsi="黑体" w:eastAsia="黑体"/>
          <w:b/>
          <w:color w:val="auto"/>
          <w:sz w:val="32"/>
          <w:szCs w:val="32"/>
          <w:highlight w:val="none"/>
          <w:lang w:eastAsia="zh-CN"/>
        </w:rPr>
      </w:pPr>
      <w:r>
        <w:rPr>
          <w:rFonts w:hint="eastAsia" w:ascii="黑体" w:eastAsia="黑体" w:cs="Arial"/>
          <w:b/>
          <w:color w:val="auto"/>
          <w:sz w:val="36"/>
          <w:szCs w:val="36"/>
          <w:highlight w:val="none"/>
          <w:lang w:eastAsia="zh-CN"/>
        </w:rPr>
        <w:t>延安大学附属医院西门子设备维保项目</w:t>
      </w:r>
    </w:p>
    <w:p w14:paraId="15460041">
      <w:pPr>
        <w:pStyle w:val="3"/>
        <w:rPr>
          <w:color w:val="auto"/>
          <w:highlight w:val="none"/>
        </w:rPr>
      </w:pPr>
    </w:p>
    <w:p w14:paraId="34279641">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合</w:t>
      </w:r>
    </w:p>
    <w:p w14:paraId="0FC66597">
      <w:pPr>
        <w:spacing w:after="0" w:line="360" w:lineRule="auto"/>
        <w:jc w:val="center"/>
        <w:rPr>
          <w:rFonts w:ascii="黑体" w:hAnsi="黑体" w:eastAsia="黑体"/>
          <w:b/>
          <w:color w:val="auto"/>
          <w:sz w:val="44"/>
          <w:szCs w:val="44"/>
          <w:highlight w:val="none"/>
        </w:rPr>
      </w:pPr>
    </w:p>
    <w:p w14:paraId="4CA1EF75">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同</w:t>
      </w:r>
    </w:p>
    <w:p w14:paraId="1B3BA2A4">
      <w:pPr>
        <w:spacing w:after="0" w:line="360" w:lineRule="auto"/>
        <w:jc w:val="center"/>
        <w:rPr>
          <w:rFonts w:ascii="黑体" w:hAnsi="黑体" w:eastAsia="黑体"/>
          <w:b/>
          <w:color w:val="auto"/>
          <w:sz w:val="44"/>
          <w:szCs w:val="44"/>
          <w:highlight w:val="none"/>
        </w:rPr>
      </w:pPr>
    </w:p>
    <w:p w14:paraId="2F6B5316">
      <w:pPr>
        <w:spacing w:after="0" w:line="360" w:lineRule="auto"/>
        <w:jc w:val="center"/>
        <w:rPr>
          <w:rFonts w:ascii="黑体" w:hAnsi="黑体" w:eastAsia="黑体"/>
          <w:b/>
          <w:color w:val="auto"/>
          <w:sz w:val="44"/>
          <w:szCs w:val="44"/>
          <w:highlight w:val="none"/>
        </w:rPr>
      </w:pPr>
      <w:r>
        <w:rPr>
          <w:rFonts w:hint="eastAsia" w:ascii="黑体" w:hAnsi="黑体" w:eastAsia="黑体"/>
          <w:b/>
          <w:color w:val="auto"/>
          <w:sz w:val="44"/>
          <w:szCs w:val="44"/>
          <w:highlight w:val="none"/>
        </w:rPr>
        <w:t>书</w:t>
      </w:r>
    </w:p>
    <w:p w14:paraId="1BDABB62">
      <w:pPr>
        <w:spacing w:after="0" w:line="360" w:lineRule="auto"/>
        <w:rPr>
          <w:rFonts w:ascii="黑体" w:hAnsi="黑体" w:eastAsia="黑体"/>
          <w:color w:val="auto"/>
          <w:sz w:val="44"/>
          <w:szCs w:val="44"/>
          <w:highlight w:val="none"/>
        </w:rPr>
      </w:pPr>
    </w:p>
    <w:p w14:paraId="460D06AA">
      <w:pPr>
        <w:pStyle w:val="3"/>
        <w:rPr>
          <w:color w:val="auto"/>
          <w:highlight w:val="none"/>
        </w:rPr>
      </w:pPr>
    </w:p>
    <w:p w14:paraId="27C9631C">
      <w:pPr>
        <w:pStyle w:val="3"/>
        <w:rPr>
          <w:color w:val="auto"/>
          <w:highlight w:val="none"/>
        </w:rPr>
      </w:pPr>
    </w:p>
    <w:p w14:paraId="592EC2A5">
      <w:pPr>
        <w:rPr>
          <w:color w:val="auto"/>
          <w:highlight w:val="none"/>
        </w:rPr>
      </w:pPr>
    </w:p>
    <w:p w14:paraId="526522DB">
      <w:pPr>
        <w:spacing w:after="0" w:line="360" w:lineRule="auto"/>
        <w:ind w:firstLine="1760" w:firstLineChars="550"/>
        <w:rPr>
          <w:rFonts w:ascii="楷体" w:hAnsi="楷体" w:eastAsia="楷体"/>
          <w:color w:val="auto"/>
          <w:sz w:val="32"/>
          <w:szCs w:val="32"/>
          <w:highlight w:val="none"/>
        </w:rPr>
      </w:pPr>
      <w:r>
        <w:rPr>
          <w:rFonts w:hint="eastAsia" w:ascii="楷体" w:hAnsi="楷体" w:eastAsia="楷体"/>
          <w:color w:val="auto"/>
          <w:sz w:val="32"/>
          <w:szCs w:val="32"/>
          <w:highlight w:val="none"/>
        </w:rPr>
        <w:t>甲</w:t>
      </w:r>
      <w:r>
        <w:rPr>
          <w:rFonts w:ascii="楷体" w:hAnsi="楷体" w:eastAsia="楷体"/>
          <w:color w:val="auto"/>
          <w:sz w:val="32"/>
          <w:szCs w:val="32"/>
          <w:highlight w:val="none"/>
        </w:rPr>
        <w:t xml:space="preserve">    </w:t>
      </w:r>
      <w:r>
        <w:rPr>
          <w:rFonts w:hint="eastAsia" w:ascii="楷体" w:hAnsi="楷体" w:eastAsia="楷体"/>
          <w:color w:val="auto"/>
          <w:sz w:val="32"/>
          <w:szCs w:val="32"/>
          <w:highlight w:val="none"/>
        </w:rPr>
        <w:t>方：</w:t>
      </w:r>
      <w:r>
        <w:rPr>
          <w:rFonts w:hint="eastAsia" w:ascii="楷体" w:hAnsi="楷体" w:eastAsia="楷体"/>
          <w:color w:val="auto"/>
          <w:sz w:val="32"/>
          <w:szCs w:val="32"/>
          <w:highlight w:val="none"/>
          <w:u w:val="single"/>
        </w:rPr>
        <w:t>延安大学附属医院</w:t>
      </w:r>
    </w:p>
    <w:p w14:paraId="27CD1422">
      <w:pPr>
        <w:spacing w:after="0" w:line="360" w:lineRule="auto"/>
        <w:ind w:firstLine="1760" w:firstLineChars="550"/>
        <w:rPr>
          <w:rFonts w:hint="default" w:ascii="楷体" w:hAnsi="楷体" w:eastAsia="楷体"/>
          <w:color w:val="auto"/>
          <w:sz w:val="32"/>
          <w:szCs w:val="32"/>
          <w:highlight w:val="none"/>
          <w:u w:val="single"/>
          <w:lang w:val="en-US" w:eastAsia="zh-CN"/>
        </w:rPr>
      </w:pPr>
      <w:r>
        <w:rPr>
          <w:rFonts w:hint="eastAsia" w:ascii="楷体" w:hAnsi="楷体" w:eastAsia="楷体"/>
          <w:color w:val="auto"/>
          <w:sz w:val="32"/>
          <w:szCs w:val="32"/>
          <w:highlight w:val="none"/>
        </w:rPr>
        <w:t>乙</w:t>
      </w:r>
      <w:r>
        <w:rPr>
          <w:rFonts w:ascii="楷体" w:hAnsi="楷体" w:eastAsia="楷体"/>
          <w:color w:val="auto"/>
          <w:sz w:val="32"/>
          <w:szCs w:val="32"/>
          <w:highlight w:val="none"/>
        </w:rPr>
        <w:t xml:space="preserve">    </w:t>
      </w:r>
      <w:r>
        <w:rPr>
          <w:rFonts w:hint="eastAsia" w:ascii="楷体" w:hAnsi="楷体" w:eastAsia="楷体"/>
          <w:color w:val="auto"/>
          <w:sz w:val="32"/>
          <w:szCs w:val="32"/>
          <w:highlight w:val="none"/>
        </w:rPr>
        <w:t>方：</w:t>
      </w:r>
      <w:r>
        <w:rPr>
          <w:rFonts w:hint="eastAsia" w:ascii="楷体" w:hAnsi="楷体" w:eastAsia="楷体"/>
          <w:color w:val="auto"/>
          <w:sz w:val="32"/>
          <w:szCs w:val="32"/>
          <w:highlight w:val="none"/>
          <w:u w:val="single"/>
          <w:lang w:val="en-US" w:eastAsia="zh-CN"/>
        </w:rPr>
        <w:t>有限公司</w:t>
      </w:r>
    </w:p>
    <w:p w14:paraId="25F7EB6E">
      <w:pPr>
        <w:spacing w:after="0" w:line="360" w:lineRule="auto"/>
        <w:ind w:firstLine="1760" w:firstLineChars="550"/>
        <w:rPr>
          <w:rFonts w:ascii="楷体" w:hAnsi="楷体" w:eastAsia="楷体"/>
          <w:color w:val="auto"/>
          <w:sz w:val="32"/>
          <w:szCs w:val="32"/>
          <w:highlight w:val="none"/>
        </w:rPr>
      </w:pPr>
      <w:r>
        <w:rPr>
          <w:rFonts w:hint="eastAsia" w:ascii="楷体" w:hAnsi="楷体" w:eastAsia="楷体"/>
          <w:color w:val="auto"/>
          <w:sz w:val="32"/>
          <w:szCs w:val="32"/>
          <w:highlight w:val="none"/>
        </w:rPr>
        <w:t>签订地点：</w:t>
      </w:r>
      <w:r>
        <w:rPr>
          <w:rFonts w:hint="eastAsia" w:ascii="楷体" w:hAnsi="楷体" w:eastAsia="楷体"/>
          <w:color w:val="auto"/>
          <w:sz w:val="32"/>
          <w:szCs w:val="32"/>
          <w:highlight w:val="none"/>
          <w:u w:val="single"/>
        </w:rPr>
        <w:t>招标采供科</w:t>
      </w:r>
    </w:p>
    <w:p w14:paraId="56AE3589">
      <w:pPr>
        <w:spacing w:after="0" w:line="360" w:lineRule="auto"/>
        <w:jc w:val="both"/>
        <w:rPr>
          <w:rFonts w:ascii="楷体" w:hAnsi="楷体" w:eastAsia="楷体"/>
          <w:color w:val="auto"/>
          <w:sz w:val="32"/>
          <w:szCs w:val="32"/>
          <w:highlight w:val="none"/>
        </w:rPr>
      </w:pPr>
    </w:p>
    <w:p w14:paraId="03EC8907">
      <w:pPr>
        <w:spacing w:after="0" w:line="360" w:lineRule="auto"/>
        <w:jc w:val="center"/>
        <w:rPr>
          <w:rFonts w:hint="eastAsia" w:ascii="楷体" w:hAnsi="楷体" w:eastAsia="楷体"/>
          <w:color w:val="auto"/>
          <w:sz w:val="32"/>
          <w:szCs w:val="32"/>
          <w:highlight w:val="none"/>
        </w:rPr>
      </w:pPr>
      <w:r>
        <w:rPr>
          <w:rFonts w:hint="eastAsia" w:ascii="楷体" w:hAnsi="楷体" w:eastAsia="楷体"/>
          <w:color w:val="auto"/>
          <w:sz w:val="32"/>
          <w:szCs w:val="32"/>
          <w:highlight w:val="none"/>
        </w:rPr>
        <w:t>延安大学附属医院招标采供科制</w:t>
      </w:r>
    </w:p>
    <w:p w14:paraId="59AB7E04">
      <w:pPr>
        <w:spacing w:after="0" w:line="360" w:lineRule="auto"/>
        <w:jc w:val="center"/>
        <w:rPr>
          <w:rFonts w:hint="eastAsia" w:ascii="楷体" w:hAnsi="楷体" w:eastAsia="楷体"/>
          <w:color w:val="auto"/>
          <w:sz w:val="32"/>
          <w:szCs w:val="32"/>
          <w:highlight w:val="none"/>
        </w:rPr>
      </w:pPr>
    </w:p>
    <w:p w14:paraId="66BE11B5">
      <w:pPr>
        <w:spacing w:after="0" w:line="360" w:lineRule="auto"/>
        <w:jc w:val="center"/>
        <w:rPr>
          <w:rFonts w:hint="eastAsia" w:ascii="楷体" w:hAnsi="楷体" w:eastAsia="楷体"/>
          <w:color w:val="auto"/>
          <w:sz w:val="32"/>
          <w:szCs w:val="32"/>
          <w:highlight w:val="none"/>
        </w:rPr>
      </w:pPr>
    </w:p>
    <w:p w14:paraId="4A8C611C">
      <w:pPr>
        <w:spacing w:after="0" w:line="360" w:lineRule="auto"/>
        <w:jc w:val="center"/>
        <w:rPr>
          <w:rFonts w:hint="eastAsia" w:ascii="楷体" w:hAnsi="楷体" w:eastAsia="楷体"/>
          <w:color w:val="auto"/>
          <w:sz w:val="32"/>
          <w:szCs w:val="32"/>
          <w:highlight w:val="none"/>
        </w:rPr>
      </w:pPr>
    </w:p>
    <w:p w14:paraId="56CA35CE">
      <w:pPr>
        <w:widowControl/>
        <w:autoSpaceDE w:val="0"/>
        <w:adjustRightInd w:val="0"/>
        <w:snapToGrid w:val="0"/>
        <w:spacing w:line="580" w:lineRule="exact"/>
        <w:ind w:firstLine="482" w:firstLineChars="200"/>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（此合同只作为参考，最终签订的合同以采购人确定的合同内容为准）</w:t>
      </w:r>
    </w:p>
    <w:p w14:paraId="291B2C57">
      <w:pPr>
        <w:spacing w:after="0" w:line="360" w:lineRule="auto"/>
        <w:jc w:val="center"/>
        <w:rPr>
          <w:rFonts w:asciiTheme="minorEastAsia" w:hAnsiTheme="minorEastAsia" w:eastAsiaTheme="minorEastAsia"/>
          <w:b/>
          <w:bCs/>
          <w:color w:val="auto"/>
          <w:kern w:val="44"/>
          <w:sz w:val="40"/>
          <w:highlight w:val="none"/>
        </w:rPr>
      </w:pPr>
      <w:r>
        <w:rPr>
          <w:rFonts w:hint="eastAsia" w:asciiTheme="minorEastAsia" w:hAnsiTheme="minorEastAsia" w:eastAsiaTheme="minorEastAsia"/>
          <w:b/>
          <w:bCs/>
          <w:color w:val="auto"/>
          <w:kern w:val="44"/>
          <w:sz w:val="40"/>
          <w:highlight w:val="none"/>
          <w:lang w:eastAsia="zh-CN"/>
        </w:rPr>
        <w:t>保修</w:t>
      </w:r>
      <w:r>
        <w:rPr>
          <w:rFonts w:hint="eastAsia" w:asciiTheme="minorEastAsia" w:hAnsiTheme="minorEastAsia" w:eastAsiaTheme="minorEastAsia"/>
          <w:b/>
          <w:bCs/>
          <w:color w:val="auto"/>
          <w:kern w:val="44"/>
          <w:sz w:val="40"/>
          <w:highlight w:val="none"/>
        </w:rPr>
        <w:t>项目合同书</w:t>
      </w:r>
    </w:p>
    <w:p w14:paraId="2425FD13">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甲方：延安大学附属医院（以下简称甲方）</w:t>
      </w:r>
    </w:p>
    <w:p w14:paraId="5D4CF85A">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统一信用代码：12610000436450686U</w:t>
      </w:r>
    </w:p>
    <w:p w14:paraId="7EC2C9B0">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法定代表人：</w:t>
      </w:r>
    </w:p>
    <w:p w14:paraId="62C22DBB">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地址：陕西省延安市宝塔区北大街43号院 </w:t>
      </w:r>
    </w:p>
    <w:p w14:paraId="6C93F4A6">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电话：(0911)2881002   传真: (0911)2881002  邮编: 716000</w:t>
      </w:r>
    </w:p>
    <w:p w14:paraId="51EE64C5">
      <w:pPr>
        <w:spacing w:beforeLines="50"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乙方：（以下简称乙方）</w:t>
      </w:r>
    </w:p>
    <w:p w14:paraId="73BA08B8">
      <w:pPr>
        <w:spacing w:after="0" w:line="360" w:lineRule="auto"/>
        <w:jc w:val="both"/>
        <w:rPr>
          <w:rFonts w:hint="eastAsia" w:ascii="宋体" w:hAnsi="宋体" w:eastAsia="宋体"/>
          <w:color w:val="auto"/>
          <w:sz w:val="24"/>
          <w:szCs w:val="24"/>
          <w:highlight w:val="none"/>
          <w:lang w:val="en-US" w:eastAsia="zh-CN"/>
        </w:rPr>
      </w:pPr>
      <w:r>
        <w:rPr>
          <w:rFonts w:hint="eastAsia" w:asciiTheme="minorEastAsia" w:hAnsiTheme="minorEastAsia" w:eastAsiaTheme="minorEastAsia"/>
          <w:color w:val="auto"/>
          <w:sz w:val="24"/>
          <w:szCs w:val="24"/>
          <w:highlight w:val="none"/>
        </w:rPr>
        <w:t>统一信用代码：</w:t>
      </w:r>
    </w:p>
    <w:p w14:paraId="16442149">
      <w:pPr>
        <w:spacing w:after="0" w:line="360" w:lineRule="auto"/>
        <w:jc w:val="both"/>
        <w:rPr>
          <w:rFonts w:hint="eastAsia" w:asciiTheme="minorEastAsia" w:hAnsiTheme="minorEastAsia" w:eastAsiaTheme="minorEastAsia"/>
          <w:color w:val="auto"/>
          <w:sz w:val="24"/>
          <w:szCs w:val="24"/>
          <w:highlight w:val="none"/>
          <w:lang w:val="en-US" w:eastAsia="zh-CN"/>
        </w:rPr>
      </w:pPr>
      <w:r>
        <w:rPr>
          <w:rFonts w:hint="eastAsia" w:asciiTheme="minorEastAsia" w:hAnsiTheme="minorEastAsia" w:eastAsiaTheme="minorEastAsia"/>
          <w:color w:val="auto"/>
          <w:sz w:val="24"/>
          <w:szCs w:val="24"/>
          <w:highlight w:val="none"/>
        </w:rPr>
        <w:t>法定代表人：</w:t>
      </w:r>
    </w:p>
    <w:p w14:paraId="7D79B577">
      <w:pPr>
        <w:spacing w:after="0" w:line="360" w:lineRule="auto"/>
        <w:jc w:val="both"/>
        <w:rPr>
          <w:rFonts w:hint="eastAsia" w:ascii="宋体" w:hAnsi="宋体" w:eastAsia="宋体"/>
          <w:color w:val="auto"/>
          <w:sz w:val="24"/>
          <w:szCs w:val="24"/>
          <w:highlight w:val="none"/>
          <w:lang w:val="en-US" w:eastAsia="zh-CN"/>
        </w:rPr>
      </w:pPr>
      <w:r>
        <w:rPr>
          <w:rFonts w:hint="eastAsia" w:asciiTheme="minorEastAsia" w:hAnsiTheme="minorEastAsia" w:eastAsiaTheme="minorEastAsia"/>
          <w:color w:val="auto"/>
          <w:sz w:val="24"/>
          <w:szCs w:val="24"/>
          <w:highlight w:val="none"/>
        </w:rPr>
        <w:t>地址：</w:t>
      </w:r>
    </w:p>
    <w:p w14:paraId="035384B6">
      <w:pPr>
        <w:spacing w:after="0" w:line="360" w:lineRule="auto"/>
        <w:jc w:val="both"/>
        <w:rPr>
          <w:rFonts w:hint="default" w:eastAsia="宋体" w:asciiTheme="minorEastAsia" w:hAnsiTheme="minorEastAsia"/>
          <w:color w:val="auto"/>
          <w:sz w:val="24"/>
          <w:szCs w:val="24"/>
          <w:highlight w:val="none"/>
          <w:lang w:val="en-US" w:eastAsia="zh-CN"/>
        </w:rPr>
      </w:pPr>
      <w:r>
        <w:rPr>
          <w:rFonts w:hint="eastAsia" w:ascii="宋体" w:hAnsi="宋体" w:eastAsia="宋体"/>
          <w:color w:val="auto"/>
          <w:sz w:val="24"/>
          <w:szCs w:val="24"/>
          <w:highlight w:val="none"/>
        </w:rPr>
        <w:t xml:space="preserve">电话: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邮编:</w:t>
      </w:r>
    </w:p>
    <w:p w14:paraId="727C9C10">
      <w:pPr>
        <w:tabs>
          <w:tab w:val="left" w:pos="540"/>
        </w:tabs>
        <w:spacing w:beforeLines="100" w:after="0" w:line="360" w:lineRule="auto"/>
        <w:ind w:firstLine="480" w:firstLineChars="200"/>
        <w:jc w:val="both"/>
        <w:rPr>
          <w:rFonts w:cs="宋体" w:asciiTheme="minorEastAsia" w:hAnsiTheme="minorEastAsia" w:eastAsiaTheme="minorEastAsia"/>
          <w:color w:val="auto"/>
          <w:sz w:val="24"/>
          <w:szCs w:val="24"/>
          <w:highlight w:val="none"/>
        </w:rPr>
      </w:pPr>
      <w:r>
        <w:rPr>
          <w:rFonts w:hint="eastAsia" w:cs="宋体" w:asciiTheme="minorEastAsia" w:hAnsiTheme="minorEastAsia" w:eastAsiaTheme="minorEastAsia"/>
          <w:color w:val="auto"/>
          <w:sz w:val="24"/>
          <w:szCs w:val="24"/>
          <w:highlight w:val="none"/>
        </w:rPr>
        <w:t>根据《中华人民共和国民法典》及相关法律法规之规定,甲乙双方本着诚实信用、相互合作、平等互利的原则，就医疗设备的服务购买事宜,为明确双方的权利义务，特订立本合同，双方共同信守。</w:t>
      </w:r>
    </w:p>
    <w:p w14:paraId="5186234A">
      <w:pPr>
        <w:tabs>
          <w:tab w:val="left" w:pos="540"/>
        </w:tabs>
        <w:spacing w:after="0" w:line="520" w:lineRule="exact"/>
        <w:jc w:val="both"/>
        <w:rPr>
          <w:rFonts w:cs="黑体" w:asciiTheme="minorEastAsia" w:hAnsiTheme="minorEastAsia" w:eastAsiaTheme="minorEastAsia"/>
          <w:b/>
          <w:color w:val="auto"/>
          <w:sz w:val="24"/>
          <w:szCs w:val="24"/>
          <w:highlight w:val="none"/>
        </w:rPr>
      </w:pPr>
      <w:r>
        <w:rPr>
          <w:rFonts w:hint="eastAsia" w:cs="仿宋" w:asciiTheme="minorEastAsia" w:hAnsiTheme="minorEastAsia" w:eastAsiaTheme="minorEastAsia"/>
          <w:b/>
          <w:bCs/>
          <w:color w:val="auto"/>
          <w:sz w:val="24"/>
          <w:szCs w:val="24"/>
          <w:highlight w:val="none"/>
        </w:rPr>
        <w:t>第一条</w:t>
      </w:r>
      <w:r>
        <w:rPr>
          <w:rFonts w:hint="eastAsia" w:cs="仿宋" w:asciiTheme="minorEastAsia" w:hAnsiTheme="minorEastAsia" w:eastAsiaTheme="minorEastAsia"/>
          <w:bCs/>
          <w:color w:val="auto"/>
          <w:sz w:val="24"/>
          <w:szCs w:val="24"/>
          <w:highlight w:val="none"/>
        </w:rPr>
        <w:t xml:space="preserve"> 合同产品:乙方负责向甲方</w:t>
      </w:r>
      <w:r>
        <w:rPr>
          <w:rFonts w:hint="eastAsia" w:cs="仿宋" w:asciiTheme="minorEastAsia" w:hAnsiTheme="minorEastAsia" w:eastAsiaTheme="minorEastAsia"/>
          <w:bCs/>
          <w:color w:val="auto"/>
          <w:sz w:val="24"/>
          <w:szCs w:val="24"/>
          <w:highlight w:val="none"/>
          <w:lang w:eastAsia="zh-CN"/>
        </w:rPr>
        <w:t>提供</w:t>
      </w:r>
      <w:r>
        <w:rPr>
          <w:rFonts w:hint="eastAsia" w:cs="仿宋" w:asciiTheme="minorEastAsia" w:hAnsiTheme="minorEastAsia" w:eastAsiaTheme="minorEastAsia"/>
          <w:bCs/>
          <w:color w:val="auto"/>
          <w:sz w:val="24"/>
          <w:szCs w:val="24"/>
          <w:highlight w:val="none"/>
        </w:rPr>
        <w:t>下表中所列产品的保修服务：</w:t>
      </w:r>
      <w:r>
        <w:rPr>
          <w:rFonts w:hint="eastAsia" w:asciiTheme="minorEastAsia" w:hAnsiTheme="minorEastAsia" w:eastAsiaTheme="minorEastAsia"/>
          <w:color w:val="auto"/>
          <w:sz w:val="28"/>
          <w:szCs w:val="28"/>
          <w:highlight w:val="none"/>
        </w:rPr>
        <w:t xml:space="preserve">       </w:t>
      </w:r>
    </w:p>
    <w:tbl>
      <w:tblPr>
        <w:tblStyle w:val="11"/>
        <w:tblpPr w:leftFromText="180" w:rightFromText="180" w:vertAnchor="text" w:horzAnchor="page" w:tblpX="957" w:tblpY="248"/>
        <w:tblOverlap w:val="never"/>
        <w:tblW w:w="993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3023"/>
        <w:gridCol w:w="1699"/>
        <w:gridCol w:w="1633"/>
        <w:gridCol w:w="1234"/>
        <w:gridCol w:w="1014"/>
        <w:gridCol w:w="1335"/>
      </w:tblGrid>
      <w:tr w14:paraId="2C19CE2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581" w:hRule="atLeast"/>
        </w:trPr>
        <w:tc>
          <w:tcPr>
            <w:tcW w:w="3023" w:type="dxa"/>
            <w:vAlign w:val="center"/>
          </w:tcPr>
          <w:p w14:paraId="2A82D571">
            <w:pPr>
              <w:tabs>
                <w:tab w:val="left" w:pos="8364"/>
              </w:tabs>
              <w:spacing w:after="0" w:line="360" w:lineRule="auto"/>
              <w:ind w:right="-58"/>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产品名称</w:t>
            </w:r>
          </w:p>
        </w:tc>
        <w:tc>
          <w:tcPr>
            <w:tcW w:w="1699" w:type="dxa"/>
            <w:vAlign w:val="center"/>
          </w:tcPr>
          <w:p w14:paraId="6BDF32CB">
            <w:pPr>
              <w:tabs>
                <w:tab w:val="left" w:pos="8364"/>
              </w:tabs>
              <w:spacing w:after="0" w:line="360" w:lineRule="auto"/>
              <w:ind w:right="-58"/>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规格型号</w:t>
            </w:r>
          </w:p>
        </w:tc>
        <w:tc>
          <w:tcPr>
            <w:tcW w:w="1633" w:type="dxa"/>
            <w:vAlign w:val="center"/>
          </w:tcPr>
          <w:p w14:paraId="2C79C9E3">
            <w:pPr>
              <w:tabs>
                <w:tab w:val="left" w:pos="8364"/>
              </w:tabs>
              <w:spacing w:after="0" w:line="360" w:lineRule="auto"/>
              <w:ind w:right="77" w:rightChars="35"/>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产地/品牌</w:t>
            </w:r>
          </w:p>
        </w:tc>
        <w:tc>
          <w:tcPr>
            <w:tcW w:w="1234" w:type="dxa"/>
            <w:tcBorders>
              <w:right w:val="single" w:color="auto" w:sz="4" w:space="0"/>
            </w:tcBorders>
            <w:vAlign w:val="center"/>
          </w:tcPr>
          <w:p w14:paraId="1A02A399">
            <w:pPr>
              <w:tabs>
                <w:tab w:val="left" w:pos="8364"/>
              </w:tabs>
              <w:spacing w:after="0" w:line="360" w:lineRule="auto"/>
              <w:ind w:right="77"/>
              <w:jc w:val="center"/>
              <w:rPr>
                <w:rFonts w:ascii="宋体" w:hAnsi="宋体" w:eastAsia="宋体" w:cs="黑体"/>
                <w:b/>
                <w:color w:val="auto"/>
                <w:sz w:val="24"/>
                <w:szCs w:val="24"/>
                <w:highlight w:val="none"/>
              </w:rPr>
            </w:pPr>
            <w:r>
              <w:rPr>
                <w:rFonts w:hint="eastAsia" w:ascii="宋体" w:hAnsi="宋体" w:eastAsia="宋体" w:cs="黑体"/>
                <w:b/>
                <w:color w:val="auto"/>
                <w:sz w:val="24"/>
                <w:szCs w:val="24"/>
                <w:highlight w:val="none"/>
              </w:rPr>
              <w:t>年限</w:t>
            </w:r>
          </w:p>
        </w:tc>
        <w:tc>
          <w:tcPr>
            <w:tcW w:w="1014" w:type="dxa"/>
            <w:tcBorders>
              <w:right w:val="single" w:color="auto" w:sz="4" w:space="0"/>
            </w:tcBorders>
            <w:vAlign w:val="center"/>
          </w:tcPr>
          <w:p w14:paraId="4951DE72">
            <w:pPr>
              <w:tabs>
                <w:tab w:val="left" w:pos="8364"/>
              </w:tabs>
              <w:spacing w:after="0" w:line="360" w:lineRule="auto"/>
              <w:ind w:right="-58"/>
              <w:jc w:val="center"/>
              <w:rPr>
                <w:rFonts w:hint="eastAsia" w:ascii="宋体" w:hAnsi="宋体" w:eastAsia="宋体" w:cs="黑体"/>
                <w:b/>
                <w:color w:val="auto"/>
                <w:sz w:val="24"/>
                <w:szCs w:val="24"/>
                <w:highlight w:val="none"/>
                <w:lang w:eastAsia="zh-CN"/>
              </w:rPr>
            </w:pPr>
            <w:r>
              <w:rPr>
                <w:rFonts w:hint="eastAsia" w:ascii="宋体" w:hAnsi="宋体" w:eastAsia="宋体" w:cs="黑体"/>
                <w:b/>
                <w:color w:val="auto"/>
                <w:sz w:val="24"/>
                <w:szCs w:val="24"/>
                <w:highlight w:val="none"/>
                <w:lang w:eastAsia="zh-CN"/>
              </w:rPr>
              <w:t>数量</w:t>
            </w:r>
          </w:p>
        </w:tc>
        <w:tc>
          <w:tcPr>
            <w:tcW w:w="1335" w:type="dxa"/>
            <w:tcBorders>
              <w:left w:val="single" w:color="auto" w:sz="4" w:space="0"/>
              <w:right w:val="single" w:color="auto" w:sz="4" w:space="0"/>
            </w:tcBorders>
            <w:vAlign w:val="center"/>
          </w:tcPr>
          <w:p w14:paraId="259612B2">
            <w:pPr>
              <w:tabs>
                <w:tab w:val="left" w:pos="8364"/>
              </w:tabs>
              <w:spacing w:after="0" w:line="360" w:lineRule="auto"/>
              <w:ind w:right="-58"/>
              <w:jc w:val="center"/>
              <w:rPr>
                <w:rFonts w:hint="eastAsia" w:ascii="宋体" w:hAnsi="宋体" w:eastAsia="宋体" w:cs="黑体"/>
                <w:b/>
                <w:color w:val="auto"/>
                <w:sz w:val="24"/>
                <w:szCs w:val="24"/>
                <w:highlight w:val="none"/>
                <w:lang w:eastAsia="zh-CN"/>
              </w:rPr>
            </w:pPr>
            <w:r>
              <w:rPr>
                <w:rFonts w:hint="eastAsia" w:ascii="宋体" w:hAnsi="宋体" w:eastAsia="宋体" w:cs="黑体"/>
                <w:b/>
                <w:color w:val="auto"/>
                <w:sz w:val="24"/>
                <w:szCs w:val="24"/>
                <w:highlight w:val="none"/>
                <w:lang w:eastAsia="zh-CN"/>
              </w:rPr>
              <w:t>价格</w:t>
            </w:r>
          </w:p>
        </w:tc>
      </w:tr>
      <w:tr w14:paraId="5E22E34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507" w:hRule="atLeast"/>
        </w:trPr>
        <w:tc>
          <w:tcPr>
            <w:tcW w:w="3023" w:type="dxa"/>
            <w:vAlign w:val="center"/>
          </w:tcPr>
          <w:p w14:paraId="77DDB15E">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lang w:eastAsia="zh-CN"/>
              </w:rPr>
            </w:pPr>
          </w:p>
        </w:tc>
        <w:tc>
          <w:tcPr>
            <w:tcW w:w="1699" w:type="dxa"/>
            <w:vAlign w:val="center"/>
          </w:tcPr>
          <w:p w14:paraId="2E14FB46">
            <w:pPr>
              <w:spacing w:after="0" w:line="360" w:lineRule="auto"/>
              <w:jc w:val="center"/>
              <w:rPr>
                <w:rFonts w:hint="default" w:ascii="宋体" w:hAnsi="宋体" w:eastAsia="宋体" w:cs="黑体"/>
                <w:color w:val="auto"/>
                <w:sz w:val="24"/>
                <w:szCs w:val="24"/>
                <w:highlight w:val="none"/>
                <w:lang w:val="en-US" w:eastAsia="zh-CN"/>
              </w:rPr>
            </w:pPr>
          </w:p>
        </w:tc>
        <w:tc>
          <w:tcPr>
            <w:tcW w:w="1633" w:type="dxa"/>
            <w:vAlign w:val="center"/>
          </w:tcPr>
          <w:p w14:paraId="3B01E2C8">
            <w:pPr>
              <w:spacing w:beforeLines="100" w:after="0" w:line="360" w:lineRule="auto"/>
              <w:jc w:val="center"/>
              <w:rPr>
                <w:rFonts w:hint="default" w:ascii="宋体" w:hAnsi="宋体" w:eastAsia="宋体" w:cs="Arial"/>
                <w:color w:val="auto"/>
                <w:sz w:val="24"/>
                <w:szCs w:val="24"/>
                <w:highlight w:val="none"/>
                <w:lang w:val="en-US" w:eastAsia="zh-CN"/>
              </w:rPr>
            </w:pPr>
          </w:p>
        </w:tc>
        <w:tc>
          <w:tcPr>
            <w:tcW w:w="1234" w:type="dxa"/>
            <w:tcBorders>
              <w:right w:val="single" w:color="auto" w:sz="4" w:space="0"/>
            </w:tcBorders>
            <w:vAlign w:val="center"/>
          </w:tcPr>
          <w:p w14:paraId="7B913BC8">
            <w:pPr>
              <w:spacing w:after="0" w:line="360" w:lineRule="auto"/>
              <w:jc w:val="center"/>
              <w:rPr>
                <w:rFonts w:ascii="宋体" w:hAnsi="宋体" w:eastAsia="宋体" w:cs="Arial"/>
                <w:color w:val="auto"/>
                <w:sz w:val="24"/>
                <w:szCs w:val="24"/>
                <w:highlight w:val="none"/>
              </w:rPr>
            </w:pPr>
          </w:p>
        </w:tc>
        <w:tc>
          <w:tcPr>
            <w:tcW w:w="1014" w:type="dxa"/>
            <w:tcBorders>
              <w:right w:val="single" w:color="auto" w:sz="4" w:space="0"/>
            </w:tcBorders>
            <w:vAlign w:val="center"/>
          </w:tcPr>
          <w:p w14:paraId="02B193FE">
            <w:pPr>
              <w:tabs>
                <w:tab w:val="left" w:pos="8364"/>
              </w:tabs>
              <w:spacing w:after="0" w:line="360" w:lineRule="auto"/>
              <w:jc w:val="center"/>
              <w:rPr>
                <w:rFonts w:hint="default"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14:paraId="65457D13">
            <w:pPr>
              <w:tabs>
                <w:tab w:val="left" w:pos="8364"/>
              </w:tabs>
              <w:spacing w:after="0" w:line="360" w:lineRule="auto"/>
              <w:ind w:right="-58"/>
              <w:jc w:val="center"/>
              <w:rPr>
                <w:rFonts w:hint="default" w:ascii="宋体" w:hAnsi="宋体" w:eastAsia="宋体" w:cs="宋体"/>
                <w:color w:val="auto"/>
                <w:sz w:val="24"/>
                <w:szCs w:val="24"/>
                <w:highlight w:val="none"/>
                <w:lang w:val="en-US" w:eastAsia="zh-CN"/>
              </w:rPr>
            </w:pPr>
          </w:p>
        </w:tc>
      </w:tr>
      <w:tr w14:paraId="1A6B0C1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trPr>
        <w:tc>
          <w:tcPr>
            <w:tcW w:w="3023" w:type="dxa"/>
            <w:vAlign w:val="center"/>
          </w:tcPr>
          <w:p w14:paraId="7FA9D7E8">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lang w:eastAsia="zh-CN"/>
              </w:rPr>
            </w:pPr>
          </w:p>
        </w:tc>
        <w:tc>
          <w:tcPr>
            <w:tcW w:w="1699" w:type="dxa"/>
            <w:vAlign w:val="center"/>
          </w:tcPr>
          <w:p w14:paraId="6AE84E97">
            <w:pPr>
              <w:spacing w:after="0" w:line="360" w:lineRule="auto"/>
              <w:jc w:val="center"/>
              <w:rPr>
                <w:rFonts w:hint="eastAsia" w:ascii="宋体" w:hAnsi="宋体" w:eastAsia="宋体" w:cs="黑体"/>
                <w:color w:val="auto"/>
                <w:sz w:val="24"/>
                <w:szCs w:val="24"/>
                <w:highlight w:val="none"/>
                <w:lang w:val="en-US" w:eastAsia="zh-CN"/>
              </w:rPr>
            </w:pPr>
          </w:p>
        </w:tc>
        <w:tc>
          <w:tcPr>
            <w:tcW w:w="1633" w:type="dxa"/>
            <w:vAlign w:val="center"/>
          </w:tcPr>
          <w:p w14:paraId="6B6DE21F">
            <w:pPr>
              <w:spacing w:beforeLines="100" w:after="0" w:line="360" w:lineRule="auto"/>
              <w:jc w:val="center"/>
              <w:rPr>
                <w:rFonts w:hint="eastAsia" w:ascii="宋体" w:hAnsi="宋体" w:eastAsia="宋体" w:cs="黑体"/>
                <w:color w:val="auto"/>
                <w:sz w:val="24"/>
                <w:szCs w:val="24"/>
                <w:highlight w:val="none"/>
                <w:lang w:val="en-US" w:eastAsia="zh-CN"/>
              </w:rPr>
            </w:pPr>
          </w:p>
        </w:tc>
        <w:tc>
          <w:tcPr>
            <w:tcW w:w="1234" w:type="dxa"/>
            <w:tcBorders>
              <w:right w:val="single" w:color="auto" w:sz="4" w:space="0"/>
            </w:tcBorders>
            <w:vAlign w:val="center"/>
          </w:tcPr>
          <w:p w14:paraId="727D62A1">
            <w:pPr>
              <w:spacing w:after="0" w:line="360" w:lineRule="auto"/>
              <w:jc w:val="center"/>
              <w:rPr>
                <w:rFonts w:hint="eastAsia" w:ascii="宋体" w:hAnsi="宋体" w:eastAsia="宋体" w:cs="Arial"/>
                <w:color w:val="auto"/>
                <w:sz w:val="24"/>
                <w:szCs w:val="24"/>
                <w:highlight w:val="none"/>
                <w:lang w:val="en-US" w:eastAsia="zh-CN"/>
              </w:rPr>
            </w:pPr>
          </w:p>
        </w:tc>
        <w:tc>
          <w:tcPr>
            <w:tcW w:w="1014" w:type="dxa"/>
            <w:tcBorders>
              <w:right w:val="single" w:color="auto" w:sz="4" w:space="0"/>
            </w:tcBorders>
            <w:vAlign w:val="center"/>
          </w:tcPr>
          <w:p w14:paraId="77E949BA">
            <w:pPr>
              <w:tabs>
                <w:tab w:val="left" w:pos="8364"/>
              </w:tabs>
              <w:spacing w:after="0" w:line="360" w:lineRule="auto"/>
              <w:jc w:val="center"/>
              <w:rPr>
                <w:rFonts w:hint="eastAsia"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14:paraId="772BDD24">
            <w:pPr>
              <w:tabs>
                <w:tab w:val="left" w:pos="8364"/>
              </w:tabs>
              <w:spacing w:after="0" w:line="360" w:lineRule="auto"/>
              <w:ind w:right="-58"/>
              <w:jc w:val="center"/>
              <w:rPr>
                <w:rFonts w:hint="eastAsia" w:ascii="宋体" w:hAnsi="宋体" w:eastAsia="宋体" w:cs="宋体"/>
                <w:color w:val="auto"/>
                <w:sz w:val="24"/>
                <w:szCs w:val="24"/>
                <w:highlight w:val="none"/>
                <w:lang w:val="en-US" w:eastAsia="zh-CN"/>
              </w:rPr>
            </w:pPr>
          </w:p>
        </w:tc>
      </w:tr>
      <w:tr w14:paraId="6441DB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678" w:hRule="atLeast"/>
        </w:trPr>
        <w:tc>
          <w:tcPr>
            <w:tcW w:w="3023" w:type="dxa"/>
            <w:vAlign w:val="center"/>
          </w:tcPr>
          <w:p w14:paraId="51D60C47">
            <w:pPr>
              <w:tabs>
                <w:tab w:val="left" w:pos="540"/>
              </w:tabs>
              <w:spacing w:beforeLines="100" w:after="0" w:line="360" w:lineRule="auto"/>
              <w:jc w:val="center"/>
              <w:rPr>
                <w:rFonts w:hint="eastAsia" w:cs="宋体" w:asciiTheme="minorEastAsia" w:hAnsiTheme="minorEastAsia" w:eastAsiaTheme="minorEastAsia"/>
                <w:color w:val="auto"/>
                <w:sz w:val="24"/>
                <w:szCs w:val="24"/>
                <w:highlight w:val="none"/>
              </w:rPr>
            </w:pPr>
          </w:p>
        </w:tc>
        <w:tc>
          <w:tcPr>
            <w:tcW w:w="1699" w:type="dxa"/>
            <w:vAlign w:val="center"/>
          </w:tcPr>
          <w:p w14:paraId="340D47FA">
            <w:pPr>
              <w:spacing w:after="0" w:line="360" w:lineRule="auto"/>
              <w:jc w:val="center"/>
              <w:rPr>
                <w:rFonts w:hint="eastAsia" w:ascii="宋体" w:hAnsi="宋体" w:eastAsia="宋体" w:cs="黑体"/>
                <w:color w:val="auto"/>
                <w:sz w:val="24"/>
                <w:szCs w:val="24"/>
                <w:highlight w:val="none"/>
                <w:lang w:val="en-US" w:eastAsia="zh-CN"/>
              </w:rPr>
            </w:pPr>
          </w:p>
        </w:tc>
        <w:tc>
          <w:tcPr>
            <w:tcW w:w="1633" w:type="dxa"/>
            <w:vAlign w:val="center"/>
          </w:tcPr>
          <w:p w14:paraId="1149FC96">
            <w:pPr>
              <w:spacing w:beforeLines="100" w:after="0" w:line="360" w:lineRule="auto"/>
              <w:jc w:val="center"/>
              <w:rPr>
                <w:rFonts w:hint="eastAsia" w:ascii="宋体" w:hAnsi="宋体" w:eastAsia="宋体" w:cs="黑体"/>
                <w:color w:val="auto"/>
                <w:sz w:val="24"/>
                <w:szCs w:val="24"/>
                <w:highlight w:val="none"/>
                <w:lang w:val="en-US" w:eastAsia="zh-CN"/>
              </w:rPr>
            </w:pPr>
          </w:p>
        </w:tc>
        <w:tc>
          <w:tcPr>
            <w:tcW w:w="1234" w:type="dxa"/>
            <w:tcBorders>
              <w:right w:val="single" w:color="auto" w:sz="4" w:space="0"/>
            </w:tcBorders>
            <w:vAlign w:val="center"/>
          </w:tcPr>
          <w:p w14:paraId="6D246DDB">
            <w:pPr>
              <w:spacing w:after="0" w:line="360" w:lineRule="auto"/>
              <w:jc w:val="center"/>
              <w:rPr>
                <w:rFonts w:hint="eastAsia" w:ascii="宋体" w:hAnsi="宋体" w:eastAsia="宋体" w:cs="Arial"/>
                <w:color w:val="auto"/>
                <w:sz w:val="24"/>
                <w:szCs w:val="24"/>
                <w:highlight w:val="none"/>
                <w:lang w:val="en-US" w:eastAsia="zh-CN"/>
              </w:rPr>
            </w:pPr>
          </w:p>
        </w:tc>
        <w:tc>
          <w:tcPr>
            <w:tcW w:w="1014" w:type="dxa"/>
            <w:tcBorders>
              <w:right w:val="single" w:color="auto" w:sz="4" w:space="0"/>
            </w:tcBorders>
            <w:vAlign w:val="center"/>
          </w:tcPr>
          <w:p w14:paraId="3102BE2C">
            <w:pPr>
              <w:tabs>
                <w:tab w:val="left" w:pos="8364"/>
              </w:tabs>
              <w:spacing w:after="0" w:line="360" w:lineRule="auto"/>
              <w:jc w:val="center"/>
              <w:rPr>
                <w:rFonts w:hint="eastAsia" w:ascii="宋体" w:hAnsi="宋体" w:eastAsia="宋体" w:cs="宋体"/>
                <w:color w:val="auto"/>
                <w:sz w:val="24"/>
                <w:szCs w:val="24"/>
                <w:highlight w:val="none"/>
                <w:lang w:val="en-US" w:eastAsia="zh-CN"/>
              </w:rPr>
            </w:pPr>
          </w:p>
        </w:tc>
        <w:tc>
          <w:tcPr>
            <w:tcW w:w="1335" w:type="dxa"/>
            <w:tcBorders>
              <w:left w:val="single" w:color="auto" w:sz="4" w:space="0"/>
              <w:right w:val="single" w:color="auto" w:sz="4" w:space="0"/>
            </w:tcBorders>
            <w:vAlign w:val="center"/>
          </w:tcPr>
          <w:p w14:paraId="39327076">
            <w:pPr>
              <w:tabs>
                <w:tab w:val="left" w:pos="8364"/>
              </w:tabs>
              <w:spacing w:after="0" w:line="360" w:lineRule="auto"/>
              <w:ind w:right="-58"/>
              <w:jc w:val="center"/>
              <w:rPr>
                <w:rFonts w:hint="eastAsia" w:ascii="宋体" w:hAnsi="宋体" w:eastAsia="宋体" w:cs="宋体"/>
                <w:color w:val="auto"/>
                <w:sz w:val="24"/>
                <w:szCs w:val="24"/>
                <w:highlight w:val="none"/>
                <w:lang w:val="en-US" w:eastAsia="zh-CN"/>
              </w:rPr>
            </w:pPr>
          </w:p>
        </w:tc>
      </w:tr>
      <w:tr w14:paraId="7B0411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29" w:hRule="atLeast"/>
        </w:trPr>
        <w:tc>
          <w:tcPr>
            <w:tcW w:w="9938" w:type="dxa"/>
            <w:gridSpan w:val="6"/>
            <w:tcBorders>
              <w:top w:val="single" w:color="auto" w:sz="4" w:space="0"/>
              <w:bottom w:val="single" w:color="auto" w:sz="4" w:space="0"/>
              <w:right w:val="single" w:color="auto" w:sz="4" w:space="0"/>
            </w:tcBorders>
            <w:vAlign w:val="center"/>
          </w:tcPr>
          <w:p w14:paraId="42DD2EE5">
            <w:pPr>
              <w:spacing w:after="0" w:line="360" w:lineRule="auto"/>
              <w:rPr>
                <w:rFonts w:ascii="宋体" w:hAnsi="宋体" w:eastAsia="宋体" w:cs="黑体"/>
                <w:color w:val="auto"/>
                <w:sz w:val="24"/>
                <w:szCs w:val="24"/>
                <w:highlight w:val="none"/>
              </w:rPr>
            </w:pPr>
            <w:r>
              <w:rPr>
                <w:rFonts w:hint="eastAsia" w:ascii="宋体" w:hAnsi="宋体" w:eastAsia="宋体" w:cs="黑体"/>
                <w:color w:val="auto"/>
                <w:sz w:val="24"/>
                <w:szCs w:val="24"/>
                <w:highlight w:val="none"/>
              </w:rPr>
              <w:t>总价（人民币大写）：</w:t>
            </w:r>
            <w:r>
              <w:rPr>
                <w:rFonts w:hint="eastAsia" w:ascii="宋体" w:hAnsi="宋体" w:eastAsia="宋体" w:cs="黑体"/>
                <w:color w:val="auto"/>
                <w:sz w:val="24"/>
                <w:szCs w:val="24"/>
                <w:highlight w:val="none"/>
                <w:lang w:val="en-US" w:eastAsia="zh-CN"/>
              </w:rPr>
              <w:t>元</w:t>
            </w:r>
            <w:r>
              <w:rPr>
                <w:rFonts w:hint="eastAsia" w:ascii="宋体" w:hAnsi="宋体" w:eastAsia="宋体" w:cs="黑体"/>
                <w:bCs/>
                <w:color w:val="auto"/>
                <w:sz w:val="24"/>
                <w:szCs w:val="24"/>
                <w:highlight w:val="none"/>
              </w:rPr>
              <w:t>整        ¥：元</w:t>
            </w:r>
          </w:p>
        </w:tc>
      </w:tr>
      <w:tr w14:paraId="3408368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29" w:hRule="atLeast"/>
        </w:trPr>
        <w:tc>
          <w:tcPr>
            <w:tcW w:w="9938" w:type="dxa"/>
            <w:gridSpan w:val="6"/>
            <w:tcBorders>
              <w:top w:val="single" w:color="auto" w:sz="4" w:space="0"/>
              <w:bottom w:val="single" w:color="auto" w:sz="4" w:space="0"/>
              <w:right w:val="single" w:color="auto" w:sz="4" w:space="0"/>
            </w:tcBorders>
            <w:vAlign w:val="center"/>
          </w:tcPr>
          <w:p w14:paraId="0F390294">
            <w:pPr>
              <w:spacing w:after="0" w:line="360" w:lineRule="auto"/>
              <w:rPr>
                <w:rFonts w:hint="default" w:ascii="宋体" w:hAnsi="宋体" w:eastAsia="宋体" w:cs="黑体"/>
                <w:color w:val="auto"/>
                <w:sz w:val="24"/>
                <w:szCs w:val="24"/>
                <w:highlight w:val="none"/>
                <w:lang w:val="en-US" w:eastAsia="zh-CN"/>
              </w:rPr>
            </w:pPr>
            <w:r>
              <w:rPr>
                <w:rFonts w:hint="eastAsia" w:ascii="宋体" w:hAnsi="宋体" w:eastAsia="宋体" w:cs="黑体"/>
                <w:color w:val="auto"/>
                <w:sz w:val="24"/>
                <w:szCs w:val="24"/>
                <w:highlight w:val="none"/>
                <w:lang w:eastAsia="zh-CN"/>
              </w:rPr>
              <w:t>合同</w:t>
            </w:r>
            <w:r>
              <w:rPr>
                <w:rFonts w:hint="eastAsia" w:ascii="宋体" w:hAnsi="宋体" w:eastAsia="宋体" w:cs="黑体"/>
                <w:color w:val="auto"/>
                <w:sz w:val="24"/>
                <w:szCs w:val="24"/>
                <w:highlight w:val="none"/>
                <w:lang w:val="en-US" w:eastAsia="zh-CN"/>
              </w:rPr>
              <w:t>服务期</w:t>
            </w:r>
            <w:r>
              <w:rPr>
                <w:rFonts w:hint="eastAsia" w:ascii="宋体" w:hAnsi="宋体" w:eastAsia="宋体" w:cs="黑体"/>
                <w:color w:val="auto"/>
                <w:sz w:val="24"/>
                <w:szCs w:val="24"/>
                <w:highlight w:val="none"/>
                <w:lang w:eastAsia="zh-CN"/>
              </w:rPr>
              <w:t>为</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年，从</w:t>
            </w:r>
            <w:r>
              <w:rPr>
                <w:rFonts w:hint="eastAsia" w:ascii="宋体" w:hAnsi="宋体" w:eastAsia="宋体" w:cs="黑体"/>
                <w:color w:val="auto"/>
                <w:sz w:val="24"/>
                <w:szCs w:val="24"/>
                <w:highlight w:val="none"/>
                <w:lang w:val="en-US" w:eastAsia="zh-CN"/>
              </w:rPr>
              <w:t xml:space="preserve"> XXXX</w:t>
            </w:r>
            <w:r>
              <w:rPr>
                <w:rFonts w:hint="eastAsia" w:ascii="宋体" w:hAnsi="宋体" w:eastAsia="宋体" w:cs="黑体"/>
                <w:color w:val="auto"/>
                <w:sz w:val="24"/>
                <w:szCs w:val="24"/>
                <w:highlight w:val="none"/>
                <w:lang w:eastAsia="zh-CN"/>
              </w:rPr>
              <w:t>年</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月</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 xml:space="preserve">日到 </w:t>
            </w:r>
            <w:r>
              <w:rPr>
                <w:rFonts w:hint="eastAsia" w:ascii="宋体" w:hAnsi="宋体" w:eastAsia="宋体" w:cs="黑体"/>
                <w:color w:val="auto"/>
                <w:sz w:val="24"/>
                <w:szCs w:val="24"/>
                <w:highlight w:val="none"/>
                <w:lang w:val="en-US" w:eastAsia="zh-CN"/>
              </w:rPr>
              <w:t>XXXX</w:t>
            </w:r>
            <w:r>
              <w:rPr>
                <w:rFonts w:hint="eastAsia" w:ascii="宋体" w:hAnsi="宋体" w:eastAsia="宋体" w:cs="黑体"/>
                <w:color w:val="auto"/>
                <w:sz w:val="24"/>
                <w:szCs w:val="24"/>
                <w:highlight w:val="none"/>
                <w:lang w:eastAsia="zh-CN"/>
              </w:rPr>
              <w:t>年</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月</w:t>
            </w:r>
            <w:r>
              <w:rPr>
                <w:rFonts w:hint="eastAsia" w:ascii="宋体" w:hAnsi="宋体" w:eastAsia="宋体" w:cs="黑体"/>
                <w:color w:val="auto"/>
                <w:sz w:val="24"/>
                <w:szCs w:val="24"/>
                <w:highlight w:val="none"/>
                <w:lang w:val="en-US" w:eastAsia="zh-CN"/>
              </w:rPr>
              <w:t>X</w:t>
            </w:r>
            <w:r>
              <w:rPr>
                <w:rFonts w:hint="eastAsia" w:ascii="宋体" w:hAnsi="宋体" w:eastAsia="宋体" w:cs="黑体"/>
                <w:color w:val="auto"/>
                <w:sz w:val="24"/>
                <w:szCs w:val="24"/>
                <w:highlight w:val="none"/>
                <w:lang w:eastAsia="zh-CN"/>
              </w:rPr>
              <w:t>日止。</w:t>
            </w:r>
          </w:p>
        </w:tc>
      </w:tr>
    </w:tbl>
    <w:p w14:paraId="01817200">
      <w:pPr>
        <w:spacing w:after="0"/>
        <w:rPr>
          <w:rFonts w:asciiTheme="minorEastAsia" w:hAnsiTheme="minorEastAsia" w:eastAsiaTheme="minorEastAsia"/>
          <w:color w:val="auto"/>
          <w:sz w:val="24"/>
          <w:highlight w:val="none"/>
        </w:rPr>
      </w:pPr>
    </w:p>
    <w:p w14:paraId="3FA8433E">
      <w:pPr>
        <w:spacing w:beforeLines="100"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第二条</w:t>
      </w:r>
      <w:r>
        <w:rPr>
          <w:rFonts w:hint="eastAsia" w:asciiTheme="minorEastAsia" w:hAnsiTheme="minorEastAsia" w:eastAsiaTheme="minorEastAsia"/>
          <w:color w:val="auto"/>
          <w:sz w:val="24"/>
          <w:szCs w:val="24"/>
          <w:highlight w:val="none"/>
        </w:rPr>
        <w:t>合同总价</w:t>
      </w:r>
    </w:p>
    <w:p w14:paraId="20B973E1">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合同总价为人民币</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大写</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lang w:val="en-US" w:eastAsia="zh-CN"/>
        </w:rPr>
        <w:t>:</w:t>
      </w:r>
      <w:r>
        <w:rPr>
          <w:rFonts w:hint="eastAsia" w:ascii="宋体" w:hAnsi="宋体" w:eastAsia="宋体" w:cs="黑体"/>
          <w:color w:val="auto"/>
          <w:sz w:val="24"/>
          <w:szCs w:val="24"/>
          <w:highlight w:val="none"/>
          <w:lang w:val="en-US" w:eastAsia="zh-CN"/>
        </w:rPr>
        <w:t>元</w:t>
      </w:r>
      <w:r>
        <w:rPr>
          <w:rFonts w:hint="eastAsia" w:ascii="宋体" w:hAnsi="宋体" w:eastAsia="宋体" w:cs="黑体"/>
          <w:bCs/>
          <w:color w:val="auto"/>
          <w:sz w:val="24"/>
          <w:szCs w:val="24"/>
          <w:highlight w:val="none"/>
        </w:rPr>
        <w:t>整</w:t>
      </w:r>
      <w:r>
        <w:rPr>
          <w:rFonts w:hint="eastAsia" w:asciiTheme="minorEastAsia" w:hAnsiTheme="minorEastAsia" w:eastAsiaTheme="minorEastAsia"/>
          <w:color w:val="auto"/>
          <w:sz w:val="24"/>
          <w:szCs w:val="24"/>
          <w:highlight w:val="none"/>
        </w:rPr>
        <w:t>（</w:t>
      </w:r>
      <w:r>
        <w:rPr>
          <w:rFonts w:hint="eastAsia" w:asciiTheme="minorEastAsia" w:hAnsiTheme="minorEastAsia" w:eastAsiaTheme="minorEastAsia"/>
          <w:bCs/>
          <w:color w:val="auto"/>
          <w:sz w:val="24"/>
          <w:szCs w:val="24"/>
          <w:highlight w:val="none"/>
        </w:rPr>
        <w:t>¥</w:t>
      </w:r>
      <w:r>
        <w:rPr>
          <w:rFonts w:hint="eastAsia" w:asciiTheme="minorEastAsia" w:hAnsiTheme="minorEastAsia" w:eastAsiaTheme="minorEastAsia"/>
          <w:color w:val="auto"/>
          <w:sz w:val="24"/>
          <w:szCs w:val="24"/>
          <w:highlight w:val="none"/>
        </w:rPr>
        <w:t>元），该合同总金额是</w:t>
      </w:r>
      <w:r>
        <w:rPr>
          <w:rFonts w:hint="eastAsia" w:asciiTheme="minorEastAsia" w:hAnsiTheme="minorEastAsia" w:eastAsiaTheme="minorEastAsia"/>
          <w:color w:val="auto"/>
          <w:sz w:val="24"/>
          <w:szCs w:val="24"/>
          <w:highlight w:val="none"/>
          <w:lang w:eastAsia="zh-CN"/>
        </w:rPr>
        <w:t>西门子设备维保项目</w:t>
      </w:r>
      <w:r>
        <w:rPr>
          <w:rFonts w:hint="eastAsia" w:asciiTheme="minorEastAsia" w:hAnsiTheme="minorEastAsia" w:eastAsiaTheme="minorEastAsia"/>
          <w:color w:val="auto"/>
          <w:sz w:val="24"/>
          <w:szCs w:val="24"/>
          <w:highlight w:val="none"/>
          <w:lang w:val="en-US" w:eastAsia="zh-CN"/>
        </w:rPr>
        <w:t>服务</w:t>
      </w:r>
      <w:r>
        <w:rPr>
          <w:rFonts w:hint="eastAsia" w:asciiTheme="minorEastAsia" w:hAnsiTheme="minorEastAsia" w:eastAsiaTheme="minorEastAsia"/>
          <w:color w:val="auto"/>
          <w:sz w:val="24"/>
          <w:szCs w:val="24"/>
          <w:highlight w:val="none"/>
        </w:rPr>
        <w:t>期间包括备品备件和人工、维修发生的所有含税费用。本合同执行期间合同总金额不变。</w:t>
      </w:r>
    </w:p>
    <w:p w14:paraId="4A20BF84">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第三条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合同组成</w:t>
      </w:r>
    </w:p>
    <w:p w14:paraId="493DD597">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详细价格、技术说明及其他有关合同产品的特定信息由合同附件说明。所有附件及本项目的招投标文件、会议纪要、协议、澄清等均为本合同不可分割的一部分。</w:t>
      </w:r>
    </w:p>
    <w:p w14:paraId="2FD50FCD">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第四</w:t>
      </w:r>
      <w:r>
        <w:rPr>
          <w:rFonts w:hint="eastAsia" w:cs="微软雅黑" w:asciiTheme="minorEastAsia" w:hAnsiTheme="minorEastAsia" w:eastAsiaTheme="minorEastAsia"/>
          <w:color w:val="auto"/>
          <w:sz w:val="24"/>
          <w:szCs w:val="24"/>
          <w:highlight w:val="none"/>
        </w:rPr>
        <w:t>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资质保证。</w:t>
      </w:r>
    </w:p>
    <w:p w14:paraId="29F76110">
      <w:pPr>
        <w:spacing w:after="0" w:line="360" w:lineRule="auto"/>
        <w:ind w:firstLine="480" w:firstLineChars="200"/>
        <w:jc w:val="both"/>
        <w:rPr>
          <w:rFonts w:hint="eastAsia"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乙方应当确保以下资质证书在甲方使用期内持续合法有效：医疗器械经营企业许可证、企业法人营业执照</w:t>
      </w:r>
      <w:r>
        <w:rPr>
          <w:rFonts w:hint="eastAsia" w:cs="仿宋_GB2312" w:asciiTheme="minorEastAsia" w:hAnsiTheme="minorEastAsia" w:eastAsiaTheme="minorEastAsia"/>
          <w:bCs/>
          <w:color w:val="auto"/>
          <w:sz w:val="24"/>
          <w:szCs w:val="24"/>
          <w:highlight w:val="none"/>
          <w:lang w:eastAsia="zh-CN"/>
        </w:rPr>
        <w:t>、</w:t>
      </w:r>
      <w:r>
        <w:rPr>
          <w:rFonts w:hint="eastAsia" w:cs="仿宋_GB2312" w:asciiTheme="minorEastAsia" w:hAnsiTheme="minorEastAsia" w:eastAsiaTheme="minorEastAsia"/>
          <w:bCs/>
          <w:color w:val="auto"/>
          <w:sz w:val="24"/>
          <w:szCs w:val="24"/>
          <w:highlight w:val="none"/>
          <w:lang w:val="en-US" w:eastAsia="zh-CN"/>
        </w:rPr>
        <w:t>二类备案证</w:t>
      </w:r>
      <w:r>
        <w:rPr>
          <w:rFonts w:hint="eastAsia" w:cs="仿宋_GB2312" w:asciiTheme="minorEastAsia" w:hAnsiTheme="minorEastAsia" w:eastAsiaTheme="minorEastAsia"/>
          <w:bCs/>
          <w:color w:val="auto"/>
          <w:sz w:val="24"/>
          <w:szCs w:val="24"/>
          <w:highlight w:val="none"/>
        </w:rPr>
        <w:t>。</w:t>
      </w:r>
    </w:p>
    <w:p w14:paraId="70653DED">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第五条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付款办法</w:t>
      </w:r>
    </w:p>
    <w:p w14:paraId="162620E0">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lang w:val="en-US" w:eastAsia="zh-CN"/>
        </w:rPr>
        <w:t>甲方收到乙方全额发票后，一次性支付当期维保款项。达到付款条件起30日内，支付当期全额发票合同金额的100%</w:t>
      </w:r>
      <w:r>
        <w:rPr>
          <w:rFonts w:hint="eastAsia" w:asciiTheme="minorEastAsia" w:hAnsiTheme="minorEastAsia" w:eastAsiaTheme="minorEastAsia"/>
          <w:color w:val="auto"/>
          <w:sz w:val="24"/>
          <w:szCs w:val="24"/>
          <w:highlight w:val="none"/>
        </w:rPr>
        <w:t>。以上款项支付时，乙方均应提供合法税务票据，款项转入乙方指定账户。具体如下：</w:t>
      </w:r>
    </w:p>
    <w:p w14:paraId="3CDF50D0">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合同；</w:t>
      </w:r>
    </w:p>
    <w:p w14:paraId="4B691A2D">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乙方开具的正式发票。</w:t>
      </w:r>
    </w:p>
    <w:p w14:paraId="27B3C2CC">
      <w:pPr>
        <w:spacing w:after="0" w:line="360" w:lineRule="auto"/>
        <w:ind w:firstLine="480" w:firstLineChars="200"/>
        <w:jc w:val="both"/>
        <w:rPr>
          <w:rFonts w:ascii="宋体" w:hAnsi="宋体" w:eastAsia="宋体" w:cs="仿宋"/>
          <w:color w:val="auto"/>
          <w:sz w:val="24"/>
          <w:szCs w:val="24"/>
          <w:highlight w:val="none"/>
        </w:rPr>
      </w:pPr>
      <w:r>
        <w:rPr>
          <w:rFonts w:hint="eastAsia" w:ascii="宋体" w:hAnsi="宋体" w:eastAsia="宋体" w:cs="仿宋"/>
          <w:color w:val="auto"/>
          <w:sz w:val="24"/>
          <w:szCs w:val="24"/>
          <w:highlight w:val="none"/>
        </w:rPr>
        <w:t>账户：</w:t>
      </w:r>
    </w:p>
    <w:p w14:paraId="218B6408">
      <w:pPr>
        <w:ind w:firstLine="480" w:firstLineChars="200"/>
        <w:rPr>
          <w:rFonts w:hint="eastAsia" w:ascii="宋体" w:hAnsi="宋体" w:eastAsia="宋体" w:cs="仿宋"/>
          <w:color w:val="auto"/>
          <w:sz w:val="24"/>
          <w:szCs w:val="24"/>
          <w:highlight w:val="none"/>
          <w:lang w:val="en-US" w:eastAsia="zh-CN"/>
        </w:rPr>
      </w:pPr>
      <w:r>
        <w:rPr>
          <w:rFonts w:hint="eastAsia" w:ascii="宋体" w:hAnsi="宋体" w:eastAsia="宋体" w:cs="仿宋"/>
          <w:color w:val="auto"/>
          <w:sz w:val="24"/>
          <w:szCs w:val="24"/>
          <w:highlight w:val="none"/>
        </w:rPr>
        <w:t>帐号：</w:t>
      </w:r>
    </w:p>
    <w:p w14:paraId="10C12247">
      <w:pPr>
        <w:ind w:firstLine="480" w:firstLineChars="200"/>
        <w:rPr>
          <w:rFonts w:hint="eastAsia" w:asciiTheme="minorEastAsia" w:hAnsiTheme="minorEastAsia" w:eastAsiaTheme="minorEastAsia"/>
          <w:color w:val="auto"/>
          <w:sz w:val="24"/>
          <w:highlight w:val="none"/>
        </w:rPr>
      </w:pPr>
      <w:r>
        <w:rPr>
          <w:rFonts w:hint="eastAsia" w:ascii="宋体" w:hAnsi="宋体" w:eastAsia="宋体" w:cs="仿宋"/>
          <w:color w:val="auto"/>
          <w:sz w:val="24"/>
          <w:szCs w:val="24"/>
          <w:highlight w:val="none"/>
        </w:rPr>
        <w:t>开户银行：</w:t>
      </w:r>
    </w:p>
    <w:p w14:paraId="4DF82F18">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第六条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技术服务</w:t>
      </w:r>
    </w:p>
    <w:p w14:paraId="33F5D2B0">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1.服务范围：西门子双源CT、西门子3T 磁共振、西门子DSA设备整机保修服务，包含工作站保修，不包含第三方产品。通过日常巡检、质控保养、配件更换（包含：保养耗材，远程服务，安全升级，球管、高压油箱、探测器、水冷机、冷头、液氦、滑环及常规备件更换服务）等内容，保证设备状态符合国家质量监督部门以及卫生监督部门的标准。   </w:t>
      </w:r>
    </w:p>
    <w:p w14:paraId="3CC1E41A">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2.响应时间保证：接到采购人报修电话后，2个工作小时内作出响应，24个工作小时内工程师到达现场。</w:t>
      </w:r>
    </w:p>
    <w:p w14:paraId="1AF750F1">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3.提供设备的安全检查、影像质量检查、设备除尘保养、运行状态检查等，每年2次符合原厂质控保养清单的专业保养。   </w:t>
      </w:r>
    </w:p>
    <w:p w14:paraId="148250FD">
      <w:pPr>
        <w:spacing w:after="0" w:line="360" w:lineRule="auto"/>
        <w:ind w:firstLine="480" w:firstLineChars="200"/>
        <w:jc w:val="both"/>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drawing>
          <wp:anchor distT="0" distB="0" distL="114300" distR="114300" simplePos="0" relativeHeight="251659264" behindDoc="0" locked="0" layoutInCell="1" allowOverlap="0">
            <wp:simplePos x="0" y="0"/>
            <wp:positionH relativeFrom="page">
              <wp:posOffset>7540625</wp:posOffset>
            </wp:positionH>
            <wp:positionV relativeFrom="page">
              <wp:posOffset>528320</wp:posOffset>
            </wp:positionV>
            <wp:extent cx="22860" cy="167640"/>
            <wp:effectExtent l="0" t="0" r="0" b="0"/>
            <wp:wrapSquare wrapText="bothSides"/>
            <wp:docPr id="354" name="Picture 354"/>
            <wp:cNvGraphicFramePr/>
            <a:graphic xmlns:a="http://schemas.openxmlformats.org/drawingml/2006/main">
              <a:graphicData uri="http://schemas.openxmlformats.org/drawingml/2006/picture">
                <pic:pic xmlns:pic="http://schemas.openxmlformats.org/drawingml/2006/picture">
                  <pic:nvPicPr>
                    <pic:cNvPr id="354" name="Picture 354"/>
                    <pic:cNvPicPr/>
                  </pic:nvPicPr>
                  <pic:blipFill>
                    <a:blip r:embed="rId5"/>
                    <a:stretch>
                      <a:fillRect/>
                    </a:stretch>
                  </pic:blipFill>
                  <pic:spPr>
                    <a:xfrm>
                      <a:off x="0" y="0"/>
                      <a:ext cx="22859" cy="167640"/>
                    </a:xfrm>
                    <a:prstGeom prst="rect">
                      <a:avLst/>
                    </a:prstGeom>
                  </pic:spPr>
                </pic:pic>
              </a:graphicData>
            </a:graphic>
          </wp:anchor>
        </w:drawing>
      </w:r>
      <w:r>
        <w:rPr>
          <w:rFonts w:hint="eastAsia" w:ascii="宋体" w:hAnsi="宋体" w:eastAsia="宋体"/>
          <w:color w:val="auto"/>
          <w:sz w:val="24"/>
          <w:szCs w:val="24"/>
          <w:highlight w:val="none"/>
          <w:lang w:val="en-US" w:eastAsia="zh-CN"/>
        </w:rPr>
        <mc:AlternateContent>
          <mc:Choice Requires="wpg">
            <w:drawing>
              <wp:anchor distT="0" distB="0" distL="114300" distR="114300" simplePos="0" relativeHeight="251660288" behindDoc="0" locked="0" layoutInCell="1" allowOverlap="1">
                <wp:simplePos x="0" y="0"/>
                <wp:positionH relativeFrom="page">
                  <wp:posOffset>7542530</wp:posOffset>
                </wp:positionH>
                <wp:positionV relativeFrom="page">
                  <wp:posOffset>560705</wp:posOffset>
                </wp:positionV>
                <wp:extent cx="85090" cy="152400"/>
                <wp:effectExtent l="0" t="0" r="0" b="0"/>
                <wp:wrapSquare wrapText="bothSides"/>
                <wp:docPr id="1" name="Group 2268"/>
                <wp:cNvGraphicFramePr/>
                <a:graphic xmlns:a="http://schemas.openxmlformats.org/drawingml/2006/main">
                  <a:graphicData uri="http://schemas.microsoft.com/office/word/2010/wordprocessingGroup">
                    <wpg:wgp>
                      <wpg:cNvGrpSpPr/>
                      <wpg:grpSpPr>
                        <a:xfrm>
                          <a:off x="0" y="0"/>
                          <a:ext cx="85090" cy="152400"/>
                          <a:chOff x="0" y="0"/>
                          <a:chExt cx="85344" cy="152400"/>
                        </a:xfrm>
                        <a:effectLst/>
                      </wpg:grpSpPr>
                      <wps:wsp>
                        <wps:cNvPr id="262" name="Rectangle 262"/>
                        <wps:cNvSpPr/>
                        <wps:spPr>
                          <a:xfrm>
                            <a:off x="9144" y="0"/>
                            <a:ext cx="101346" cy="202692"/>
                          </a:xfrm>
                          <a:prstGeom prst="rect">
                            <a:avLst/>
                          </a:prstGeom>
                          <a:noFill/>
                          <a:ln>
                            <a:noFill/>
                          </a:ln>
                          <a:effectLst/>
                        </wps:spPr>
                        <wps:txbx>
                          <w:txbxContent>
                            <w:p w14:paraId="1B827DDC">
                              <w:pPr>
                                <w:spacing w:after="160"/>
                              </w:pPr>
                              <w:r>
                                <w:t xml:space="preserve"> </w:t>
                              </w:r>
                            </w:p>
                          </w:txbxContent>
                        </wps:txbx>
                        <wps:bodyPr horzOverflow="overflow" vert="horz" lIns="0" tIns="0" rIns="0" bIns="0" rtlCol="0">
                          <a:noAutofit/>
                        </wps:bodyPr>
                      </wps:wsp>
                      <wps:wsp>
                        <wps:cNvPr id="355" name="Rectangle 355"/>
                        <wps:cNvSpPr/>
                        <wps:spPr>
                          <a:xfrm>
                            <a:off x="0" y="13120"/>
                            <a:ext cx="84117" cy="168235"/>
                          </a:xfrm>
                          <a:prstGeom prst="rect">
                            <a:avLst/>
                          </a:prstGeom>
                          <a:noFill/>
                          <a:ln>
                            <a:noFill/>
                          </a:ln>
                          <a:effectLst/>
                        </wps:spPr>
                        <wps:txbx>
                          <w:txbxContent>
                            <w:p w14:paraId="34326E04">
                              <w:pPr>
                                <w:spacing w:after="160"/>
                              </w:pPr>
                              <w:r>
                                <w:rPr>
                                  <w:sz w:val="20"/>
                                </w:rPr>
                                <w:t xml:space="preserve"> </w:t>
                              </w:r>
                            </w:p>
                          </w:txbxContent>
                        </wps:txbx>
                        <wps:bodyPr horzOverflow="overflow" vert="horz" lIns="0" tIns="0" rIns="0" bIns="0" rtlCol="0">
                          <a:noAutofit/>
                        </wps:bodyPr>
                      </wps:wsp>
                    </wpg:wgp>
                  </a:graphicData>
                </a:graphic>
              </wp:anchor>
            </w:drawing>
          </mc:Choice>
          <mc:Fallback>
            <w:pict>
              <v:group id="Group 2268" o:spid="_x0000_s1026" o:spt="203" style="position:absolute;left:0pt;margin-left:593.9pt;margin-top:44.15pt;height:12pt;width:6.7pt;mso-position-horizontal-relative:page;mso-position-vertical-relative:page;mso-wrap-distance-bottom:0pt;mso-wrap-distance-left:9pt;mso-wrap-distance-right:9pt;mso-wrap-distance-top:0pt;z-index:251660288;mso-width-relative:page;mso-height-relative:page;" coordsize="85344,152400" o:gfxdata="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EwEJvDZAAAA&#10;DAEAAA8AAAAAAAAAAQAgAAAAIgAAAGRycy9kb3ducmV2LnhtbFBLAQIUABQAAAAIAIdO4kBC/9ks&#10;VQIAAM8GAAAOAAAAAAAAAAEAIAAAACgBAABkcnMvZTJvRG9jLnhtbFBLBQYAAAAABgAGAFkBAADv&#10;BQAAAAA=&#10;">
                <o:lock v:ext="edit" aspectratio="f"/>
                <v:rect id="Rectangle 262" o:spid="_x0000_s1026" o:spt="1" style="position:absolute;left:9144;top:0;height:202692;width:101346;" filled="f" stroked="f" coordsize="21600,21600" o:gfxdata="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ABVP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1B827DDC">
                        <w:pPr>
                          <w:spacing w:after="160"/>
                        </w:pPr>
                        <w:r>
                          <w:t xml:space="preserve"> </w:t>
                        </w:r>
                      </w:p>
                    </w:txbxContent>
                  </v:textbox>
                </v:rect>
                <v:rect id="Rectangle 355" o:spid="_x0000_s1026" o:spt="1" style="position:absolute;left:0;top:13120;height:168235;width:84117;" filled="f" stroked="f" coordsize="21600,21600" o:gfxdata="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dlCaO/&#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14:paraId="34326E04">
                        <w:pPr>
                          <w:spacing w:after="160"/>
                        </w:pPr>
                        <w:r>
                          <w:rPr>
                            <w:sz w:val="20"/>
                          </w:rPr>
                          <w:t xml:space="preserve"> </w:t>
                        </w:r>
                      </w:p>
                    </w:txbxContent>
                  </v:textbox>
                </v:rect>
                <w10:wrap type="square"/>
              </v:group>
            </w:pict>
          </mc:Fallback>
        </mc:AlternateContent>
      </w:r>
      <w:r>
        <w:rPr>
          <w:rFonts w:hint="eastAsia" w:ascii="宋体" w:hAnsi="宋体" w:eastAsia="宋体"/>
          <w:color w:val="auto"/>
          <w:sz w:val="24"/>
          <w:szCs w:val="24"/>
          <w:highlight w:val="none"/>
          <w:lang w:val="en-US" w:eastAsia="zh-CN"/>
        </w:rPr>
        <w:t>4.国内备件2个工作日到现场，国外备件7个工作日内到现场。</w:t>
      </w:r>
      <w:r>
        <w:rPr>
          <w:rFonts w:ascii="宋体" w:hAnsi="宋体" w:eastAsia="宋体"/>
          <w:color w:val="auto"/>
          <w:sz w:val="24"/>
          <w:szCs w:val="24"/>
          <w:highlight w:val="none"/>
        </w:rPr>
        <w:t xml:space="preserve">   </w:t>
      </w:r>
    </w:p>
    <w:p w14:paraId="2379EB99">
      <w:pPr>
        <w:spacing w:after="0" w:line="360" w:lineRule="auto"/>
        <w:ind w:firstLine="480" w:firstLineChars="200"/>
        <w:jc w:val="both"/>
        <w:rPr>
          <w:rFonts w:ascii="宋体" w:hAnsi="宋体" w:eastAsia="宋体"/>
          <w:color w:val="auto"/>
          <w:sz w:val="24"/>
          <w:szCs w:val="24"/>
          <w:highlight w:val="none"/>
        </w:rPr>
      </w:pPr>
      <w:r>
        <w:rPr>
          <w:rFonts w:ascii="宋体" w:hAnsi="宋体" w:eastAsia="宋体"/>
          <w:color w:val="auto"/>
          <w:sz w:val="24"/>
          <w:szCs w:val="24"/>
          <w:highlight w:val="none"/>
        </w:rPr>
        <w:t>5.在本项目服务期内，供应商应优先保证本项目所涉及保修设备的备品备件更换。</w:t>
      </w:r>
    </w:p>
    <w:p w14:paraId="28B4AC1D">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6.全年365天×24小时电话技术服务支持，专业工程师通过电话或其他在线远程支持服务响应时间不超过2小时。</w:t>
      </w:r>
    </w:p>
    <w:p w14:paraId="69F155BC">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7.提供远程全天24小时不间断监测设备运行状态服务，可提前预警。</w:t>
      </w:r>
    </w:p>
    <w:p w14:paraId="690A84CF">
      <w:pPr>
        <w:spacing w:after="0" w:line="360" w:lineRule="auto"/>
        <w:ind w:firstLine="480" w:firstLineChars="200"/>
        <w:jc w:val="both"/>
        <w:rPr>
          <w:rFonts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8.服务期内设备开机率确保达到95％，按全年250个工作日计算。即全年正常开机达到238个工作日，停机时间不超过12个工作日，停机每超出1个工作日，维修服务合同期限自动延长2个工作日。</w:t>
      </w:r>
      <w:r>
        <w:rPr>
          <w:rFonts w:ascii="宋体" w:hAnsi="宋体" w:eastAsia="宋体"/>
          <w:color w:val="auto"/>
          <w:sz w:val="24"/>
          <w:szCs w:val="24"/>
          <w:highlight w:val="none"/>
        </w:rPr>
        <w:t xml:space="preserve">  </w:t>
      </w:r>
    </w:p>
    <w:p w14:paraId="7D746721">
      <w:pPr>
        <w:pStyle w:val="3"/>
        <w:ind w:left="0" w:leftChars="0" w:firstLine="0" w:firstLineChars="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eastAsia="zh-CN"/>
        </w:rPr>
        <w:t>第七条</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rPr>
        <w:t>知识产权归属和处理方式：</w:t>
      </w:r>
    </w:p>
    <w:p w14:paraId="5EAD6B52">
      <w:pPr>
        <w:spacing w:after="0" w:line="360" w:lineRule="auto"/>
        <w:ind w:firstLine="480" w:firstLineChars="200"/>
        <w:jc w:val="both"/>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 xml:space="preserve">一、供应商应保证在本项目中使用的任何技术、产品和服务（包括部分使用），不会产生因第三方提出侵犯其专利权、商 标权或其它知识产权而引起的法律和经济纠纷，如存在前述情形，由供应商承担所有相关责任。采购人享有本项目实施过程中 产生的知识成果及知识产权。 </w:t>
      </w:r>
    </w:p>
    <w:p w14:paraId="290ACD3D">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 xml:space="preserve">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 </w:t>
      </w:r>
    </w:p>
    <w:p w14:paraId="4A91EB06">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 xml:space="preserve">三、如采用供应商所不拥有的知识产权，则在报价中必须包括合法使用该知识产权的相关费用。 </w:t>
      </w:r>
    </w:p>
    <w:p w14:paraId="1C862FA3">
      <w:pPr>
        <w:pStyle w:val="3"/>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color w:val="auto"/>
          <w:highlight w:val="none"/>
        </w:rPr>
      </w:pPr>
      <w:r>
        <w:rPr>
          <w:rFonts w:hint="eastAsia" w:ascii="宋体" w:hAnsi="宋体" w:eastAsia="宋体" w:cs="宋体"/>
          <w:i w:val="0"/>
          <w:iCs w:val="0"/>
          <w:caps w:val="0"/>
          <w:color w:val="auto"/>
          <w:spacing w:val="0"/>
          <w:sz w:val="24"/>
          <w:szCs w:val="24"/>
          <w:highlight w:val="none"/>
          <w:shd w:val="clear" w:fill="FFFFFF"/>
        </w:rPr>
        <w:t>四、构成本</w:t>
      </w:r>
      <w:r>
        <w:rPr>
          <w:rFonts w:hint="eastAsia" w:ascii="宋体" w:hAnsi="宋体" w:eastAsia="宋体" w:cs="宋体"/>
          <w:i w:val="0"/>
          <w:iCs w:val="0"/>
          <w:caps w:val="0"/>
          <w:color w:val="auto"/>
          <w:spacing w:val="0"/>
          <w:sz w:val="24"/>
          <w:szCs w:val="24"/>
          <w:highlight w:val="none"/>
          <w:shd w:val="clear" w:fill="FFFFFF"/>
          <w:lang w:val="en-US" w:eastAsia="zh-CN"/>
        </w:rPr>
        <w:t>招标</w:t>
      </w:r>
      <w:r>
        <w:rPr>
          <w:rFonts w:hint="eastAsia" w:ascii="宋体" w:hAnsi="宋体" w:eastAsia="宋体" w:cs="宋体"/>
          <w:i w:val="0"/>
          <w:iCs w:val="0"/>
          <w:caps w:val="0"/>
          <w:color w:val="auto"/>
          <w:spacing w:val="0"/>
          <w:sz w:val="24"/>
          <w:szCs w:val="24"/>
          <w:highlight w:val="none"/>
          <w:shd w:val="clear" w:fill="FFFFFF"/>
        </w:rPr>
        <w:t>文件的各组成部分，未经采购人书面同意，供应商不得擅自复印或用于非本项目所需的其他目的。</w:t>
      </w:r>
    </w:p>
    <w:p w14:paraId="41BFF3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eastAsia="zh-CN"/>
        </w:rPr>
        <w:t>第七条</w:t>
      </w:r>
      <w:r>
        <w:rPr>
          <w:rFonts w:hint="eastAsia" w:ascii="宋体" w:hAnsi="宋体" w:eastAsia="宋体" w:cs="宋体"/>
          <w:i w:val="0"/>
          <w:iCs w:val="0"/>
          <w:caps w:val="0"/>
          <w:color w:val="auto"/>
          <w:spacing w:val="0"/>
          <w:sz w:val="24"/>
          <w:szCs w:val="24"/>
          <w:highlight w:val="none"/>
          <w:shd w:val="clear" w:fill="FFFFFF"/>
          <w:lang w:val="en-US" w:eastAsia="zh-CN"/>
        </w:rPr>
        <w:t xml:space="preserve"> </w:t>
      </w:r>
      <w:r>
        <w:rPr>
          <w:rFonts w:hint="eastAsia" w:ascii="宋体" w:hAnsi="宋体" w:eastAsia="宋体" w:cs="宋体"/>
          <w:i w:val="0"/>
          <w:iCs w:val="0"/>
          <w:caps w:val="0"/>
          <w:color w:val="auto"/>
          <w:spacing w:val="0"/>
          <w:sz w:val="24"/>
          <w:szCs w:val="24"/>
          <w:highlight w:val="none"/>
          <w:shd w:val="clear" w:fill="FFFFFF"/>
        </w:rPr>
        <w:t>验收交付标准和方法：</w:t>
      </w:r>
    </w:p>
    <w:p w14:paraId="2CEBD72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jc w:val="both"/>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i w:val="0"/>
          <w:iCs w:val="0"/>
          <w:caps w:val="0"/>
          <w:color w:val="auto"/>
          <w:spacing w:val="0"/>
          <w:sz w:val="24"/>
          <w:szCs w:val="24"/>
          <w:highlight w:val="none"/>
          <w:shd w:val="clear" w:fill="FFFFFF"/>
          <w:lang w:val="en-US" w:eastAsia="zh-CN"/>
        </w:rPr>
        <w:t>1、</w:t>
      </w:r>
      <w:r>
        <w:rPr>
          <w:rFonts w:hint="eastAsia" w:ascii="宋体" w:hAnsi="宋体" w:eastAsia="宋体" w:cs="宋体"/>
          <w:i w:val="0"/>
          <w:iCs w:val="0"/>
          <w:caps w:val="0"/>
          <w:color w:val="auto"/>
          <w:spacing w:val="0"/>
          <w:sz w:val="24"/>
          <w:szCs w:val="24"/>
          <w:highlight w:val="none"/>
          <w:shd w:val="clear" w:fill="FFFFFF"/>
        </w:rPr>
        <w:t>供应商提出验收申请之日起</w:t>
      </w:r>
      <w:r>
        <w:rPr>
          <w:rFonts w:hint="eastAsia" w:ascii="宋体" w:hAnsi="宋体" w:eastAsia="宋体" w:cs="宋体"/>
          <w:i w:val="0"/>
          <w:iCs w:val="0"/>
          <w:caps w:val="0"/>
          <w:color w:val="auto"/>
          <w:spacing w:val="0"/>
          <w:sz w:val="24"/>
          <w:szCs w:val="24"/>
          <w:highlight w:val="none"/>
          <w:shd w:val="clear" w:fill="FFFFFF"/>
          <w:lang w:val="en-US" w:eastAsia="zh-CN"/>
        </w:rPr>
        <w:t>30</w:t>
      </w:r>
      <w:r>
        <w:rPr>
          <w:rFonts w:hint="eastAsia" w:ascii="宋体" w:hAnsi="宋体" w:eastAsia="宋体" w:cs="宋体"/>
          <w:i w:val="0"/>
          <w:iCs w:val="0"/>
          <w:caps w:val="0"/>
          <w:color w:val="auto"/>
          <w:spacing w:val="0"/>
          <w:sz w:val="24"/>
          <w:szCs w:val="24"/>
          <w:highlight w:val="none"/>
          <w:shd w:val="clear" w:fill="FFFFFF"/>
        </w:rPr>
        <w:t>日内组织验收</w:t>
      </w:r>
      <w:r>
        <w:rPr>
          <w:rFonts w:hint="eastAsia" w:ascii="宋体" w:hAnsi="宋体" w:eastAsia="宋体" w:cs="宋体"/>
          <w:i w:val="0"/>
          <w:iCs w:val="0"/>
          <w:caps w:val="0"/>
          <w:color w:val="auto"/>
          <w:spacing w:val="0"/>
          <w:sz w:val="24"/>
          <w:szCs w:val="24"/>
          <w:highlight w:val="none"/>
          <w:shd w:val="clear" w:fill="FFFFFF"/>
          <w:lang w:eastAsia="zh-CN"/>
        </w:rPr>
        <w:t>。</w:t>
      </w:r>
    </w:p>
    <w:p w14:paraId="3139C5F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jc w:val="both"/>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lang w:val="en-US" w:eastAsia="zh-CN"/>
        </w:rPr>
        <w:t>2、</w:t>
      </w:r>
      <w:r>
        <w:rPr>
          <w:rFonts w:hint="eastAsia" w:ascii="宋体" w:hAnsi="宋体" w:eastAsia="宋体" w:cs="宋体"/>
          <w:i w:val="0"/>
          <w:iCs w:val="0"/>
          <w:caps w:val="0"/>
          <w:color w:val="auto"/>
          <w:spacing w:val="0"/>
          <w:sz w:val="24"/>
          <w:szCs w:val="24"/>
          <w:highlight w:val="none"/>
          <w:shd w:val="clear" w:fill="FFFFFF"/>
          <w:lang w:eastAsia="zh-CN"/>
        </w:rPr>
        <w:t>甲方</w:t>
      </w:r>
      <w:r>
        <w:rPr>
          <w:rFonts w:hint="eastAsia" w:ascii="宋体" w:hAnsi="宋体" w:eastAsia="宋体" w:cs="宋体"/>
          <w:i w:val="0"/>
          <w:iCs w:val="0"/>
          <w:caps w:val="0"/>
          <w:color w:val="auto"/>
          <w:spacing w:val="0"/>
          <w:sz w:val="24"/>
          <w:szCs w:val="24"/>
          <w:highlight w:val="none"/>
          <w:shd w:val="clear" w:fill="FFFFFF"/>
        </w:rPr>
        <w:t>对日常的服务质量进行监督考核。</w:t>
      </w:r>
    </w:p>
    <w:p w14:paraId="315B7EA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jc w:val="both"/>
        <w:rPr>
          <w:color w:val="auto"/>
          <w:highlight w:val="none"/>
        </w:rPr>
      </w:pPr>
      <w:r>
        <w:rPr>
          <w:rFonts w:hint="eastAsia" w:ascii="宋体" w:hAnsi="宋体"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rPr>
        <w:t>期末由维修方提供全年保修次数及备件更换情况的整体报告书，交由甲方统一对照保管。</w:t>
      </w:r>
    </w:p>
    <w:p w14:paraId="31212138">
      <w:pPr>
        <w:spacing w:after="0" w:line="360" w:lineRule="auto"/>
        <w:rPr>
          <w:rFonts w:hint="eastAsia" w:ascii="宋体" w:hAnsi="宋体" w:eastAsia="宋体" w:cs="宋体"/>
          <w:i w:val="0"/>
          <w:iCs w:val="0"/>
          <w:caps w:val="0"/>
          <w:color w:val="auto"/>
          <w:spacing w:val="0"/>
          <w:sz w:val="24"/>
          <w:szCs w:val="24"/>
          <w:highlight w:val="none"/>
          <w:shd w:val="clear" w:fill="FFFFFF"/>
        </w:rPr>
      </w:pPr>
      <w:r>
        <w:rPr>
          <w:rFonts w:hint="eastAsia" w:asciiTheme="minorEastAsia" w:hAnsiTheme="minorEastAsia" w:eastAsiaTheme="minorEastAsia"/>
          <w:color w:val="auto"/>
          <w:sz w:val="24"/>
          <w:szCs w:val="24"/>
          <w:highlight w:val="none"/>
        </w:rPr>
        <w:t>第</w:t>
      </w:r>
      <w:r>
        <w:rPr>
          <w:rFonts w:hint="eastAsia" w:asciiTheme="minorEastAsia" w:hAnsiTheme="minorEastAsia" w:eastAsiaTheme="minorEastAsia"/>
          <w:color w:val="auto"/>
          <w:sz w:val="24"/>
          <w:szCs w:val="24"/>
          <w:highlight w:val="none"/>
          <w:lang w:eastAsia="zh-CN"/>
        </w:rPr>
        <w:t>八</w:t>
      </w:r>
      <w:r>
        <w:rPr>
          <w:rFonts w:hint="eastAsia" w:asciiTheme="minorEastAsia" w:hAnsiTheme="minorEastAsia" w:eastAsiaTheme="minorEastAsia"/>
          <w:color w:val="auto"/>
          <w:sz w:val="24"/>
          <w:szCs w:val="24"/>
          <w:highlight w:val="none"/>
        </w:rPr>
        <w:t>条</w:t>
      </w:r>
      <w:r>
        <w:rPr>
          <w:rFonts w:asciiTheme="minorEastAsia" w:hAnsiTheme="minorEastAsia" w:eastAsiaTheme="minorEastAsia"/>
          <w:color w:val="auto"/>
          <w:sz w:val="24"/>
          <w:szCs w:val="24"/>
          <w:highlight w:val="none"/>
        </w:rPr>
        <w:t xml:space="preserve"> </w:t>
      </w:r>
      <w:r>
        <w:rPr>
          <w:rFonts w:hint="eastAsia" w:ascii="宋体" w:hAnsi="宋体" w:eastAsia="宋体" w:cs="宋体"/>
          <w:i w:val="0"/>
          <w:iCs w:val="0"/>
          <w:caps w:val="0"/>
          <w:color w:val="auto"/>
          <w:spacing w:val="0"/>
          <w:sz w:val="24"/>
          <w:szCs w:val="24"/>
          <w:highlight w:val="none"/>
          <w:shd w:val="clear" w:fill="FFFFFF"/>
        </w:rPr>
        <w:t>成本补偿和风险分担约定：</w:t>
      </w:r>
    </w:p>
    <w:p w14:paraId="716C8364">
      <w:pPr>
        <w:spacing w:after="0" w:line="360" w:lineRule="auto"/>
        <w:ind w:firstLine="480" w:firstLineChars="20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1、本合同所称不可抗力事件是指双方在订立合同时不能预见、对其发生和后果不能避免并不能克服的客观事件，如：战争、火灾、地震等。</w:t>
      </w:r>
    </w:p>
    <w:p w14:paraId="609121A7">
      <w:pPr>
        <w:spacing w:after="0" w:line="360" w:lineRule="auto"/>
        <w:ind w:firstLine="480" w:firstLineChars="200"/>
        <w:rPr>
          <w:rFonts w:hint="eastAsia" w:ascii="宋体" w:hAnsi="宋体" w:eastAsia="宋体" w:cs="宋体"/>
          <w:i w:val="0"/>
          <w:iCs w:val="0"/>
          <w:caps w:val="0"/>
          <w:color w:val="auto"/>
          <w:spacing w:val="0"/>
          <w:sz w:val="24"/>
          <w:szCs w:val="24"/>
          <w:highlight w:val="none"/>
          <w:shd w:val="clear" w:fill="FFFFFF"/>
        </w:rPr>
      </w:pPr>
      <w:r>
        <w:rPr>
          <w:rFonts w:hint="eastAsia" w:ascii="宋体" w:hAnsi="宋体" w:eastAsia="宋体" w:cs="宋体"/>
          <w:i w:val="0"/>
          <w:iCs w:val="0"/>
          <w:caps w:val="0"/>
          <w:color w:val="auto"/>
          <w:spacing w:val="0"/>
          <w:sz w:val="24"/>
          <w:szCs w:val="24"/>
          <w:highlight w:val="none"/>
          <w:shd w:val="clear" w:fill="FFFFFF"/>
        </w:rPr>
        <w:t xml:space="preserve">2、遭受不可抗力一方须在事故发生后立即书面告知另一方并在事故发生后 15 天内 将事故发生地相关机构出具的事故证明书邮寄另一方为证。如不可抗力事件持续（60） 天以上， 双方就继续履行合同还是终止履行合同另行协商。不可抗力发生后，各方应尽最大努力减少损失。 </w:t>
      </w:r>
    </w:p>
    <w:p w14:paraId="78DFAD56">
      <w:pPr>
        <w:spacing w:after="0" w:line="360" w:lineRule="auto"/>
        <w:ind w:firstLine="480" w:firstLineChars="200"/>
        <w:rPr>
          <w:rFonts w:asciiTheme="minorEastAsia" w:hAnsiTheme="minorEastAsia" w:eastAsiaTheme="minorEastAsia"/>
          <w:color w:val="auto"/>
          <w:sz w:val="24"/>
          <w:szCs w:val="24"/>
          <w:highlight w:val="none"/>
        </w:rPr>
      </w:pPr>
      <w:r>
        <w:rPr>
          <w:rFonts w:hint="eastAsia" w:ascii="宋体" w:hAnsi="宋体" w:eastAsia="宋体" w:cs="宋体"/>
          <w:i w:val="0"/>
          <w:iCs w:val="0"/>
          <w:caps w:val="0"/>
          <w:color w:val="auto"/>
          <w:spacing w:val="0"/>
          <w:sz w:val="24"/>
          <w:szCs w:val="24"/>
          <w:highlight w:val="none"/>
          <w:shd w:val="clear" w:fill="FFFFFF"/>
        </w:rPr>
        <w:t>3、合同任何一方因不可抗力事件不能履行合同的全部或部分义务时，根据不可抗 力的影响， 部分或全部免除责任。但因一方延迟履行合同后发生不可抗力的，责任不能免除。</w:t>
      </w:r>
    </w:p>
    <w:p w14:paraId="24B17B9C">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eastAsia="zh-CN"/>
        </w:rPr>
        <w:t>九</w:t>
      </w:r>
      <w:r>
        <w:rPr>
          <w:rFonts w:hint="eastAsia" w:asciiTheme="minorEastAsia" w:hAnsiTheme="minorEastAsia" w:eastAsiaTheme="minorEastAsia"/>
          <w:color w:val="auto"/>
          <w:sz w:val="24"/>
          <w:highlight w:val="none"/>
        </w:rPr>
        <w:t>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索赔</w:t>
      </w:r>
    </w:p>
    <w:p w14:paraId="7B74DF01">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、如有异议</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甲方有权根据有关政府部门的检验结果向乙方提出索赔。</w:t>
      </w:r>
    </w:p>
    <w:p w14:paraId="6160BB5A">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、在合同执行期间</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如果乙方对甲方提出的索赔和差异负有责任</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乙方应按照甲方同意的下列一种或多种方式解决索赔事宜</w:t>
      </w:r>
      <w:r>
        <w:rPr>
          <w:rFonts w:asciiTheme="minorEastAsia" w:hAnsiTheme="minorEastAsia" w:eastAsiaTheme="minorEastAsia"/>
          <w:color w:val="auto"/>
          <w:sz w:val="24"/>
          <w:szCs w:val="24"/>
          <w:highlight w:val="none"/>
        </w:rPr>
        <w:t>:</w:t>
      </w:r>
    </w:p>
    <w:p w14:paraId="432F000B">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(1)</w:t>
      </w:r>
      <w:r>
        <w:rPr>
          <w:rFonts w:hint="eastAsia" w:asciiTheme="minorEastAsia" w:hAnsiTheme="minorEastAsia" w:eastAsiaTheme="minorEastAsia"/>
          <w:color w:val="auto"/>
          <w:sz w:val="24"/>
          <w:szCs w:val="24"/>
          <w:highlight w:val="none"/>
        </w:rPr>
        <w:t>乙方同意退</w:t>
      </w:r>
      <w:r>
        <w:rPr>
          <w:rFonts w:hint="eastAsia" w:asciiTheme="minorEastAsia" w:hAnsiTheme="minorEastAsia" w:eastAsiaTheme="minorEastAsia"/>
          <w:color w:val="auto"/>
          <w:sz w:val="24"/>
          <w:szCs w:val="24"/>
          <w:highlight w:val="none"/>
          <w:lang w:eastAsia="zh-CN"/>
        </w:rPr>
        <w:t>款</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按合同规定的同种货币将货款退还给甲方</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并承担由此发生的一切损失和费用。</w:t>
      </w:r>
    </w:p>
    <w:p w14:paraId="2A0EC3F6">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(2)</w:t>
      </w:r>
      <w:r>
        <w:rPr>
          <w:rFonts w:hint="eastAsia" w:asciiTheme="minorEastAsia" w:hAnsiTheme="minorEastAsia" w:eastAsiaTheme="minorEastAsia"/>
          <w:color w:val="auto"/>
          <w:sz w:val="24"/>
          <w:szCs w:val="24"/>
          <w:highlight w:val="none"/>
        </w:rPr>
        <w:t>用符合规格、质量和性能要求的新零件、部件或货物来更换有缺陷的部分或修补缺陷的部分</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乙方应承担一切费用和风险并负担甲方所发生的一切直接费用。同时</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相应延长质量保证期。</w:t>
      </w:r>
    </w:p>
    <w:p w14:paraId="0E2C03D9">
      <w:pPr>
        <w:spacing w:after="0" w:line="360" w:lineRule="auto"/>
        <w:ind w:firstLine="480" w:firstLineChars="200"/>
        <w:jc w:val="both"/>
        <w:rPr>
          <w:rFonts w:asciiTheme="minorEastAsia" w:hAnsiTheme="minorEastAsia" w:eastAsiaTheme="minorEastAsia"/>
          <w:color w:val="auto"/>
          <w:sz w:val="24"/>
          <w:szCs w:val="24"/>
          <w:highlight w:val="none"/>
        </w:rPr>
      </w:pPr>
      <w:r>
        <w:rPr>
          <w:rFonts w:asciiTheme="minorEastAsia" w:hAnsiTheme="minorEastAsia" w:eastAsiaTheme="minorEastAsia"/>
          <w:color w:val="auto"/>
          <w:sz w:val="24"/>
          <w:szCs w:val="24"/>
          <w:highlight w:val="none"/>
        </w:rPr>
        <w:t>3</w:t>
      </w:r>
      <w:r>
        <w:rPr>
          <w:rFonts w:hint="eastAsia" w:asciiTheme="minorEastAsia" w:hAnsiTheme="minorEastAsia" w:eastAsiaTheme="minorEastAsia"/>
          <w:color w:val="auto"/>
          <w:sz w:val="24"/>
          <w:szCs w:val="24"/>
          <w:highlight w:val="none"/>
        </w:rPr>
        <w:t>、如果在甲方发出索赔通知后</w:t>
      </w:r>
      <w:r>
        <w:rPr>
          <w:rFonts w:asciiTheme="minorEastAsia" w:hAnsiTheme="minorEastAsia" w:eastAsiaTheme="minorEastAsia"/>
          <w:color w:val="auto"/>
          <w:sz w:val="24"/>
          <w:szCs w:val="24"/>
          <w:highlight w:val="none"/>
        </w:rPr>
        <w:t>30</w:t>
      </w:r>
      <w:r>
        <w:rPr>
          <w:rFonts w:hint="eastAsia" w:asciiTheme="minorEastAsia" w:hAnsiTheme="minorEastAsia" w:eastAsiaTheme="minorEastAsia"/>
          <w:color w:val="auto"/>
          <w:sz w:val="24"/>
          <w:szCs w:val="24"/>
          <w:highlight w:val="none"/>
        </w:rPr>
        <w:t>天内</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乙方未作书面答复</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上述索赔应视为已被乙方接受。甲方将从合同款项中扣回索赔金额。如果这些金额不足以补偿索赔金额</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甲方有权向乙方提出不足部分的补偿。</w:t>
      </w:r>
    </w:p>
    <w:p w14:paraId="04E3D115">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合同终止</w:t>
      </w:r>
      <w:bookmarkStart w:id="0" w:name="_GoBack"/>
      <w:bookmarkEnd w:id="0"/>
    </w:p>
    <w:p w14:paraId="47408D0B">
      <w:pPr>
        <w:spacing w:after="0" w:line="360" w:lineRule="auto"/>
        <w:ind w:firstLine="480" w:firstLineChars="200"/>
        <w:jc w:val="both"/>
        <w:rPr>
          <w:rFonts w:hint="default" w:eastAsiaTheme="minorEastAsia"/>
          <w:color w:val="auto"/>
          <w:highlight w:val="none"/>
          <w:lang w:val="en-US" w:eastAsia="zh-CN"/>
        </w:rPr>
      </w:pPr>
      <w:r>
        <w:rPr>
          <w:rFonts w:hint="eastAsia" w:asciiTheme="minorEastAsia" w:hAnsiTheme="minorEastAsia" w:eastAsiaTheme="minorEastAsia"/>
          <w:color w:val="auto"/>
          <w:sz w:val="24"/>
          <w:szCs w:val="24"/>
          <w:highlight w:val="none"/>
          <w:lang w:val="en-US" w:eastAsia="zh-CN"/>
        </w:rPr>
        <w:t>1.</w:t>
      </w:r>
      <w:r>
        <w:rPr>
          <w:rFonts w:hint="eastAsia" w:asciiTheme="minorEastAsia" w:hAnsiTheme="minorEastAsia" w:eastAsiaTheme="minorEastAsia"/>
          <w:color w:val="auto"/>
          <w:sz w:val="24"/>
          <w:szCs w:val="24"/>
          <w:highlight w:val="none"/>
        </w:rPr>
        <w:t>如果一方严重违反合同</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并在收到对方违约通知书后</w:t>
      </w:r>
      <w:r>
        <w:rPr>
          <w:rFonts w:asciiTheme="minorEastAsia" w:hAnsiTheme="minorEastAsia" w:eastAsiaTheme="minorEastAsia"/>
          <w:color w:val="auto"/>
          <w:sz w:val="24"/>
          <w:szCs w:val="24"/>
          <w:highlight w:val="none"/>
        </w:rPr>
        <w:t>30</w:t>
      </w:r>
      <w:r>
        <w:rPr>
          <w:rFonts w:hint="eastAsia" w:asciiTheme="minorEastAsia" w:hAnsiTheme="minorEastAsia" w:eastAsiaTheme="minorEastAsia"/>
          <w:color w:val="auto"/>
          <w:sz w:val="24"/>
          <w:szCs w:val="24"/>
          <w:highlight w:val="none"/>
        </w:rPr>
        <w:t>天内仍未能改正违约的，另一方可立即终止本合同。</w:t>
      </w:r>
    </w:p>
    <w:p w14:paraId="0239F3AC">
      <w:pPr>
        <w:spacing w:after="0" w:line="360" w:lineRule="auto"/>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第十一条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争议解决</w:t>
      </w:r>
    </w:p>
    <w:p w14:paraId="5865CF47">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凡因本合同的签订、履行、解除、终止引起的或与本合同有关的任何争议，双方应通过友好协商解决，</w:t>
      </w:r>
      <w:r>
        <w:rPr>
          <w:rFonts w:hint="eastAsia" w:asciiTheme="minorEastAsia" w:hAnsiTheme="minorEastAsia" w:eastAsiaTheme="minorEastAsia"/>
          <w:color w:val="auto"/>
          <w:sz w:val="24"/>
          <w:szCs w:val="24"/>
          <w:highlight w:val="none"/>
        </w:rPr>
        <w:t>协商不成时，向延安市宝塔区人民法院提起诉讼解决。诉讼期间</w:t>
      </w:r>
      <w:r>
        <w:rPr>
          <w:rFonts w:asciiTheme="minorEastAsia" w:hAnsiTheme="minorEastAsia" w:eastAsiaTheme="minorEastAsia"/>
          <w:color w:val="auto"/>
          <w:sz w:val="24"/>
          <w:szCs w:val="24"/>
          <w:highlight w:val="none"/>
        </w:rPr>
        <w:t>,</w:t>
      </w:r>
      <w:r>
        <w:rPr>
          <w:rFonts w:hint="eastAsia" w:asciiTheme="minorEastAsia" w:hAnsiTheme="minorEastAsia" w:eastAsiaTheme="minorEastAsia"/>
          <w:color w:val="auto"/>
          <w:sz w:val="24"/>
          <w:szCs w:val="24"/>
          <w:highlight w:val="none"/>
        </w:rPr>
        <w:t>双方应继续执行合同其余部分。</w:t>
      </w:r>
    </w:p>
    <w:p w14:paraId="43B6B0F2">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第十二条</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信息保密：</w:t>
      </w:r>
    </w:p>
    <w:p w14:paraId="76C0D5D9">
      <w:pPr>
        <w:spacing w:after="0" w:line="360" w:lineRule="auto"/>
        <w:ind w:firstLine="480" w:firstLineChars="200"/>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甲乙双方有义务对本合同的价格及详细内容进行保密；哪一方若违背此保密承诺，则应自行承担相应的责任并独自去面对厂家或总代理商的追责和诉讼，与另一方无关。</w:t>
      </w:r>
    </w:p>
    <w:p w14:paraId="0F27AF59">
      <w:pPr>
        <w:spacing w:after="0"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第十三条 其他</w:t>
      </w:r>
    </w:p>
    <w:p w14:paraId="1D5EA1B5">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1、本合同在执行期间如因国家有关政策、法律法规变动或其他原因确需变动时，双方应本着友好、坦诚、互谅、公平诚信的态度依法对相关条款做出必要的调整和补充。</w:t>
      </w:r>
    </w:p>
    <w:p w14:paraId="3810FDEE">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2、甲乙双方对合作过程中所知晓的对方商业秘密负有保密义务，未取得对方书面同意，不得以任何形式向其他人员或机构透露，该保密义务不因本协议的终止而取消。如因泄密而导致对方损失，泄密方应承担相应的赔偿责任。</w:t>
      </w:r>
    </w:p>
    <w:p w14:paraId="0B560434">
      <w:pPr>
        <w:spacing w:after="0" w:line="360" w:lineRule="auto"/>
        <w:ind w:firstLine="480" w:firstLineChars="200"/>
        <w:jc w:val="both"/>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3、本合同未尽事宜，由甲乙双方另行协商解决，并签订补充合同，补充合同与本合同书具有同等法律效力。</w:t>
      </w:r>
    </w:p>
    <w:p w14:paraId="764F3CF5">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4、本合同自双方盖章之日起生效。对本合同作出的任何修改和/或补充应为书面形式，并由双方盖章后生效。</w:t>
      </w:r>
    </w:p>
    <w:p w14:paraId="540A57D3">
      <w:pPr>
        <w:spacing w:after="0" w:line="360" w:lineRule="auto"/>
        <w:ind w:firstLine="480" w:firstLineChars="200"/>
        <w:jc w:val="both"/>
        <w:rPr>
          <w:rFonts w:cs="仿宋_GB2312" w:asciiTheme="minorEastAsia" w:hAnsiTheme="minorEastAsia" w:eastAsiaTheme="minorEastAsia"/>
          <w:bCs/>
          <w:color w:val="auto"/>
          <w:sz w:val="24"/>
          <w:szCs w:val="24"/>
          <w:highlight w:val="none"/>
        </w:rPr>
      </w:pPr>
      <w:r>
        <w:rPr>
          <w:rFonts w:hint="eastAsia" w:cs="仿宋_GB2312" w:asciiTheme="minorEastAsia" w:hAnsiTheme="minorEastAsia" w:eastAsiaTheme="minorEastAsia"/>
          <w:bCs/>
          <w:color w:val="auto"/>
          <w:sz w:val="24"/>
          <w:szCs w:val="24"/>
          <w:highlight w:val="none"/>
        </w:rPr>
        <w:t>5、本合同书正本一式伍份，甲方执肆份，乙方执壹份，具有同等法律效力。</w:t>
      </w:r>
      <w:r>
        <w:rPr>
          <w:rFonts w:hint="eastAsia" w:asciiTheme="minorEastAsia" w:hAnsiTheme="minorEastAsia" w:eastAsiaTheme="minorEastAsia"/>
          <w:color w:val="auto"/>
          <w:sz w:val="24"/>
          <w:szCs w:val="24"/>
          <w:highlight w:val="none"/>
        </w:rPr>
        <w:t>合同自签字、盖章之日起生效。</w:t>
      </w:r>
    </w:p>
    <w:p w14:paraId="558B43C5">
      <w:pPr>
        <w:spacing w:beforeLines="250" w:after="0" w:line="360" w:lineRule="auto"/>
        <w:ind w:left="6440" w:hanging="6440" w:hangingChars="2300"/>
        <w:jc w:val="both"/>
        <w:rPr>
          <w:rFonts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 xml:space="preserve">甲方（签章）：                </w:t>
      </w:r>
      <w:r>
        <w:rPr>
          <w:rFonts w:cs="宋体" w:asciiTheme="minorEastAsia" w:hAnsiTheme="minorEastAsia" w:eastAsiaTheme="minorEastAsia"/>
          <w:color w:val="auto"/>
          <w:sz w:val="28"/>
          <w:szCs w:val="28"/>
          <w:highlight w:val="none"/>
        </w:rPr>
        <w:t xml:space="preserve"> </w:t>
      </w:r>
      <w:r>
        <w:rPr>
          <w:rFonts w:hint="eastAsia" w:cs="宋体" w:asciiTheme="minorEastAsia" w:hAnsiTheme="minorEastAsia" w:eastAsiaTheme="minorEastAsia"/>
          <w:color w:val="auto"/>
          <w:sz w:val="28"/>
          <w:szCs w:val="28"/>
          <w:highlight w:val="none"/>
        </w:rPr>
        <w:t>乙方（签章）：</w:t>
      </w:r>
      <w:r>
        <w:rPr>
          <w:rFonts w:asciiTheme="minorEastAsia" w:hAnsiTheme="minorEastAsia" w:eastAsiaTheme="minorEastAsia"/>
          <w:color w:val="auto"/>
          <w:sz w:val="28"/>
          <w:szCs w:val="28"/>
          <w:highlight w:val="none"/>
        </w:rPr>
        <w:t xml:space="preserve"> </w:t>
      </w:r>
    </w:p>
    <w:p w14:paraId="4816713D">
      <w:pPr>
        <w:spacing w:beforeLines="250" w:after="0" w:line="360" w:lineRule="auto"/>
        <w:jc w:val="both"/>
        <w:rPr>
          <w:rFonts w:cs="宋体" w:asciiTheme="minorEastAsia" w:hAnsiTheme="minorEastAsia" w:eastAsiaTheme="minorEastAsia"/>
          <w:color w:val="auto"/>
          <w:sz w:val="28"/>
          <w:szCs w:val="28"/>
          <w:highlight w:val="none"/>
        </w:rPr>
      </w:pPr>
      <w:r>
        <w:rPr>
          <w:rFonts w:hint="eastAsia" w:cs="宋体" w:asciiTheme="minorEastAsia" w:hAnsiTheme="minorEastAsia" w:eastAsiaTheme="minorEastAsia"/>
          <w:color w:val="auto"/>
          <w:sz w:val="28"/>
          <w:szCs w:val="28"/>
          <w:highlight w:val="none"/>
        </w:rPr>
        <w:t>法定代表人：                   法定代表人或委托人：</w:t>
      </w:r>
    </w:p>
    <w:p w14:paraId="2CF83BA2">
      <w:pPr>
        <w:spacing w:beforeLines="250" w:after="0" w:line="360" w:lineRule="auto"/>
        <w:ind w:firstLine="561"/>
        <w:jc w:val="both"/>
        <w:rPr>
          <w:rFonts w:ascii="宋体" w:hAnsi="宋体" w:eastAsia="宋体" w:cs="宋体"/>
          <w:b/>
          <w:bCs/>
          <w:color w:val="auto"/>
          <w:sz w:val="24"/>
          <w:szCs w:val="24"/>
          <w:highlight w:val="none"/>
        </w:rPr>
      </w:pPr>
      <w:r>
        <w:rPr>
          <w:rFonts w:hint="eastAsia" w:cs="宋体" w:asciiTheme="minorEastAsia" w:hAnsiTheme="minorEastAsia" w:eastAsiaTheme="minorEastAsia"/>
          <w:color w:val="auto"/>
          <w:sz w:val="28"/>
          <w:szCs w:val="28"/>
          <w:highlight w:val="none"/>
        </w:rPr>
        <w:t xml:space="preserve">       年    月    日                   年     月     日</w:t>
      </w:r>
    </w:p>
    <w:sectPr>
      <w:pgSz w:w="11906" w:h="16838"/>
      <w:pgMar w:top="1020" w:right="1134" w:bottom="1020" w:left="1134"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altName w:val="宋体"/>
    <w:panose1 w:val="00000000000000000000"/>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noLineBreaksAfter w:lang="zh-CN" w:val="$([{£¥·‘“〈《「『【〔〖〝﹙﹛﹝＄（．［｛￡￥"/>
  <w:noLineBreaksBefore w:lang="zh-CN" w:val="!%),.:;&gt;?]}¢¨°·ˇˉ―‖’”…‰′″›℃∶、。〃〉》」』】〕〗〞︶︺︾﹀﹄﹚﹜﹞！＂％＇），．：；？］｀｜｝～￠"/>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M2I1NmZkNzA5MDcyOGE3ODVhOTc4N2Q2N2E5MDMifQ=="/>
  </w:docVars>
  <w:rsids>
    <w:rsidRoot w:val="00ED0AB5"/>
    <w:rsid w:val="00150AD5"/>
    <w:rsid w:val="0015124D"/>
    <w:rsid w:val="001E51E1"/>
    <w:rsid w:val="00351E84"/>
    <w:rsid w:val="003755D9"/>
    <w:rsid w:val="003B435E"/>
    <w:rsid w:val="00652430"/>
    <w:rsid w:val="00670502"/>
    <w:rsid w:val="00780153"/>
    <w:rsid w:val="00802F96"/>
    <w:rsid w:val="008F43CE"/>
    <w:rsid w:val="0095319E"/>
    <w:rsid w:val="00977F02"/>
    <w:rsid w:val="00AA2EF1"/>
    <w:rsid w:val="00C40568"/>
    <w:rsid w:val="00D00984"/>
    <w:rsid w:val="00D049E0"/>
    <w:rsid w:val="00ED0AB5"/>
    <w:rsid w:val="00F521F6"/>
    <w:rsid w:val="031A6BF7"/>
    <w:rsid w:val="045949E1"/>
    <w:rsid w:val="07935C2F"/>
    <w:rsid w:val="09DB64DB"/>
    <w:rsid w:val="0F5C1C1F"/>
    <w:rsid w:val="0F863546"/>
    <w:rsid w:val="1820473B"/>
    <w:rsid w:val="1B486183"/>
    <w:rsid w:val="20022EF8"/>
    <w:rsid w:val="20F6258E"/>
    <w:rsid w:val="312F2E82"/>
    <w:rsid w:val="33F86541"/>
    <w:rsid w:val="39AE1A35"/>
    <w:rsid w:val="3F4B27D5"/>
    <w:rsid w:val="3FC43815"/>
    <w:rsid w:val="408C7FFF"/>
    <w:rsid w:val="41344930"/>
    <w:rsid w:val="41800B63"/>
    <w:rsid w:val="4BAE1101"/>
    <w:rsid w:val="50610B72"/>
    <w:rsid w:val="5A9C23A8"/>
    <w:rsid w:val="5C8E6EF7"/>
    <w:rsid w:val="5D1458EA"/>
    <w:rsid w:val="5D227E4E"/>
    <w:rsid w:val="5D8939CF"/>
    <w:rsid w:val="5DA413D3"/>
    <w:rsid w:val="620052AF"/>
    <w:rsid w:val="69514F10"/>
    <w:rsid w:val="713C375B"/>
    <w:rsid w:val="7A856821"/>
    <w:rsid w:val="7FF1341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微软雅黑" w:cs="Times New Roman"/>
      <w:sz w:val="22"/>
      <w:szCs w:val="22"/>
      <w:lang w:val="en-US" w:eastAsia="zh-CN" w:bidi="ar-SA"/>
    </w:rPr>
  </w:style>
  <w:style w:type="paragraph" w:styleId="2">
    <w:name w:val="heading 2"/>
    <w:basedOn w:val="1"/>
    <w:next w:val="1"/>
    <w:link w:val="17"/>
    <w:autoRedefine/>
    <w:qFormat/>
    <w:locked/>
    <w:uiPriority w:val="0"/>
    <w:pPr>
      <w:keepNext/>
      <w:keepLines/>
      <w:widowControl w:val="0"/>
      <w:adjustRightInd/>
      <w:snapToGrid/>
      <w:spacing w:before="260" w:after="260" w:line="416" w:lineRule="auto"/>
      <w:jc w:val="both"/>
      <w:outlineLvl w:val="1"/>
    </w:pPr>
    <w:rPr>
      <w:rFonts w:ascii="Arial" w:hAnsi="Arial" w:eastAsia="黑体"/>
      <w:b/>
      <w:bCs/>
      <w:kern w:val="2"/>
      <w:sz w:val="32"/>
      <w:szCs w:val="32"/>
    </w:rPr>
  </w:style>
  <w:style w:type="character" w:default="1" w:styleId="13">
    <w:name w:val="Default Paragraph Font"/>
    <w:autoRedefine/>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style>
  <w:style w:type="paragraph" w:styleId="4">
    <w:name w:val="Body Text"/>
    <w:basedOn w:val="1"/>
    <w:next w:val="1"/>
    <w:link w:val="20"/>
    <w:autoRedefine/>
    <w:qFormat/>
    <w:uiPriority w:val="99"/>
    <w:pPr>
      <w:spacing w:after="120"/>
    </w:pPr>
  </w:style>
  <w:style w:type="paragraph" w:styleId="5">
    <w:name w:val="Body Text Indent"/>
    <w:basedOn w:val="1"/>
    <w:autoRedefine/>
    <w:unhideWhenUsed/>
    <w:qFormat/>
    <w:uiPriority w:val="99"/>
    <w:pPr>
      <w:spacing w:after="120"/>
      <w:ind w:left="420" w:leftChars="200"/>
    </w:pPr>
  </w:style>
  <w:style w:type="paragraph" w:styleId="6">
    <w:name w:val="Balloon Text"/>
    <w:basedOn w:val="1"/>
    <w:link w:val="14"/>
    <w:autoRedefine/>
    <w:semiHidden/>
    <w:qFormat/>
    <w:uiPriority w:val="99"/>
    <w:rPr>
      <w:sz w:val="18"/>
      <w:szCs w:val="18"/>
    </w:rPr>
  </w:style>
  <w:style w:type="paragraph" w:styleId="7">
    <w:name w:val="footer"/>
    <w:basedOn w:val="1"/>
    <w:link w:val="16"/>
    <w:autoRedefine/>
    <w:unhideWhenUsed/>
    <w:qFormat/>
    <w:uiPriority w:val="99"/>
    <w:pPr>
      <w:tabs>
        <w:tab w:val="center" w:pos="4153"/>
        <w:tab w:val="right" w:pos="8306"/>
      </w:tabs>
    </w:pPr>
    <w:rPr>
      <w:sz w:val="18"/>
      <w:szCs w:val="18"/>
    </w:rPr>
  </w:style>
  <w:style w:type="paragraph" w:styleId="8">
    <w:name w:val="header"/>
    <w:basedOn w:val="1"/>
    <w:link w:val="15"/>
    <w:autoRedefine/>
    <w:unhideWhenUsed/>
    <w:qFormat/>
    <w:uiPriority w:val="99"/>
    <w:pPr>
      <w:pBdr>
        <w:bottom w:val="single" w:color="auto" w:sz="6" w:space="1"/>
      </w:pBdr>
      <w:tabs>
        <w:tab w:val="center" w:pos="4153"/>
        <w:tab w:val="right" w:pos="8306"/>
      </w:tabs>
      <w:jc w:val="center"/>
    </w:pPr>
    <w:rPr>
      <w:sz w:val="18"/>
      <w:szCs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5"/>
    <w:next w:val="1"/>
    <w:autoRedefine/>
    <w:qFormat/>
    <w:uiPriority w:val="0"/>
    <w:pPr>
      <w:spacing w:after="0" w:line="400" w:lineRule="exact"/>
      <w:ind w:left="360" w:leftChars="0" w:firstLine="420" w:firstLineChars="200"/>
    </w:pPr>
    <w:rPr>
      <w:rFonts w:ascii="华文中宋" w:hAnsi="华文中宋" w:eastAsia="华文中宋"/>
      <w:color w:val="FF6600"/>
      <w:sz w:val="24"/>
    </w:rPr>
  </w:style>
  <w:style w:type="table" w:styleId="12">
    <w:name w:val="Table Grid"/>
    <w:basedOn w:val="11"/>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批注框文本 Char"/>
    <w:basedOn w:val="13"/>
    <w:link w:val="6"/>
    <w:autoRedefine/>
    <w:semiHidden/>
    <w:qFormat/>
    <w:uiPriority w:val="99"/>
    <w:rPr>
      <w:rFonts w:ascii="Tahoma" w:hAnsi="Tahoma"/>
      <w:kern w:val="0"/>
      <w:sz w:val="0"/>
      <w:szCs w:val="0"/>
    </w:rPr>
  </w:style>
  <w:style w:type="character" w:customStyle="1" w:styleId="15">
    <w:name w:val="页眉 Char"/>
    <w:basedOn w:val="13"/>
    <w:link w:val="8"/>
    <w:autoRedefine/>
    <w:qFormat/>
    <w:uiPriority w:val="99"/>
    <w:rPr>
      <w:rFonts w:ascii="Tahoma" w:hAnsi="Tahoma"/>
      <w:kern w:val="0"/>
      <w:sz w:val="18"/>
      <w:szCs w:val="18"/>
    </w:rPr>
  </w:style>
  <w:style w:type="character" w:customStyle="1" w:styleId="16">
    <w:name w:val="页脚 Char"/>
    <w:basedOn w:val="13"/>
    <w:link w:val="7"/>
    <w:autoRedefine/>
    <w:qFormat/>
    <w:uiPriority w:val="99"/>
    <w:rPr>
      <w:rFonts w:ascii="Tahoma" w:hAnsi="Tahoma"/>
      <w:kern w:val="0"/>
      <w:sz w:val="18"/>
      <w:szCs w:val="18"/>
    </w:rPr>
  </w:style>
  <w:style w:type="character" w:customStyle="1" w:styleId="17">
    <w:name w:val="标题 2 Char"/>
    <w:basedOn w:val="13"/>
    <w:link w:val="2"/>
    <w:autoRedefine/>
    <w:qFormat/>
    <w:uiPriority w:val="0"/>
    <w:rPr>
      <w:rFonts w:ascii="Arial" w:hAnsi="Arial" w:eastAsia="黑体"/>
      <w:b/>
      <w:bCs/>
      <w:kern w:val="2"/>
      <w:sz w:val="32"/>
      <w:szCs w:val="32"/>
    </w:rPr>
  </w:style>
  <w:style w:type="character" w:customStyle="1" w:styleId="18">
    <w:name w:val="font12"/>
    <w:autoRedefine/>
    <w:qFormat/>
    <w:uiPriority w:val="0"/>
    <w:rPr>
      <w:rFonts w:ascii="微软雅黑" w:hAnsi="微软雅黑" w:eastAsia="微软雅黑" w:cs="微软雅黑"/>
      <w:b/>
      <w:color w:val="000000"/>
      <w:sz w:val="40"/>
      <w:szCs w:val="40"/>
      <w:u w:val="none"/>
    </w:rPr>
  </w:style>
  <w:style w:type="paragraph" w:customStyle="1" w:styleId="19">
    <w:name w:val="列出段落1"/>
    <w:basedOn w:val="1"/>
    <w:autoRedefine/>
    <w:qFormat/>
    <w:uiPriority w:val="99"/>
    <w:pPr>
      <w:ind w:firstLine="420" w:firstLineChars="200"/>
    </w:pPr>
  </w:style>
  <w:style w:type="character" w:customStyle="1" w:styleId="20">
    <w:name w:val="正文文本 Char"/>
    <w:basedOn w:val="13"/>
    <w:link w:val="4"/>
    <w:autoRedefine/>
    <w:qFormat/>
    <w:uiPriority w:val="99"/>
    <w:rPr>
      <w:rFonts w:ascii="Tahoma" w:hAnsi="Tahoma"/>
      <w:sz w:val="22"/>
      <w:szCs w:val="22"/>
    </w:rPr>
  </w:style>
  <w:style w:type="paragraph" w:customStyle="1" w:styleId="21">
    <w:name w:val="列出段落2"/>
    <w:basedOn w:val="1"/>
    <w:autoRedefine/>
    <w:qFormat/>
    <w:uiPriority w:val="34"/>
    <w:pPr>
      <w:widowControl w:val="0"/>
      <w:adjustRightInd/>
      <w:snapToGrid/>
      <w:spacing w:after="0"/>
      <w:ind w:firstLine="420" w:firstLineChars="200"/>
      <w:jc w:val="both"/>
    </w:pPr>
    <w:rPr>
      <w:rFonts w:ascii="Times New Roman" w:hAnsi="Times New Roman" w:eastAsia="宋体"/>
      <w:kern w:val="2"/>
      <w:sz w:val="21"/>
      <w:szCs w:val="24"/>
    </w:rPr>
  </w:style>
  <w:style w:type="paragraph" w:customStyle="1" w:styleId="22">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列表段落1"/>
    <w:basedOn w:val="1"/>
    <w:autoRedefine/>
    <w:qFormat/>
    <w:uiPriority w:val="0"/>
    <w:pPr>
      <w:widowControl w:val="0"/>
      <w:adjustRightInd/>
      <w:snapToGrid/>
      <w:spacing w:after="0"/>
      <w:ind w:firstLine="420" w:firstLineChars="200"/>
      <w:jc w:val="both"/>
    </w:pPr>
    <w:rPr>
      <w:rFonts w:ascii="Times New Roman" w:hAnsi="Times New Roman" w:eastAsia="宋体"/>
      <w:kern w:val="2"/>
      <w:sz w:val="21"/>
      <w:szCs w:val="24"/>
    </w:rPr>
  </w:style>
  <w:style w:type="table" w:customStyle="1" w:styleId="24">
    <w:name w:val="TableGrid"/>
    <w:autoRedefine/>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customStyle="1" w:styleId="2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2833</Words>
  <Characters>2940</Characters>
  <Lines>19</Lines>
  <Paragraphs>5</Paragraphs>
  <TotalTime>1</TotalTime>
  <ScaleCrop>false</ScaleCrop>
  <LinksUpToDate>false</LinksUpToDate>
  <CharactersWithSpaces>3121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2023-07-20T02:41:00Z</dcterms:created>
  <dc:creator>新账户</dc:creator>
  <cp:lastModifiedBy>陕西宏扬项目管理有限公司主锁</cp:lastModifiedBy>
  <cp:lastPrinted>2022-02-22T16:50:00Z</cp:lastPrinted>
  <dcterms:modified xsi:type="dcterms:W3CDTF">2025-12-29T04:31:35Z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C5D719D1BA7E4377ADB208C90F52189B_13</vt:lpwstr>
  </property>
  <property fmtid="{D5CDD505-2E9C-101B-9397-08002B2CF9AE}" pid="4" name="KSOTemplateDocerSaveRecord">
    <vt:lpwstr>eyJoZGlkIjoiYWFmNjk2NDUwNTYyZjgzZTI4MzE1ZDhmOGVlZDAwYWEiLCJ1c2VySWQiOiIyOTY2Njk3MjAifQ==</vt:lpwstr>
  </property>
</Properties>
</file>