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版本号：【KRDL】K1-251230520260225001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64排CT机整机维保</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【KRDL】K1-2512305</w:t>
      </w:r>
      <w:r>
        <w:br/>
      </w:r>
      <w:r>
        <w:br/>
      </w:r>
      <w:r>
        <w:br/>
      </w:r>
    </w:p>
    <w:p>
      <w:pPr>
        <w:pStyle w:val="null3"/>
        <w:jc w:val="center"/>
        <w:outlineLvl w:val="5"/>
      </w:pPr>
      <w:r>
        <w:rPr>
          <w:rFonts w:ascii="仿宋_GB2312" w:hAnsi="仿宋_GB2312" w:cs="仿宋_GB2312" w:eastAsia="仿宋_GB2312"/>
          <w:sz w:val="15"/>
          <w:b/>
        </w:rPr>
        <w:t>西安医学院第一附属医院</w:t>
      </w:r>
    </w:p>
    <w:p>
      <w:pPr>
        <w:pStyle w:val="null3"/>
        <w:jc w:val="center"/>
        <w:outlineLvl w:val="5"/>
      </w:pPr>
      <w:r>
        <w:rPr>
          <w:rFonts w:ascii="仿宋_GB2312" w:hAnsi="仿宋_GB2312" w:cs="仿宋_GB2312" w:eastAsia="仿宋_GB2312"/>
          <w:sz w:val="15"/>
          <w:b/>
        </w:rPr>
        <w:t>开瑞项目管理有限公司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2026年03月03日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西安医学院第一附属医院</w:t>
      </w:r>
      <w:r>
        <w:rPr>
          <w:rFonts w:ascii="仿宋_GB2312" w:hAnsi="仿宋_GB2312" w:cs="仿宋_GB2312" w:eastAsia="仿宋_GB2312"/>
        </w:rPr>
        <w:t>委托，拟对</w:t>
      </w:r>
      <w:r>
        <w:rPr>
          <w:rFonts w:ascii="仿宋_GB2312" w:hAnsi="仿宋_GB2312" w:cs="仿宋_GB2312" w:eastAsia="仿宋_GB2312"/>
        </w:rPr>
        <w:t>64排CT机整机维保</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【KRDL】K1-2512305</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64排CT机整机维保</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本项目为64排128层CT维保期内的所有人工及整机所有备件，保修范围为CT的整机（包括球管、探测器、扫描架、扫描床、操作台、计算机系统等）。具体内容详见“第三章 采购项目技术、服务、商务及其他要求”。</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1、主体资格：供应商为向采购人提供服务的法人或其他组织；</w:t>
      </w:r>
    </w:p>
    <w:p>
      <w:pPr>
        <w:pStyle w:val="null3"/>
      </w:pPr>
      <w:r>
        <w:rPr>
          <w:rFonts w:ascii="仿宋_GB2312" w:hAnsi="仿宋_GB2312" w:cs="仿宋_GB2312" w:eastAsia="仿宋_GB2312"/>
        </w:rPr>
        <w:t>2、企业信用查询：供应商未被“信用中国”网站列入失信被执行人、重大税收违法失信主体名单，未被“中国政府采购网”网站列入政府采购严重违法失信行为记录名单；</w:t>
      </w:r>
    </w:p>
    <w:p>
      <w:pPr>
        <w:pStyle w:val="null3"/>
      </w:pPr>
      <w:r>
        <w:rPr>
          <w:rFonts w:ascii="仿宋_GB2312" w:hAnsi="仿宋_GB2312" w:cs="仿宋_GB2312" w:eastAsia="仿宋_GB2312"/>
        </w:rPr>
        <w:t>3、资质证书：供应商须提供医疗器械经营许可证；</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西安医学院第一附属医院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陕西省西安市莲湖区丰镐西路48号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辛老师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029-84277525</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张千禧、王昭、姚瑶、刘昆、张晨、代光艳、王森、靳祥德、成荔、彭明杨、王莉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029-89569197、15686066050</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采购包1：2,700,000.00元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采购包1：2,700,000.00元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代理服务费收费标准：参照国家计委颁发的《招标代理服务收费管理暂行办法》（计价格[2002]1980号）和国家发展改革委员会办公厅颁发的《关于招标代理服务收费有关问题的通知》（发改办价格[2003] 857号）的有关规定标准向采购代理机构一次付清代理服务费。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西安医学院第一附属医院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西安医学院第一附属医院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符合采购人与成交供应商签订的经济合同； 符合招标、投标文件的技术要求、商务要求； 符合产品原样本技术数据； 符合国家有关技术规范和标准； 所有安装、验收的手续费用由乙方自行办理和承担。</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本项目为64排128层CT维保期内的所有人工及整机所有备件，保修范围为CT的整机（包括球管、探测器、扫描架、扫描床、操作台、计算机系统等）。具体内容详见“第三章 采购项目技术、服务、商务及其他要求”。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2,700,000.00</w:t>
      </w:r>
    </w:p>
    <w:p>
      <w:pPr>
        <w:pStyle w:val="null3"/>
      </w:pPr>
      <w:r>
        <w:rPr>
          <w:rFonts w:ascii="仿宋_GB2312" w:hAnsi="仿宋_GB2312" w:cs="仿宋_GB2312" w:eastAsia="仿宋_GB2312"/>
        </w:rPr>
        <w:t>采购包最高限价（元）: 2,700,000.00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东软CT机整机维保</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2,700,000.00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标的名称：东软CT机整机维保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一、基本要求。</w:t>
            </w:r>
          </w:p>
          <w:p>
            <w:pPr>
              <w:pStyle w:val="null3"/>
              <w:jc w:val="both"/>
            </w:pPr>
            <w:r>
              <w:rPr>
                <w:rFonts w:ascii="仿宋_GB2312" w:hAnsi="仿宋_GB2312" w:cs="仿宋_GB2312" w:eastAsia="仿宋_GB2312"/>
                <w:sz w:val="24"/>
              </w:rPr>
              <w:t>1、64排128层CT维保期内的所有人工及整机所有备件，保修范围为CT的整机（包括球管</w:t>
            </w:r>
            <w:r>
              <w:rPr>
                <w:rFonts w:ascii="仿宋_GB2312" w:hAnsi="仿宋_GB2312" w:cs="仿宋_GB2312" w:eastAsia="仿宋_GB2312"/>
                <w:sz w:val="24"/>
              </w:rPr>
              <w:t>、探测器、</w:t>
            </w:r>
            <w:r>
              <w:rPr>
                <w:rFonts w:ascii="仿宋_GB2312" w:hAnsi="仿宋_GB2312" w:cs="仿宋_GB2312" w:eastAsia="仿宋_GB2312"/>
                <w:sz w:val="24"/>
              </w:rPr>
              <w:t>扫描架、扫描床、操作台、计算机系统</w:t>
            </w:r>
            <w:r>
              <w:rPr>
                <w:rFonts w:ascii="仿宋_GB2312" w:hAnsi="仿宋_GB2312" w:cs="仿宋_GB2312" w:eastAsia="仿宋_GB2312"/>
                <w:sz w:val="24"/>
              </w:rPr>
              <w:t>等</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2、维保服务年限：合同签订后3个年度。</w:t>
            </w:r>
          </w:p>
          <w:p>
            <w:pPr>
              <w:pStyle w:val="null3"/>
              <w:jc w:val="both"/>
            </w:pPr>
            <w:r>
              <w:rPr>
                <w:rFonts w:ascii="仿宋_GB2312" w:hAnsi="仿宋_GB2312" w:cs="仿宋_GB2312" w:eastAsia="仿宋_GB2312"/>
                <w:sz w:val="24"/>
              </w:rPr>
              <w:t>二、技术要求。</w:t>
            </w:r>
          </w:p>
          <w:p>
            <w:pPr>
              <w:pStyle w:val="null3"/>
              <w:jc w:val="both"/>
            </w:pPr>
            <w:r>
              <w:rPr>
                <w:rFonts w:ascii="仿宋_GB2312" w:hAnsi="仿宋_GB2312" w:cs="仿宋_GB2312" w:eastAsia="仿宋_GB2312"/>
                <w:sz w:val="24"/>
              </w:rPr>
              <w:t>1、供应商可提供全年365天7×24小时的800或400电话技术服务支持，且有在线专业远程支持工程师。电话响应时间</w:t>
            </w:r>
            <w:r>
              <w:rPr>
                <w:rFonts w:ascii="仿宋_GB2312" w:hAnsi="仿宋_GB2312" w:cs="仿宋_GB2312" w:eastAsia="仿宋_GB2312"/>
                <w:sz w:val="24"/>
              </w:rPr>
              <w:t>≤</w:t>
            </w:r>
            <w:r>
              <w:rPr>
                <w:rFonts w:ascii="仿宋_GB2312" w:hAnsi="仿宋_GB2312" w:cs="仿宋_GB2312" w:eastAsia="仿宋_GB2312"/>
                <w:sz w:val="24"/>
              </w:rPr>
              <w:t>1小时，</w:t>
            </w:r>
            <w:r>
              <w:rPr>
                <w:rFonts w:ascii="仿宋_GB2312" w:hAnsi="仿宋_GB2312" w:cs="仿宋_GB2312" w:eastAsia="仿宋_GB2312"/>
                <w:sz w:val="24"/>
              </w:rPr>
              <w:t>6</w:t>
            </w:r>
            <w:r>
              <w:rPr>
                <w:rFonts w:ascii="仿宋_GB2312" w:hAnsi="仿宋_GB2312" w:cs="仿宋_GB2312" w:eastAsia="仿宋_GB2312"/>
                <w:sz w:val="24"/>
              </w:rPr>
              <w:t>小时内到达现场。</w:t>
            </w:r>
          </w:p>
          <w:p>
            <w:pPr>
              <w:pStyle w:val="null3"/>
              <w:jc w:val="both"/>
            </w:pPr>
            <w:r>
              <w:rPr>
                <w:rFonts w:ascii="仿宋_GB2312" w:hAnsi="仿宋_GB2312" w:cs="仿宋_GB2312" w:eastAsia="仿宋_GB2312"/>
                <w:sz w:val="24"/>
              </w:rPr>
              <w:t>2、所更换的配件必须全新（包括球管）且保证供货渠道合法合规，球管需与整机注册证保持一致，提供设备整机注册证，并提供球管制造厂家授权和报关单等其他证明材料。</w:t>
            </w:r>
          </w:p>
          <w:p>
            <w:pPr>
              <w:pStyle w:val="null3"/>
              <w:jc w:val="both"/>
            </w:pPr>
            <w:r>
              <w:rPr>
                <w:rFonts w:ascii="仿宋_GB2312" w:hAnsi="仿宋_GB2312" w:cs="仿宋_GB2312" w:eastAsia="仿宋_GB2312"/>
                <w:sz w:val="24"/>
              </w:rPr>
              <w:t>4、服务期限内保养次数：≥4次/年，保证设备符合生产厂家标准或国家质量监督部门以及卫生监督部门的标准要求，供应商必须提供保养内容及保养标准详细清单。</w:t>
            </w:r>
          </w:p>
          <w:p>
            <w:pPr>
              <w:pStyle w:val="null3"/>
              <w:jc w:val="both"/>
            </w:pPr>
            <w:r>
              <w:rPr>
                <w:rFonts w:ascii="仿宋_GB2312" w:hAnsi="仿宋_GB2312" w:cs="仿宋_GB2312" w:eastAsia="仿宋_GB2312"/>
                <w:sz w:val="24"/>
              </w:rPr>
              <w:t>5、维护保养内容包括但不限于设备的安全检查、影像质量检查、设备除尘保养、运行状态检查等。</w:t>
            </w:r>
          </w:p>
          <w:p>
            <w:pPr>
              <w:pStyle w:val="null3"/>
              <w:jc w:val="both"/>
            </w:pPr>
            <w:r>
              <w:rPr>
                <w:rFonts w:ascii="仿宋_GB2312" w:hAnsi="仿宋_GB2312" w:cs="仿宋_GB2312" w:eastAsia="仿宋_GB2312"/>
                <w:sz w:val="24"/>
              </w:rPr>
              <w:t>6、可提供远程全天24小时不间断监测设备运行状况服务，提前预警，同时为了保证病人影像资料安全，要求提供信息系统安全等级保护备案证明。</w:t>
            </w:r>
          </w:p>
          <w:p>
            <w:pPr>
              <w:pStyle w:val="null3"/>
              <w:jc w:val="both"/>
            </w:pPr>
            <w:r>
              <w:rPr>
                <w:rFonts w:ascii="仿宋_GB2312" w:hAnsi="仿宋_GB2312" w:cs="仿宋_GB2312" w:eastAsia="仿宋_GB2312"/>
                <w:sz w:val="24"/>
              </w:rPr>
              <w:t>7、提供全年维修、保养电子和纸质版工作记录单 。</w:t>
            </w:r>
          </w:p>
          <w:p>
            <w:pPr>
              <w:pStyle w:val="null3"/>
              <w:jc w:val="both"/>
            </w:pPr>
            <w:r>
              <w:rPr>
                <w:rFonts w:ascii="仿宋_GB2312" w:hAnsi="仿宋_GB2312" w:cs="仿宋_GB2312" w:eastAsia="仿宋_GB2312"/>
                <w:sz w:val="24"/>
              </w:rPr>
              <w:t>8、供应商在省内有不少于五名的常驻售后工程师，并且售后工程师均具有CT设备厂家经考核合格的、在有效期的原厂服务资质认证，并提供上述工程师的社保证明材料（六个月以上）。</w:t>
            </w:r>
          </w:p>
          <w:p>
            <w:pPr>
              <w:pStyle w:val="null3"/>
              <w:jc w:val="both"/>
            </w:pPr>
            <w:r>
              <w:rPr>
                <w:rFonts w:ascii="仿宋_GB2312" w:hAnsi="仿宋_GB2312" w:cs="仿宋_GB2312" w:eastAsia="仿宋_GB2312"/>
                <w:sz w:val="24"/>
              </w:rPr>
              <w:t>9、为了保证机器使用效果，为临床提供更完善的服务，供应商须提供临床培训支持，应对甲方指定的两位工作人员进行培训，培训达到熟练掌握产品性能，操作管理及维护。必要时可到达甲方场地进行临床培训，供应商需提供临床培训人员的执业医师资格证和在职证明。</w:t>
            </w:r>
          </w:p>
          <w:p>
            <w:pPr>
              <w:pStyle w:val="null3"/>
              <w:jc w:val="both"/>
            </w:pPr>
            <w:r>
              <w:rPr>
                <w:rFonts w:ascii="仿宋_GB2312" w:hAnsi="仿宋_GB2312" w:cs="仿宋_GB2312" w:eastAsia="仿宋_GB2312"/>
                <w:sz w:val="24"/>
              </w:rPr>
              <w:t>10、投标方需要保证合同期内保证开机率：保证保修</w:t>
            </w:r>
            <w:r>
              <w:rPr>
                <w:rFonts w:ascii="仿宋_GB2312" w:hAnsi="仿宋_GB2312" w:cs="仿宋_GB2312" w:eastAsia="仿宋_GB2312"/>
                <w:sz w:val="24"/>
              </w:rPr>
              <w:t>期内开机率达：</w:t>
            </w:r>
            <w:r>
              <w:rPr>
                <w:rFonts w:ascii="仿宋_GB2312" w:hAnsi="仿宋_GB2312" w:cs="仿宋_GB2312" w:eastAsia="仿宋_GB2312"/>
                <w:sz w:val="24"/>
              </w:rPr>
              <w:t>9</w:t>
            </w:r>
            <w:r>
              <w:rPr>
                <w:rFonts w:ascii="仿宋_GB2312" w:hAnsi="仿宋_GB2312" w:cs="仿宋_GB2312" w:eastAsia="仿宋_GB2312"/>
                <w:sz w:val="24"/>
              </w:rPr>
              <w:t>6</w:t>
            </w:r>
            <w:r>
              <w:rPr>
                <w:rFonts w:ascii="仿宋_GB2312" w:hAnsi="仿宋_GB2312" w:cs="仿宋_GB2312" w:eastAsia="仿宋_GB2312"/>
                <w:sz w:val="24"/>
              </w:rPr>
              <w:t>%；若达不到此天数，乙方以不足天数的</w:t>
            </w:r>
            <w:r>
              <w:rPr>
                <w:rFonts w:ascii="仿宋_GB2312" w:hAnsi="仿宋_GB2312" w:cs="仿宋_GB2312" w:eastAsia="仿宋_GB2312"/>
                <w:sz w:val="24"/>
              </w:rPr>
              <w:t>三</w:t>
            </w:r>
            <w:r>
              <w:rPr>
                <w:rFonts w:ascii="仿宋_GB2312" w:hAnsi="仿宋_GB2312" w:cs="仿宋_GB2312" w:eastAsia="仿宋_GB2312"/>
                <w:sz w:val="24"/>
              </w:rPr>
              <w:t>倍免费延长保修时间。如连续停机时间超过</w:t>
            </w:r>
            <w:r>
              <w:rPr>
                <w:rFonts w:ascii="仿宋_GB2312" w:hAnsi="仿宋_GB2312" w:cs="仿宋_GB2312" w:eastAsia="仿宋_GB2312"/>
                <w:sz w:val="24"/>
              </w:rPr>
              <w:t>7日或者每年停机累及超过25日，甲方有权终止本维保服务协议，由此导致的一切损失由乙方承担，同时因停机所导致的甲方直接和间接损失，乙方须承担赔偿责任。</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到达现场时间：</w:t>
            </w: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小时。</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、平均设备修复时间：</w:t>
            </w:r>
            <w:r>
              <w:rPr>
                <w:rFonts w:ascii="仿宋_GB2312" w:hAnsi="仿宋_GB2312" w:cs="仿宋_GB2312" w:eastAsia="仿宋_GB2312"/>
                <w:sz w:val="24"/>
              </w:rPr>
              <w:t>≤</w:t>
            </w:r>
            <w:r>
              <w:rPr>
                <w:rFonts w:ascii="仿宋_GB2312" w:hAnsi="仿宋_GB2312" w:cs="仿宋_GB2312" w:eastAsia="仿宋_GB2312"/>
                <w:sz w:val="24"/>
              </w:rPr>
              <w:t>48</w:t>
            </w:r>
            <w:r>
              <w:rPr>
                <w:rFonts w:ascii="仿宋_GB2312" w:hAnsi="仿宋_GB2312" w:cs="仿宋_GB2312" w:eastAsia="仿宋_GB2312"/>
                <w:sz w:val="24"/>
              </w:rPr>
              <w:t>小时修复</w:t>
            </w:r>
            <w:r>
              <w:rPr>
                <w:rFonts w:ascii="仿宋_GB2312" w:hAnsi="仿宋_GB2312" w:cs="仿宋_GB2312" w:eastAsia="仿宋_GB2312"/>
                <w:sz w:val="24"/>
              </w:rPr>
              <w:t>。</w:t>
            </w:r>
            <w:r>
              <w:rPr>
                <w:rFonts w:ascii="仿宋_GB2312" w:hAnsi="仿宋_GB2312" w:cs="仿宋_GB2312" w:eastAsia="仿宋_GB2312"/>
                <w:sz w:val="24"/>
              </w:rPr>
              <w:t xml:space="preserve">  </w:t>
            </w:r>
          </w:p>
          <w:p>
            <w:pPr>
              <w:pStyle w:val="null3"/>
              <w:jc w:val="both"/>
            </w:pPr>
            <w:r>
              <w:rPr>
                <w:rFonts w:ascii="仿宋_GB2312" w:hAnsi="仿宋_GB2312" w:cs="仿宋_GB2312" w:eastAsia="仿宋_GB2312"/>
                <w:sz w:val="24"/>
              </w:rPr>
              <w:t>13、供应商须具有合法进入并合法使用设备全部软件系统的能力，拥有使用系统软件进行精准测试、精准调试设备的权限，提供设备软件系统版权登记人的授权书。</w:t>
            </w:r>
          </w:p>
          <w:p>
            <w:pPr>
              <w:pStyle w:val="null3"/>
            </w:pPr>
            <w:r>
              <w:rPr>
                <w:rFonts w:ascii="仿宋_GB2312" w:hAnsi="仿宋_GB2312" w:cs="仿宋_GB2312" w:eastAsia="仿宋_GB2312"/>
                <w:sz w:val="24"/>
              </w:rPr>
              <w:t>14、供应商须具备保证设备维修及时性的能力，并对急用性要求高的备件如球管、探测器、高压发生器等备件具有一定的即时供应能力，须在中国大陆准备同型号设备备件的库存，以保证提供及时准确的原厂认证合格备件供应。在西安当地有备件库，储备有常规备件。如需更换配件，常规备件12小时内到达现场，特殊备件48小时内到达现场。</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提供满足本项目服务需求的人员配置。</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提供满足本项目服务需求的设施设备。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合同签订后3个年度,服务合同一年一签，采购人对成交供应商服务满意后，采购人可选择与成交供应商续签，总服务期不超过三年。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合同签订完成后，服务半年后开始支付费用，每六个月支付合同总价的六分之一，以此类推直至合同服务期完成</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成交供应商按采购人要求完成服务内容并达到采购人相关要求，质量按本单一来源采购文件的服务内容验收。</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按照国家标准、单一来源采购文件、响应文件和合同要求执行。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1.本项目预算金额为三年预算，服务合同一年一签，采购人对成交供应商服务满意后，采购人可选择与成交供应商续签，总服务期不超过三年。供应商响应报价不得超过最高限价，否则按无效响应处理。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会计师事务所出具的完整的2024年度审计报告（成立时间至提交投标文件截止时间不足一年的可提供成立后任意时段的资产负债表），或投标文件截止时间前近三个月以来银行出具的资信证明，或信用担保机构出具的投标担保函（以上三种形式的资料提供任何一种即可）；其他组织和自然人提供银行出具的资信证明或财务报表或提供承诺函，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供应商为向采购人提供服务的法人或其他组织；</w:t>
            </w:r>
          </w:p>
        </w:tc>
        <w:tc>
          <w:tcPr>
            <w:tcW w:type="dxa" w:w="1661"/>
          </w:tcPr>
          <w:p>
            <w:pPr>
              <w:pStyle w:val="null3"/>
            </w:pPr>
            <w:r>
              <w:rPr>
                <w:rFonts w:ascii="仿宋_GB2312" w:hAnsi="仿宋_GB2312" w:cs="仿宋_GB2312" w:eastAsia="仿宋_GB2312"/>
              </w:rPr>
              <w:t>供应商应提交的相关资格证明文件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供应商未被“信用中国”网站列入失信被执行人、重大税收违法失信主体名单，未被“中国政府采购网”网站列入政府采购严重违法失信行为记录名单；</w:t>
            </w:r>
          </w:p>
        </w:tc>
        <w:tc>
          <w:tcPr>
            <w:tcW w:type="dxa" w:w="1661"/>
          </w:tcPr>
          <w:p>
            <w:pPr>
              <w:pStyle w:val="null3"/>
            </w:pPr>
            <w:r>
              <w:rPr>
                <w:rFonts w:ascii="仿宋_GB2312" w:hAnsi="仿宋_GB2312" w:cs="仿宋_GB2312" w:eastAsia="仿宋_GB2312"/>
              </w:rPr>
              <w:t>供应商应提交的相关资格证明文件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供应商须提供医疗器械经营许可证；</w:t>
            </w:r>
          </w:p>
        </w:tc>
        <w:tc>
          <w:tcPr>
            <w:tcW w:type="dxa" w:w="1661"/>
          </w:tcPr>
          <w:p>
            <w:pPr>
              <w:pStyle w:val="null3"/>
            </w:pPr>
            <w:r>
              <w:rPr>
                <w:rFonts w:ascii="仿宋_GB2312" w:hAnsi="仿宋_GB2312" w:cs="仿宋_GB2312" w:eastAsia="仿宋_GB2312"/>
              </w:rPr>
              <w:t>供应商应提交的相关资格证明文件</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①《关于在政府采购活动中查询及使用信用记录有关问题的通知》（财库〔2016〕125号）； ②《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③国务院办公厅《关于建立政府强制采购节能产品制度的通知》（国办发〔2007〕51号）、财政部、国家发改委、生态环境部、市监局联合印发《关于调整优化节能产品、环境标志产品政府采购执行机制的通知》（财库〔2019〕9号）； ④《陕西省财政厅关于加快推进我省中小企业政府采购信用融资工作的通知》（陕财办采〔2020〕15号）、陕西省财政厅关于印发《陕西省中小企业政府采购信用融资办法》（陕财办采〔2018〕23号）； ⑤其他需要落实的政府采购政策；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是否面向中小企业采购</w:t>
            </w:r>
          </w:p>
        </w:tc>
        <w:tc>
          <w:tcPr>
            <w:tcW w:type="dxa" w:w="3322"/>
          </w:tcPr>
          <w:p>
            <w:pPr>
              <w:pStyle w:val="null3"/>
            </w:pPr>
            <w:r>
              <w:rPr>
                <w:rFonts w:ascii="仿宋_GB2312" w:hAnsi="仿宋_GB2312" w:cs="仿宋_GB2312" w:eastAsia="仿宋_GB2312"/>
              </w:rPr>
              <w:t>本项目不专门面向中小企业采购。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供应商完全响应本项目采购文件实质性条款；</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 分项报价清单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不存在采购文件或法律法规规定的无效情形；</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供应商的响应报价是否超过采购预算或单一来源采购文件中列明的最高限价</w:t>
            </w:r>
          </w:p>
        </w:tc>
        <w:tc>
          <w:tcPr>
            <w:tcW w:type="dxa" w:w="3322"/>
          </w:tcPr>
          <w:p>
            <w:pPr>
              <w:pStyle w:val="null3"/>
            </w:pPr>
            <w:r>
              <w:rPr>
                <w:rFonts w:ascii="仿宋_GB2312" w:hAnsi="仿宋_GB2312" w:cs="仿宋_GB2312" w:eastAsia="仿宋_GB2312"/>
              </w:rPr>
              <w:t>供应商的响应报价未超过采购预算或单一来源采购文件中列明的最高限价；</w:t>
            </w:r>
          </w:p>
        </w:tc>
        <w:tc>
          <w:tcPr>
            <w:tcW w:type="dxa" w:w="1661"/>
          </w:tcPr>
          <w:p>
            <w:pPr>
              <w:pStyle w:val="null3"/>
            </w:pPr>
            <w:r>
              <w:rPr>
                <w:rFonts w:ascii="仿宋_GB2312" w:hAnsi="仿宋_GB2312" w:cs="仿宋_GB2312" w:eastAsia="仿宋_GB2312"/>
              </w:rPr>
              <w:t>商务应答表 标的清单 报价表 分项报价清单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供应商针对本项目提供服务方案</w:t>
            </w:r>
          </w:p>
        </w:tc>
        <w:tc>
          <w:tcPr>
            <w:tcW w:type="dxa" w:w="3322"/>
          </w:tcPr>
          <w:p>
            <w:pPr>
              <w:pStyle w:val="null3"/>
            </w:pPr>
            <w:r>
              <w:rPr>
                <w:rFonts w:ascii="仿宋_GB2312" w:hAnsi="仿宋_GB2312" w:cs="仿宋_GB2312" w:eastAsia="仿宋_GB2312"/>
              </w:rPr>
              <w:t>供应商提供针对本项目提供服务方案</w:t>
            </w:r>
          </w:p>
        </w:tc>
        <w:tc>
          <w:tcPr>
            <w:tcW w:type="dxa" w:w="1661"/>
          </w:tcPr>
          <w:p>
            <w:pPr>
              <w:pStyle w:val="null3"/>
            </w:pPr>
            <w:r>
              <w:rPr>
                <w:rFonts w:ascii="仿宋_GB2312" w:hAnsi="仿宋_GB2312" w:cs="仿宋_GB2312" w:eastAsia="仿宋_GB2312"/>
              </w:rPr>
              <w:t>服务内容及服务邀请应答表 实施方案</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法定代表人或合法授权代表证明：法定代表人参加开标会议的，应出具法定代表人证明书。法定代表人授权合法授权代表参加开标会议的，应出具法定代表人证明书、法定代表人授权书，同时提供截至响应文件递交截止时间前6个月内任意1个月的社保缴纳证明材料。</w:t>
            </w:r>
          </w:p>
        </w:tc>
        <w:tc>
          <w:tcPr>
            <w:tcW w:type="dxa" w:w="1661"/>
          </w:tcPr>
          <w:p>
            <w:pPr>
              <w:pStyle w:val="null3"/>
            </w:pPr>
            <w:r>
              <w:rPr>
                <w:rFonts w:ascii="仿宋_GB2312" w:hAnsi="仿宋_GB2312" w:cs="仿宋_GB2312" w:eastAsia="仿宋_GB2312"/>
              </w:rPr>
              <w:t>供应商应提交的相关资格证明文件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详见附件：分项报价清单</w:t>
      </w:r>
    </w:p>
    <w:p>
      <w:pPr>
        <w:pStyle w:val="null3"/>
        <w:ind w:firstLine="960"/>
      </w:pPr>
      <w:r>
        <w:rPr>
          <w:rFonts w:ascii="仿宋_GB2312" w:hAnsi="仿宋_GB2312" w:cs="仿宋_GB2312" w:eastAsia="仿宋_GB2312"/>
        </w:rPr>
        <w:t>详见附件：实施方案</w:t>
      </w:r>
    </w:p>
    <w:p>
      <w:pPr>
        <w:pStyle w:val="null3"/>
        <w:ind w:firstLine="960"/>
      </w:pPr>
      <w:r>
        <w:rPr>
          <w:rFonts w:ascii="仿宋_GB2312" w:hAnsi="仿宋_GB2312" w:cs="仿宋_GB2312" w:eastAsia="仿宋_GB2312"/>
        </w:rPr>
        <w:t>详见附件：供应商应提交的相关资格证明文件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