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6EA80">
      <w:pPr>
        <w:tabs>
          <w:tab w:val="left" w:pos="5670"/>
        </w:tabs>
        <w:autoSpaceDE w:val="0"/>
        <w:autoSpaceDN w:val="0"/>
        <w:adjustRightInd w:val="0"/>
        <w:spacing w:line="360" w:lineRule="auto"/>
        <w:jc w:val="center"/>
        <w:rPr>
          <w:rFonts w:hint="eastAsia" w:ascii="仿宋" w:hAnsi="仿宋" w:eastAsia="仿宋" w:cs="仿宋"/>
          <w:b/>
          <w:sz w:val="44"/>
          <w:szCs w:val="44"/>
        </w:rPr>
      </w:pPr>
    </w:p>
    <w:p w14:paraId="3FCF2B9C">
      <w:pPr>
        <w:tabs>
          <w:tab w:val="left" w:pos="5670"/>
        </w:tabs>
        <w:autoSpaceDE w:val="0"/>
        <w:autoSpaceDN w:val="0"/>
        <w:adjustRightInd w:val="0"/>
        <w:spacing w:line="360" w:lineRule="auto"/>
        <w:jc w:val="both"/>
        <w:rPr>
          <w:rFonts w:hint="default" w:ascii="仿宋" w:hAnsi="仿宋" w:eastAsia="仿宋" w:cs="仿宋"/>
          <w:b w:val="0"/>
          <w:bCs/>
          <w:sz w:val="44"/>
          <w:szCs w:val="44"/>
          <w:lang w:val="en-US" w:eastAsia="zh-CN"/>
        </w:rPr>
      </w:pPr>
      <w:r>
        <w:rPr>
          <w:rFonts w:hint="eastAsia" w:ascii="仿宋" w:hAnsi="仿宋" w:eastAsia="仿宋" w:cs="仿宋"/>
          <w:b w:val="0"/>
          <w:bCs/>
          <w:sz w:val="44"/>
          <w:szCs w:val="44"/>
          <w:lang w:val="en-US" w:eastAsia="zh-CN"/>
        </w:rPr>
        <w:t>（合同范本）</w:t>
      </w:r>
    </w:p>
    <w:p w14:paraId="09C8C3EF">
      <w:pPr>
        <w:tabs>
          <w:tab w:val="left" w:pos="5670"/>
        </w:tabs>
        <w:autoSpaceDE w:val="0"/>
        <w:autoSpaceDN w:val="0"/>
        <w:adjustRightInd w:val="0"/>
        <w:spacing w:line="360" w:lineRule="auto"/>
        <w:jc w:val="center"/>
        <w:rPr>
          <w:rFonts w:hint="eastAsia" w:ascii="仿宋" w:hAnsi="仿宋" w:eastAsia="仿宋" w:cs="仿宋"/>
          <w:b/>
          <w:sz w:val="44"/>
          <w:szCs w:val="44"/>
        </w:rPr>
      </w:pPr>
    </w:p>
    <w:p w14:paraId="76116D81">
      <w:pPr>
        <w:tabs>
          <w:tab w:val="left" w:pos="5670"/>
        </w:tabs>
        <w:autoSpaceDE w:val="0"/>
        <w:autoSpaceDN w:val="0"/>
        <w:adjustRightInd w:val="0"/>
        <w:spacing w:line="360" w:lineRule="auto"/>
        <w:jc w:val="center"/>
        <w:rPr>
          <w:rFonts w:hint="eastAsia" w:ascii="仿宋" w:hAnsi="仿宋" w:eastAsia="仿宋" w:cs="仿宋"/>
          <w:b/>
          <w:sz w:val="44"/>
          <w:szCs w:val="44"/>
        </w:rPr>
      </w:pPr>
      <w:r>
        <w:rPr>
          <w:rFonts w:hint="eastAsia" w:ascii="仿宋" w:hAnsi="仿宋" w:eastAsia="仿宋" w:cs="仿宋"/>
          <w:b/>
          <w:sz w:val="44"/>
          <w:szCs w:val="44"/>
        </w:rPr>
        <w:t>陕西省图书馆（陕西省古籍保护中心）</w:t>
      </w:r>
    </w:p>
    <w:p w14:paraId="15A2EB39">
      <w:pPr>
        <w:tabs>
          <w:tab w:val="left" w:pos="5670"/>
        </w:tabs>
        <w:autoSpaceDE w:val="0"/>
        <w:autoSpaceDN w:val="0"/>
        <w:adjustRightInd w:val="0"/>
        <w:spacing w:line="360" w:lineRule="auto"/>
        <w:jc w:val="center"/>
        <w:rPr>
          <w:b/>
          <w:sz w:val="44"/>
          <w:szCs w:val="44"/>
        </w:rPr>
      </w:pPr>
      <w:r>
        <w:rPr>
          <w:rFonts w:hint="eastAsia" w:ascii="仿宋" w:hAnsi="仿宋" w:eastAsia="仿宋" w:cs="仿宋"/>
          <w:b/>
          <w:sz w:val="44"/>
          <w:szCs w:val="44"/>
        </w:rPr>
        <w:t>202</w:t>
      </w:r>
      <w:r>
        <w:rPr>
          <w:rFonts w:hint="eastAsia" w:ascii="仿宋" w:hAnsi="仿宋" w:eastAsia="仿宋" w:cs="仿宋"/>
          <w:b/>
          <w:sz w:val="44"/>
          <w:szCs w:val="44"/>
          <w:lang w:val="en-US" w:eastAsia="zh-CN"/>
        </w:rPr>
        <w:t>6</w:t>
      </w:r>
      <w:r>
        <w:rPr>
          <w:rFonts w:hint="eastAsia" w:ascii="仿宋" w:hAnsi="仿宋" w:eastAsia="仿宋" w:cs="仿宋"/>
          <w:b/>
          <w:sz w:val="44"/>
          <w:szCs w:val="44"/>
        </w:rPr>
        <w:t>年度数字资源库项目合同</w:t>
      </w:r>
    </w:p>
    <w:p w14:paraId="262698D7">
      <w:pPr>
        <w:jc w:val="center"/>
        <w:rPr>
          <w:rFonts w:ascii="仿宋_GB2312" w:eastAsia="仿宋_GB2312"/>
          <w:b/>
          <w:sz w:val="36"/>
          <w:szCs w:val="36"/>
        </w:rPr>
      </w:pPr>
    </w:p>
    <w:p w14:paraId="31C22D40">
      <w:pPr>
        <w:jc w:val="center"/>
        <w:rPr>
          <w:rFonts w:ascii="仿宋_GB2312" w:eastAsia="仿宋_GB2312"/>
          <w:sz w:val="32"/>
        </w:rPr>
      </w:pPr>
    </w:p>
    <w:p w14:paraId="014EAC1F">
      <w:pPr>
        <w:rPr>
          <w:rFonts w:ascii="仿宋_GB2312" w:eastAsia="仿宋_GB2312"/>
        </w:rPr>
      </w:pPr>
    </w:p>
    <w:p w14:paraId="422DD9C2">
      <w:pPr>
        <w:rPr>
          <w:rFonts w:ascii="仿宋_GB2312" w:eastAsia="仿宋_GB2312"/>
        </w:rPr>
      </w:pPr>
    </w:p>
    <w:p w14:paraId="7407BFAA">
      <w:pPr>
        <w:rPr>
          <w:rFonts w:ascii="仿宋_GB2312" w:eastAsia="仿宋_GB2312"/>
        </w:rPr>
      </w:pPr>
    </w:p>
    <w:p w14:paraId="6850E068">
      <w:pPr>
        <w:rPr>
          <w:rFonts w:ascii="仿宋_GB2312" w:eastAsia="仿宋_GB2312"/>
        </w:rPr>
      </w:pPr>
    </w:p>
    <w:p w14:paraId="01BDD52B">
      <w:pPr>
        <w:rPr>
          <w:rFonts w:ascii="仿宋_GB2312" w:eastAsia="仿宋_GB2312"/>
        </w:rPr>
      </w:pPr>
    </w:p>
    <w:p w14:paraId="6AA78EDC">
      <w:pPr>
        <w:rPr>
          <w:rFonts w:ascii="仿宋_GB2312" w:eastAsia="仿宋_GB2312"/>
        </w:rPr>
      </w:pPr>
    </w:p>
    <w:p w14:paraId="39208FA0">
      <w:pPr>
        <w:rPr>
          <w:rFonts w:ascii="仿宋_GB2312" w:eastAsia="仿宋_GB2312"/>
        </w:rPr>
      </w:pPr>
    </w:p>
    <w:p w14:paraId="3132C7B7">
      <w:pPr>
        <w:rPr>
          <w:rFonts w:ascii="仿宋_GB2312" w:eastAsia="仿宋_GB2312"/>
        </w:rPr>
      </w:pPr>
    </w:p>
    <w:p w14:paraId="0424821D">
      <w:pPr>
        <w:spacing w:line="360" w:lineRule="auto"/>
        <w:rPr>
          <w:rFonts w:ascii="仿宋_GB2312" w:eastAsia="仿宋_GB2312"/>
          <w:b/>
          <w:sz w:val="32"/>
        </w:rPr>
      </w:pPr>
    </w:p>
    <w:p w14:paraId="07A042B8">
      <w:pPr>
        <w:spacing w:line="360" w:lineRule="auto"/>
        <w:rPr>
          <w:rFonts w:ascii="仿宋_GB2312" w:eastAsia="仿宋_GB2312"/>
          <w:b/>
          <w:sz w:val="32"/>
        </w:rPr>
      </w:pPr>
    </w:p>
    <w:p w14:paraId="6AAF2651">
      <w:pPr>
        <w:spacing w:line="360" w:lineRule="auto"/>
        <w:rPr>
          <w:rFonts w:ascii="仿宋_GB2312" w:eastAsia="仿宋_GB2312"/>
          <w:b/>
          <w:sz w:val="32"/>
        </w:rPr>
      </w:pPr>
    </w:p>
    <w:p w14:paraId="7AE19080">
      <w:pPr>
        <w:spacing w:line="360" w:lineRule="auto"/>
        <w:rPr>
          <w:rFonts w:ascii="仿宋_GB2312" w:eastAsia="仿宋_GB2312"/>
          <w:b/>
          <w:sz w:val="32"/>
        </w:rPr>
      </w:pPr>
    </w:p>
    <w:p w14:paraId="7A5C28BC">
      <w:pPr>
        <w:spacing w:line="360" w:lineRule="auto"/>
        <w:rPr>
          <w:rFonts w:ascii="仿宋_GB2312" w:eastAsia="仿宋_GB2312"/>
          <w:b/>
          <w:sz w:val="32"/>
        </w:rPr>
      </w:pPr>
    </w:p>
    <w:p w14:paraId="3C93A7E9">
      <w:pPr>
        <w:spacing w:line="360" w:lineRule="auto"/>
        <w:ind w:firstLine="1120" w:firstLineChars="400"/>
        <w:rPr>
          <w:rFonts w:ascii="仿宋_GB2312" w:eastAsia="仿宋_GB2312"/>
          <w:sz w:val="28"/>
          <w:szCs w:val="28"/>
        </w:rPr>
      </w:pPr>
      <w:r>
        <w:rPr>
          <w:rFonts w:hint="eastAsia" w:ascii="仿宋_GB2312" w:eastAsia="仿宋_GB2312"/>
          <w:sz w:val="28"/>
          <w:szCs w:val="28"/>
        </w:rPr>
        <w:t>甲  方：陕西省图书馆（陕西省古籍保护中心）</w:t>
      </w:r>
    </w:p>
    <w:p w14:paraId="079D79FA">
      <w:pPr>
        <w:spacing w:line="360" w:lineRule="auto"/>
        <w:ind w:firstLine="1120" w:firstLineChars="400"/>
        <w:rPr>
          <w:rFonts w:ascii="仿宋_GB2312" w:eastAsia="仿宋_GB2312"/>
          <w:sz w:val="28"/>
          <w:szCs w:val="28"/>
        </w:rPr>
      </w:pPr>
      <w:r>
        <w:rPr>
          <w:rFonts w:hint="eastAsia" w:ascii="仿宋_GB2312" w:eastAsia="仿宋_GB2312"/>
          <w:sz w:val="28"/>
          <w:szCs w:val="28"/>
        </w:rPr>
        <w:t>乙  方：</w:t>
      </w:r>
    </w:p>
    <w:p w14:paraId="3F5D279D">
      <w:pPr>
        <w:spacing w:line="480" w:lineRule="exact"/>
        <w:ind w:firstLine="560" w:firstLineChars="200"/>
        <w:rPr>
          <w:rFonts w:ascii="仿宋_GB2312" w:eastAsia="仿宋_GB2312"/>
          <w:sz w:val="28"/>
          <w:szCs w:val="28"/>
        </w:rPr>
      </w:pPr>
      <w:r>
        <w:rPr>
          <w:rFonts w:hint="eastAsia" w:ascii="仿宋_GB2312" w:eastAsia="仿宋_GB2312"/>
          <w:sz w:val="28"/>
          <w:szCs w:val="28"/>
        </w:rPr>
        <w:t xml:space="preserve">    签订日期：</w:t>
      </w:r>
      <w:r>
        <w:rPr>
          <w:rFonts w:hint="eastAsia" w:ascii="仿宋_GB2312" w:eastAsia="仿宋_GB2312"/>
          <w:sz w:val="28"/>
          <w:szCs w:val="28"/>
          <w:lang w:val="en-US" w:eastAsia="zh-CN"/>
        </w:rPr>
        <w:t xml:space="preserve">    </w:t>
      </w:r>
      <w:r>
        <w:rPr>
          <w:rFonts w:hint="eastAsia" w:ascii="仿宋_GB2312" w:eastAsia="仿宋_GB2312"/>
          <w:sz w:val="28"/>
          <w:szCs w:val="28"/>
        </w:rPr>
        <w:t>年</w:t>
      </w:r>
      <w:r>
        <w:rPr>
          <w:rFonts w:hint="eastAsia" w:ascii="仿宋_GB2312" w:eastAsia="仿宋_GB2312"/>
          <w:sz w:val="28"/>
          <w:szCs w:val="28"/>
          <w:lang w:val="en-US" w:eastAsia="zh-CN"/>
        </w:rPr>
        <w:t xml:space="preserve">    </w:t>
      </w:r>
      <w:r>
        <w:rPr>
          <w:rFonts w:hint="eastAsia" w:ascii="仿宋_GB2312" w:eastAsia="仿宋_GB2312"/>
          <w:sz w:val="28"/>
          <w:szCs w:val="28"/>
        </w:rPr>
        <w:t>月</w:t>
      </w:r>
    </w:p>
    <w:p w14:paraId="73C589EC">
      <w:pPr>
        <w:spacing w:line="480" w:lineRule="exact"/>
        <w:ind w:firstLine="560" w:firstLineChars="200"/>
        <w:rPr>
          <w:rFonts w:ascii="仿宋_GB2312" w:eastAsia="仿宋_GB2312"/>
          <w:sz w:val="28"/>
          <w:szCs w:val="28"/>
        </w:rPr>
      </w:pPr>
    </w:p>
    <w:p w14:paraId="7C492568"/>
    <w:p w14:paraId="1D2CFE98">
      <w:pPr>
        <w:spacing w:line="360" w:lineRule="auto"/>
        <w:ind w:firstLine="562" w:firstLineChars="200"/>
        <w:rPr>
          <w:rFonts w:hint="eastAsia" w:ascii="仿宋" w:hAnsi="仿宋" w:eastAsia="仿宋" w:cs="仿宋"/>
          <w:sz w:val="28"/>
          <w:szCs w:val="28"/>
        </w:rPr>
      </w:pPr>
      <w:r>
        <w:rPr>
          <w:rFonts w:hint="eastAsia" w:ascii="仿宋" w:hAnsi="仿宋" w:eastAsia="仿宋" w:cs="仿宋"/>
          <w:b/>
          <w:sz w:val="28"/>
          <w:szCs w:val="28"/>
        </w:rPr>
        <w:t>甲方:</w:t>
      </w:r>
      <w:r>
        <w:rPr>
          <w:rFonts w:hint="eastAsia" w:ascii="仿宋" w:hAnsi="仿宋" w:eastAsia="仿宋" w:cs="仿宋"/>
          <w:sz w:val="28"/>
          <w:szCs w:val="28"/>
        </w:rPr>
        <w:t>陕西省图书馆（陕西省古籍保护中心）</w:t>
      </w:r>
    </w:p>
    <w:p w14:paraId="622FD1C7">
      <w:pPr>
        <w:spacing w:line="360" w:lineRule="auto"/>
        <w:rPr>
          <w:rFonts w:hint="eastAsia" w:ascii="仿宋" w:hAnsi="仿宋" w:eastAsia="仿宋" w:cs="仿宋"/>
          <w:sz w:val="28"/>
          <w:szCs w:val="28"/>
        </w:rPr>
      </w:pPr>
      <w:r>
        <w:rPr>
          <w:rFonts w:hint="eastAsia" w:ascii="仿宋" w:hAnsi="仿宋" w:eastAsia="仿宋" w:cs="仿宋"/>
          <w:b/>
          <w:sz w:val="28"/>
          <w:szCs w:val="28"/>
        </w:rPr>
        <w:t xml:space="preserve">    乙方:</w:t>
      </w:r>
    </w:p>
    <w:p w14:paraId="5F8FA0D9">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一、合同内容</w:t>
      </w:r>
    </w:p>
    <w:p w14:paraId="241A91B4">
      <w:pPr>
        <w:adjustRightInd w:val="0"/>
        <w:snapToGrid w:val="0"/>
        <w:spacing w:line="360" w:lineRule="auto"/>
        <w:ind w:firstLine="560"/>
        <w:rPr>
          <w:rFonts w:hint="eastAsia" w:ascii="仿宋" w:hAnsi="仿宋" w:eastAsia="仿宋" w:cs="仿宋"/>
          <w:sz w:val="28"/>
          <w:szCs w:val="28"/>
        </w:rPr>
      </w:pPr>
      <w:r>
        <w:rPr>
          <w:rFonts w:hint="eastAsia" w:ascii="仿宋" w:hAnsi="仿宋" w:eastAsia="仿宋" w:cs="仿宋"/>
          <w:sz w:val="28"/>
          <w:szCs w:val="28"/>
        </w:rPr>
        <w:t>1、根据《中华人民共和国民法典》、《中华人民共和国著作权法》和其它相关法律法规，甲乙双方就甲方获得许可使用乙方数据库及相关服务事宜，协商一致，签订本合同，共同遵照执行。</w:t>
      </w:r>
    </w:p>
    <w:p w14:paraId="2A547D4F">
      <w:pPr>
        <w:adjustRightInd w:val="0"/>
        <w:snapToGrid w:val="0"/>
        <w:spacing w:line="360" w:lineRule="auto"/>
        <w:ind w:firstLine="560"/>
        <w:rPr>
          <w:rFonts w:hint="eastAsia" w:ascii="仿宋" w:hAnsi="仿宋" w:eastAsia="仿宋" w:cs="仿宋"/>
          <w:sz w:val="28"/>
          <w:szCs w:val="28"/>
        </w:rPr>
      </w:pPr>
      <w:r>
        <w:rPr>
          <w:rFonts w:hint="eastAsia" w:ascii="仿宋" w:hAnsi="仿宋" w:eastAsia="仿宋" w:cs="仿宋"/>
          <w:sz w:val="28"/>
          <w:szCs w:val="28"/>
        </w:rPr>
        <w:t>2、中标（成交）通知书、投标文件、招标文件、澄清、投标补充文件与本合同共同组成合同内容；本合同签订后，双方依法签订的补充协议也是本合同文件的组成部分。</w:t>
      </w:r>
    </w:p>
    <w:p w14:paraId="06580E27">
      <w:pPr>
        <w:adjustRightInd w:val="0"/>
        <w:snapToGrid w:val="0"/>
        <w:spacing w:line="360" w:lineRule="auto"/>
        <w:ind w:firstLine="560"/>
        <w:rPr>
          <w:rFonts w:hint="eastAsia" w:ascii="仿宋" w:hAnsi="仿宋" w:eastAsia="仿宋" w:cs="仿宋"/>
          <w:sz w:val="28"/>
          <w:szCs w:val="28"/>
        </w:rPr>
      </w:pPr>
      <w:r>
        <w:rPr>
          <w:rFonts w:hint="eastAsia" w:ascii="仿宋" w:hAnsi="仿宋" w:eastAsia="仿宋" w:cs="仿宋"/>
          <w:sz w:val="28"/>
          <w:szCs w:val="28"/>
        </w:rPr>
        <w:t>二、合同价款</w:t>
      </w:r>
    </w:p>
    <w:p w14:paraId="22029CD9">
      <w:pPr>
        <w:adjustRightInd w:val="0"/>
        <w:snapToGrid w:val="0"/>
        <w:spacing w:line="360" w:lineRule="auto"/>
        <w:ind w:firstLine="560"/>
        <w:jc w:val="left"/>
        <w:rPr>
          <w:rFonts w:hint="eastAsia" w:ascii="仿宋" w:hAnsi="仿宋" w:eastAsia="仿宋" w:cs="仿宋"/>
          <w:sz w:val="28"/>
          <w:szCs w:val="28"/>
        </w:rPr>
      </w:pPr>
      <w:r>
        <w:rPr>
          <w:rFonts w:hint="eastAsia" w:ascii="仿宋" w:hAnsi="仿宋" w:eastAsia="仿宋" w:cs="仿宋"/>
          <w:sz w:val="28"/>
          <w:szCs w:val="28"/>
        </w:rPr>
        <w:t>1、合同总价（大写）：</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RMB</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元。</w:t>
      </w:r>
    </w:p>
    <w:p w14:paraId="5947EC8C">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2、合同总价格为所有费用在内价格，包括但不限于软件产品开发费、产品供应费、许可使用费、产品升级及维护费、运杂费、技术支持服务费、售后服务费及其它相关的费用。</w:t>
      </w:r>
    </w:p>
    <w:p w14:paraId="374AAE25">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3、合同总价格不受市场价格及汇率变化的影响，固定且不可变动。</w:t>
      </w:r>
    </w:p>
    <w:p w14:paraId="4707A1E0">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三、合同结算</w:t>
      </w:r>
    </w:p>
    <w:p w14:paraId="0AD9DF73">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1、付款比例：</w:t>
      </w:r>
    </w:p>
    <w:p w14:paraId="293715DA">
      <w:pPr>
        <w:adjustRightInd w:val="0"/>
        <w:snapToGrid w:val="0"/>
        <w:spacing w:line="360" w:lineRule="auto"/>
        <w:ind w:firstLine="560"/>
        <w:jc w:val="left"/>
        <w:rPr>
          <w:rFonts w:hint="eastAsia" w:ascii="仿宋" w:hAnsi="仿宋" w:eastAsia="仿宋" w:cs="仿宋"/>
          <w:sz w:val="28"/>
          <w:szCs w:val="28"/>
        </w:rPr>
      </w:pPr>
      <w:r>
        <w:rPr>
          <w:rFonts w:hint="eastAsia" w:ascii="仿宋" w:hAnsi="仿宋" w:eastAsia="仿宋" w:cs="仿宋"/>
          <w:sz w:val="28"/>
          <w:szCs w:val="28"/>
        </w:rPr>
        <w:t>自验收合格后三十个日历日内，不晚于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日前，甲方向乙方一次性支付合同全部款额</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RMB</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元。</w:t>
      </w:r>
    </w:p>
    <w:p w14:paraId="414E14F3">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2、结算方式：银行转账。</w:t>
      </w:r>
    </w:p>
    <w:p w14:paraId="6B86966D">
      <w:pPr>
        <w:adjustRightInd w:val="0"/>
        <w:snapToGrid w:val="0"/>
        <w:spacing w:line="360" w:lineRule="auto"/>
        <w:ind w:firstLine="480"/>
        <w:rPr>
          <w:rFonts w:hint="eastAsia" w:ascii="仿宋" w:hAnsi="仿宋" w:eastAsia="仿宋" w:cs="仿宋"/>
          <w:sz w:val="28"/>
          <w:szCs w:val="28"/>
        </w:rPr>
      </w:pPr>
      <w:r>
        <w:rPr>
          <w:rFonts w:hint="eastAsia" w:ascii="仿宋" w:hAnsi="仿宋" w:eastAsia="仿宋" w:cs="仿宋"/>
          <w:sz w:val="28"/>
          <w:szCs w:val="28"/>
        </w:rPr>
        <w:t>结算单位：由甲方负责结算，甲方付款前，乙方须向甲方开具全额增值税（普通）发票，否则，甲方可拒绝付款，且不承担任何责任。</w:t>
      </w:r>
    </w:p>
    <w:p w14:paraId="2545BFDF">
      <w:pPr>
        <w:adjustRightInd w:val="0"/>
        <w:snapToGrid w:val="0"/>
        <w:spacing w:line="360" w:lineRule="auto"/>
        <w:ind w:firstLine="480"/>
        <w:rPr>
          <w:rFonts w:hint="eastAsia" w:ascii="仿宋" w:hAnsi="仿宋" w:eastAsia="仿宋" w:cs="仿宋"/>
          <w:sz w:val="28"/>
          <w:szCs w:val="28"/>
        </w:rPr>
      </w:pPr>
      <w:r>
        <w:rPr>
          <w:rFonts w:hint="eastAsia" w:ascii="仿宋" w:hAnsi="仿宋" w:eastAsia="仿宋" w:cs="仿宋"/>
          <w:sz w:val="28"/>
          <w:szCs w:val="28"/>
        </w:rPr>
        <w:t>3、乙方收款账号信息：</w:t>
      </w:r>
    </w:p>
    <w:p w14:paraId="7FDE939E">
      <w:pPr>
        <w:adjustRightInd w:val="0"/>
        <w:snapToGrid w:val="0"/>
        <w:spacing w:line="360" w:lineRule="auto"/>
        <w:ind w:firstLine="480"/>
        <w:rPr>
          <w:rFonts w:hint="eastAsia" w:ascii="仿宋" w:hAnsi="仿宋" w:eastAsia="仿宋" w:cs="仿宋"/>
          <w:sz w:val="28"/>
          <w:szCs w:val="28"/>
        </w:rPr>
      </w:pPr>
      <w:r>
        <w:rPr>
          <w:rFonts w:hint="eastAsia" w:ascii="仿宋" w:hAnsi="仿宋" w:eastAsia="仿宋" w:cs="仿宋"/>
          <w:sz w:val="28"/>
          <w:szCs w:val="28"/>
        </w:rPr>
        <w:t>户名：</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18D20ACA">
      <w:pPr>
        <w:adjustRightInd w:val="0"/>
        <w:snapToGrid w:val="0"/>
        <w:spacing w:line="360" w:lineRule="auto"/>
        <w:ind w:firstLine="480"/>
        <w:rPr>
          <w:rFonts w:hint="default" w:ascii="仿宋" w:hAnsi="仿宋" w:eastAsia="仿宋" w:cs="仿宋"/>
          <w:sz w:val="28"/>
          <w:szCs w:val="28"/>
          <w:lang w:val="en-US" w:eastAsia="zh-CN"/>
        </w:rPr>
      </w:pPr>
      <w:r>
        <w:rPr>
          <w:rFonts w:hint="eastAsia" w:ascii="仿宋" w:hAnsi="仿宋" w:eastAsia="仿宋" w:cs="仿宋"/>
          <w:sz w:val="28"/>
          <w:szCs w:val="28"/>
        </w:rPr>
        <w:t>开户银行：</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p>
    <w:p w14:paraId="4CF49A8F">
      <w:pPr>
        <w:adjustRightInd w:val="0"/>
        <w:snapToGrid w:val="0"/>
        <w:spacing w:line="360" w:lineRule="auto"/>
        <w:ind w:firstLine="480"/>
        <w:rPr>
          <w:rFonts w:hint="eastAsia" w:ascii="仿宋" w:hAnsi="仿宋" w:eastAsia="仿宋" w:cs="仿宋"/>
          <w:sz w:val="28"/>
          <w:szCs w:val="28"/>
        </w:rPr>
      </w:pPr>
      <w:r>
        <w:rPr>
          <w:rFonts w:hint="eastAsia" w:ascii="仿宋" w:hAnsi="仿宋" w:eastAsia="仿宋" w:cs="仿宋"/>
          <w:sz w:val="28"/>
          <w:szCs w:val="28"/>
        </w:rPr>
        <w:t>账号：</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5EDA3C1C">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四、交货条件</w:t>
      </w:r>
    </w:p>
    <w:p w14:paraId="7540E80B">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1、交货地点：甲方指定地点。</w:t>
      </w:r>
    </w:p>
    <w:p w14:paraId="5612E116">
      <w:pPr>
        <w:adjustRightInd w:val="0"/>
        <w:snapToGrid w:val="0"/>
        <w:spacing w:line="360" w:lineRule="auto"/>
        <w:ind w:firstLine="560"/>
        <w:rPr>
          <w:rFonts w:hint="eastAsia" w:ascii="仿宋" w:hAnsi="仿宋" w:eastAsia="仿宋" w:cs="仿宋"/>
          <w:sz w:val="28"/>
          <w:szCs w:val="28"/>
          <w:u w:val="single"/>
        </w:rPr>
      </w:pPr>
      <w:r>
        <w:rPr>
          <w:rFonts w:hint="eastAsia" w:ascii="仿宋" w:hAnsi="仿宋" w:eastAsia="仿宋" w:cs="仿宋"/>
          <w:sz w:val="28"/>
          <w:szCs w:val="28"/>
        </w:rPr>
        <w:t>2、交货期：</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2D51E2D5">
      <w:pPr>
        <w:adjustRightInd w:val="0"/>
        <w:snapToGrid w:val="0"/>
        <w:spacing w:line="360" w:lineRule="auto"/>
        <w:ind w:firstLine="560"/>
        <w:rPr>
          <w:rFonts w:hint="eastAsia" w:ascii="仿宋" w:hAnsi="仿宋" w:eastAsia="仿宋" w:cs="仿宋"/>
          <w:sz w:val="28"/>
          <w:szCs w:val="28"/>
        </w:rPr>
      </w:pPr>
      <w:r>
        <w:rPr>
          <w:rFonts w:hint="eastAsia" w:ascii="仿宋" w:hAnsi="仿宋" w:eastAsia="仿宋" w:cs="仿宋"/>
          <w:sz w:val="28"/>
          <w:szCs w:val="28"/>
        </w:rPr>
        <w:t>3、服务期：</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3977D70D">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五、运输</w:t>
      </w:r>
    </w:p>
    <w:p w14:paraId="4581E71D">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1、乙方负责本合同涉及所有产品的运输。确保产品安全、完整到达使用地点，运杂费用包含在总价内，包括全部产品从供货地点到使用地点的运输费、保险费、搬运费等。</w:t>
      </w:r>
    </w:p>
    <w:p w14:paraId="238C11C3">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2、所有产品在运输、搬运、安装的过程中，造成甲方损失的，由乙方修复或更新。</w:t>
      </w:r>
    </w:p>
    <w:p w14:paraId="4F923197">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六、质量保证</w:t>
      </w:r>
    </w:p>
    <w:p w14:paraId="36856032">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1、乙方许可使用、提供服务范围包括标的物清单所列全部内容，乙方提供的数据库和服务须符合本合同约定。</w:t>
      </w:r>
    </w:p>
    <w:p w14:paraId="35C83F0C">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2、甲方使用合同标的物所涉及的任何侵权诉讼（包括但不限于知识产权纠纷、人格权纠纷等），由乙方承担全责，乙方须赔偿给甲方造成的损失，包括但不限于直接损失、可得利益损失、甲方为维护自身权益支出的律师费、诉讼费、仲裁费、诉讼保险费，以及甲方需向第三方支付的赔偿补偿费等；同时乙方需按照合同总金额的50％向甲方支付违约金。</w:t>
      </w:r>
    </w:p>
    <w:p w14:paraId="5E2783E1">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3、需要进行安装、调试的合同标的物，乙方须进行安装调试，达到正常使用条件。在合同标的物经甲方验收并投入使用后，因标的物缺陷、出现系统故障等原因，造成甲方无法正常使用的，乙方须在甲方要求时间内予以修复、提供技术支持等服务。</w:t>
      </w:r>
    </w:p>
    <w:p w14:paraId="2CFB2462">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4、甲方发现标的物与合同不符，或者经有关质检部门检验证实合同标的物存在缺陷及具有潜在缺陷的，应尽快以书面形式通知乙方，乙方须在收到通知5日内，无条件给与调换、补充等。乙方在收到甲方通知5日内，未采取有效补救措施时，甲方可通知乙方解除本合同，乙方须返还甲方已支付全部费用（未支付费用，甲方不再承担付款义务），并按照合同总价的20%向甲方支付违约金。</w:t>
      </w:r>
    </w:p>
    <w:p w14:paraId="39AF8EAE">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5、本合同期满或终止后，如甲方要求乙方提供上门维护服务，乙方按省会城市300元/天、非省会城市450元/天的标准向甲方收取维护服务成本费。</w:t>
      </w:r>
    </w:p>
    <w:p w14:paraId="1F018334">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七、技术服务</w:t>
      </w:r>
    </w:p>
    <w:p w14:paraId="18131B23">
      <w:pPr>
        <w:pStyle w:val="14"/>
        <w:jc w:val="both"/>
        <w:rPr>
          <w:rFonts w:ascii="仿宋" w:hAnsi="仿宋" w:eastAsia="仿宋" w:cs="仿宋"/>
          <w:sz w:val="28"/>
          <w:szCs w:val="28"/>
        </w:rPr>
      </w:pPr>
      <w:r>
        <w:rPr>
          <w:rFonts w:ascii="仿宋" w:hAnsi="仿宋" w:eastAsia="仿宋" w:cs="仿宋"/>
          <w:sz w:val="28"/>
          <w:szCs w:val="28"/>
        </w:rPr>
        <w:t xml:space="preserve">   1、甲方在标的物开通或安装后，取得在本合同规定期限和范围之内的使用权。 </w:t>
      </w:r>
    </w:p>
    <w:p w14:paraId="3004DEDD">
      <w:pPr>
        <w:pStyle w:val="14"/>
        <w:ind w:firstLine="420" w:firstLineChars="150"/>
        <w:jc w:val="both"/>
        <w:rPr>
          <w:rFonts w:ascii="仿宋" w:hAnsi="仿宋" w:eastAsia="仿宋" w:cs="仿宋"/>
          <w:sz w:val="28"/>
          <w:szCs w:val="28"/>
        </w:rPr>
      </w:pPr>
      <w:r>
        <w:rPr>
          <w:rFonts w:ascii="仿宋" w:hAnsi="仿宋" w:eastAsia="仿宋" w:cs="仿宋"/>
          <w:sz w:val="28"/>
          <w:szCs w:val="28"/>
        </w:rPr>
        <w:t>2、乙方拥有标的物的知识产权，且有权授权许可甲方使用。</w:t>
      </w:r>
    </w:p>
    <w:p w14:paraId="45E69342">
      <w:pPr>
        <w:pStyle w:val="14"/>
        <w:ind w:firstLine="420" w:firstLineChars="150"/>
        <w:jc w:val="both"/>
        <w:rPr>
          <w:rFonts w:ascii="仿宋" w:hAnsi="仿宋" w:eastAsia="仿宋" w:cs="仿宋"/>
          <w:sz w:val="28"/>
          <w:szCs w:val="28"/>
        </w:rPr>
      </w:pPr>
      <w:r>
        <w:rPr>
          <w:rFonts w:ascii="仿宋" w:hAnsi="仿宋" w:eastAsia="仿宋" w:cs="仿宋"/>
          <w:sz w:val="28"/>
          <w:szCs w:val="28"/>
        </w:rPr>
        <w:t>3、乙方有义务对标的物采取必要的保护措施，并及时修改其可能存在的安全漏洞，保证甲方正常使用。</w:t>
      </w:r>
    </w:p>
    <w:p w14:paraId="39AC360D">
      <w:pPr>
        <w:pStyle w:val="14"/>
        <w:ind w:firstLine="420" w:firstLineChars="150"/>
        <w:jc w:val="both"/>
        <w:rPr>
          <w:rFonts w:ascii="仿宋" w:hAnsi="仿宋" w:eastAsia="仿宋" w:cs="仿宋"/>
          <w:sz w:val="28"/>
          <w:szCs w:val="28"/>
        </w:rPr>
      </w:pPr>
      <w:r>
        <w:rPr>
          <w:rFonts w:ascii="仿宋" w:hAnsi="仿宋" w:eastAsia="仿宋" w:cs="仿宋"/>
          <w:sz w:val="28"/>
          <w:szCs w:val="28"/>
        </w:rPr>
        <w:t>4、在合同期内，如果乙方服务软件发生升级，乙方应通知甲方，为甲方提供新版本软件；如果甲方希望继续使用原来版本的软件，乙方应保证该系统能够正常运行。</w:t>
      </w:r>
    </w:p>
    <w:p w14:paraId="1EA259DB">
      <w:pPr>
        <w:pStyle w:val="14"/>
        <w:ind w:firstLine="420" w:firstLineChars="150"/>
        <w:jc w:val="both"/>
        <w:rPr>
          <w:rFonts w:ascii="仿宋" w:hAnsi="仿宋" w:eastAsia="仿宋" w:cs="仿宋"/>
          <w:sz w:val="28"/>
          <w:szCs w:val="28"/>
        </w:rPr>
      </w:pPr>
      <w:r>
        <w:rPr>
          <w:rFonts w:ascii="仿宋" w:hAnsi="仿宋" w:eastAsia="仿宋" w:cs="仿宋"/>
          <w:sz w:val="28"/>
          <w:szCs w:val="28"/>
        </w:rPr>
        <w:t>5、对于乙方向甲方提供的镜像数据，如乙方发现存在涉及国家安全、保密、政治敏感情形的，乙方有权随时通知并协助甲方将相关数据信息进行下撤、更新，乙方通知后甲方未及时下撤而引起的后果由甲方承担。造成乙方损失的，甲方应承担全部赔偿责任。本条款不受本合同有效期限制。</w:t>
      </w:r>
    </w:p>
    <w:p w14:paraId="555DE4D3">
      <w:pPr>
        <w:pStyle w:val="14"/>
        <w:ind w:firstLine="420" w:firstLineChars="150"/>
        <w:jc w:val="both"/>
        <w:rPr>
          <w:rFonts w:ascii="仿宋" w:hAnsi="仿宋" w:eastAsia="仿宋" w:cs="仿宋"/>
          <w:sz w:val="28"/>
          <w:szCs w:val="28"/>
        </w:rPr>
      </w:pPr>
      <w:r>
        <w:rPr>
          <w:rFonts w:ascii="仿宋" w:hAnsi="仿宋" w:eastAsia="仿宋" w:cs="仿宋"/>
          <w:sz w:val="28"/>
          <w:szCs w:val="28"/>
        </w:rPr>
        <w:t>6、技术培训：按甲方要求为相关技术人员免费提供必要的技术培训以及与本产品有关的技术资料和售后技术支持服务。</w:t>
      </w:r>
    </w:p>
    <w:p w14:paraId="0E204A52">
      <w:pPr>
        <w:pStyle w:val="14"/>
        <w:ind w:firstLine="420" w:firstLineChars="150"/>
        <w:jc w:val="both"/>
        <w:rPr>
          <w:rFonts w:ascii="仿宋" w:hAnsi="仿宋" w:eastAsia="仿宋" w:cs="仿宋"/>
          <w:sz w:val="28"/>
          <w:szCs w:val="28"/>
        </w:rPr>
      </w:pPr>
      <w:r>
        <w:rPr>
          <w:rFonts w:ascii="仿宋" w:hAnsi="仿宋" w:eastAsia="仿宋" w:cs="仿宋"/>
          <w:sz w:val="28"/>
          <w:szCs w:val="28"/>
        </w:rPr>
        <w:t>7、售后服务：乙方承诺提供及时、快速、优质的售后服务，包括以下内容：</w:t>
      </w:r>
    </w:p>
    <w:p w14:paraId="07CFF333">
      <w:pPr>
        <w:pStyle w:val="14"/>
        <w:ind w:firstLine="420" w:firstLineChars="150"/>
        <w:jc w:val="both"/>
        <w:rPr>
          <w:rFonts w:ascii="仿宋" w:hAnsi="仿宋" w:eastAsia="仿宋" w:cs="仿宋"/>
          <w:sz w:val="28"/>
          <w:szCs w:val="28"/>
        </w:rPr>
      </w:pPr>
      <w:r>
        <w:rPr>
          <w:rFonts w:ascii="仿宋" w:hAnsi="仿宋" w:eastAsia="仿宋" w:cs="仿宋"/>
          <w:sz w:val="28"/>
          <w:szCs w:val="28"/>
        </w:rPr>
        <w:t>1）7*24小时，免费电话、邮件咨询及上门服务；</w:t>
      </w:r>
    </w:p>
    <w:p w14:paraId="4FB1A2F9">
      <w:pPr>
        <w:pStyle w:val="14"/>
        <w:ind w:firstLine="420" w:firstLineChars="150"/>
        <w:jc w:val="both"/>
        <w:rPr>
          <w:rFonts w:ascii="仿宋" w:hAnsi="仿宋" w:eastAsia="仿宋" w:cs="仿宋"/>
          <w:sz w:val="28"/>
          <w:szCs w:val="28"/>
        </w:rPr>
      </w:pPr>
      <w:r>
        <w:rPr>
          <w:rFonts w:ascii="仿宋" w:hAnsi="仿宋" w:eastAsia="仿宋" w:cs="仿宋"/>
          <w:sz w:val="28"/>
          <w:szCs w:val="28"/>
        </w:rPr>
        <w:t>2）响应时效：乙方在接到甲方服务请求后，10分钟响应，一般故障（指不影响数据、软件正常运行的故障），6小时解决；重大故障（影响数据、软件正常运行，或数据完整性的故障）48小时解决。</w:t>
      </w:r>
    </w:p>
    <w:p w14:paraId="6CC6142E">
      <w:pPr>
        <w:pStyle w:val="14"/>
        <w:ind w:firstLine="420" w:firstLineChars="150"/>
        <w:jc w:val="both"/>
        <w:rPr>
          <w:rFonts w:ascii="仿宋" w:hAnsi="仿宋" w:eastAsia="仿宋" w:cs="仿宋"/>
          <w:sz w:val="28"/>
          <w:szCs w:val="28"/>
        </w:rPr>
      </w:pPr>
      <w:r>
        <w:rPr>
          <w:rFonts w:ascii="仿宋" w:hAnsi="仿宋" w:eastAsia="仿宋" w:cs="仿宋"/>
          <w:sz w:val="28"/>
          <w:szCs w:val="28"/>
        </w:rPr>
        <w:t>3）服务级别：在遵守响应时效的前提下，对于可以远程解决的问题，乙方在30分钟内提供电话或者远程网络支持，对于不能远程解决的问题，乙方应提供上门服务。</w:t>
      </w:r>
    </w:p>
    <w:p w14:paraId="06010DDE">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八、验收</w:t>
      </w:r>
    </w:p>
    <w:p w14:paraId="717DB983">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1、到货验收：货物到货后，由甲方与乙方共同进行外观验收，验收内容包括，外包装的完好性，货物品牌、规格、数量及产地与合同要求的一致性。</w:t>
      </w:r>
    </w:p>
    <w:p w14:paraId="7F42DBCF">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2、标的物运行验收：乙方安装调试合格后，向甲方提出验收申请，甲方接到乙方验收申请后组织验收（必要时可聘请相应专家或委托相应部门验收），验收合格后，出具使用验收合格证明。</w:t>
      </w:r>
    </w:p>
    <w:p w14:paraId="42F792E7">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3、最终验收：最终验收结果作为付款依据，乙方填写验收单，并向甲方提交实施过程中的所有资料，以便甲方日后管理和维护。</w:t>
      </w:r>
    </w:p>
    <w:p w14:paraId="2ECB87C1">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4、质保期满后：由乙方出具质保期运行质量报告，若存在质量问题，应按相应规定协商处理。</w:t>
      </w:r>
    </w:p>
    <w:p w14:paraId="5123B6CD">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5、验收依据：</w:t>
      </w:r>
    </w:p>
    <w:p w14:paraId="6228BF72">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（1）合同文本、合同附件、招标文件。</w:t>
      </w:r>
    </w:p>
    <w:p w14:paraId="5045649C">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（2）国内相应的标准、规范。</w:t>
      </w:r>
    </w:p>
    <w:p w14:paraId="1131999A">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九、违约责任</w:t>
      </w:r>
    </w:p>
    <w:p w14:paraId="36DE761F">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1、甲方责任</w:t>
      </w:r>
    </w:p>
    <w:p w14:paraId="0F66608D">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甲方未依照本合同约定支付许可与服务费的，按照一年期贷款市场报价利率向乙方支付逾期付款利息。</w:t>
      </w:r>
    </w:p>
    <w:p w14:paraId="6592BA2B">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2. 乙方责任</w:t>
      </w:r>
    </w:p>
    <w:p w14:paraId="48FCDF42">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1）如乙方逾期提供数据库，每逾期一日按照合同总价的千分之一向甲方支付逾期交付违约金，且数据库使用期限对应顺延，逾期超过30天的，甲方可书面通知乙方解除本合同，不再向乙方支付任何费用，同时，乙方需按照合同总价的20％向甲方支付违约金。</w:t>
      </w:r>
    </w:p>
    <w:p w14:paraId="280DC670">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（2）双方验收后，如乙方许可使用的数据库的文献量未达到规定，乙方按缺少文献量占总文献量的比例双倍向甲方退还数据库许可及服务费。</w:t>
      </w:r>
    </w:p>
    <w:p w14:paraId="5A18DCA3">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3）如乙方提供的数据库与服务未达到约定的质量标准、服务要求，或乙方存在其他违约，乙方须按照10000元/次的标准向甲方支付违约金，累计发生3次，甲方有权通知乙方解除本合同，不再向乙方支付任何费用（已支付的乙方须全部退还甲方），同时乙方须按照合同总价的30％向甲方支付违约金。</w:t>
      </w:r>
    </w:p>
    <w:p w14:paraId="2F8B43C6">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十、 不可抗力</w:t>
      </w:r>
    </w:p>
    <w:p w14:paraId="0CB3C6E5">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1、“不可抗力”是指双方不能合理控制、不可预见或即使预见亦无法避免的事件，该事件妨碍、影响或延误任何一方根据本合同履行其全部或部分义务。该事件包括但不限于地震、台风、洪水、火灾或其他天灾、战争、骚乱、罢工、恶性传染病、电力中断、黑客攻击、法律或政策改变或任何其他类似事件。</w:t>
      </w:r>
    </w:p>
    <w:p w14:paraId="67E1E900">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2、如发生不可抗力事件，遭受该事件的一方应在合理时间内用可能的最快捷的方式通知对方，并在十五日内提供证明文件说明该事件的细节和不能履行或部分不能履行或延迟履行本合同的原因，然后由双方协商是否延期履行本合同或终止本合同。因不可抗力原因未履行合同的，未履行一方对另一方不承担违约责任。</w:t>
      </w:r>
    </w:p>
    <w:p w14:paraId="60B48C79">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十一、争议解决</w:t>
      </w:r>
    </w:p>
    <w:p w14:paraId="097DF83E">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1、由本合同引起或与本合同有关的任何争议，双方均应通过友好协商解决，协商不成的，任何一方可向甲方住所地有管辖权的人民法院起诉。</w:t>
      </w:r>
    </w:p>
    <w:p w14:paraId="40A926C9">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2、如本合同任何条款由法院认定为无效，不影响本合同其他条款的持续有效和执行。</w:t>
      </w:r>
    </w:p>
    <w:p w14:paraId="3441B2B4">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十二、其他</w:t>
      </w:r>
    </w:p>
    <w:p w14:paraId="57717A62">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1、本合同未尽事宜，或本合同变更事项，由双方协商并以书面方式加以确定。</w:t>
      </w:r>
    </w:p>
    <w:p w14:paraId="3770D705">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2、本合同一式</w:t>
      </w:r>
      <w:r>
        <w:rPr>
          <w:rFonts w:hint="eastAsia" w:ascii="仿宋" w:hAnsi="仿宋" w:eastAsia="仿宋" w:cs="仿宋"/>
          <w:sz w:val="28"/>
          <w:szCs w:val="28"/>
          <w:u w:val="single"/>
        </w:rPr>
        <w:t xml:space="preserve"> 陆 </w:t>
      </w:r>
      <w:r>
        <w:rPr>
          <w:rFonts w:hint="eastAsia" w:ascii="仿宋" w:hAnsi="仿宋" w:eastAsia="仿宋" w:cs="仿宋"/>
          <w:sz w:val="28"/>
          <w:szCs w:val="28"/>
        </w:rPr>
        <w:t>份，甲方</w:t>
      </w:r>
      <w:r>
        <w:rPr>
          <w:rFonts w:hint="eastAsia" w:ascii="仿宋" w:hAnsi="仿宋" w:eastAsia="仿宋" w:cs="仿宋"/>
          <w:sz w:val="28"/>
          <w:szCs w:val="28"/>
          <w:u w:val="single"/>
        </w:rPr>
        <w:t xml:space="preserve"> 肆 </w:t>
      </w:r>
      <w:r>
        <w:rPr>
          <w:rFonts w:hint="eastAsia" w:ascii="仿宋" w:hAnsi="仿宋" w:eastAsia="仿宋" w:cs="仿宋"/>
          <w:sz w:val="28"/>
          <w:szCs w:val="28"/>
        </w:rPr>
        <w:t>份，乙方</w:t>
      </w:r>
      <w:r>
        <w:rPr>
          <w:rFonts w:hint="eastAsia" w:ascii="仿宋" w:hAnsi="仿宋" w:eastAsia="仿宋" w:cs="仿宋"/>
          <w:sz w:val="28"/>
          <w:szCs w:val="28"/>
          <w:u w:val="single"/>
        </w:rPr>
        <w:t xml:space="preserve"> 贰 </w:t>
      </w:r>
      <w:r>
        <w:rPr>
          <w:rFonts w:hint="eastAsia" w:ascii="仿宋" w:hAnsi="仿宋" w:eastAsia="仿宋" w:cs="仿宋"/>
          <w:sz w:val="28"/>
          <w:szCs w:val="28"/>
        </w:rPr>
        <w:t>份，具有同等法律效力。</w:t>
      </w:r>
    </w:p>
    <w:p w14:paraId="7EF5B759">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3、本合同自双方签字盖章之日起生效。</w:t>
      </w:r>
    </w:p>
    <w:p w14:paraId="3387DE0C">
      <w:pPr>
        <w:adjustRightInd w:val="0"/>
        <w:snapToGrid w:val="0"/>
        <w:spacing w:line="360" w:lineRule="auto"/>
        <w:ind w:firstLine="560"/>
        <w:rPr>
          <w:rFonts w:hint="eastAsia" w:ascii="仿宋" w:hAnsi="仿宋" w:eastAsia="仿宋" w:cs="仿宋"/>
          <w:sz w:val="28"/>
          <w:szCs w:val="28"/>
        </w:rPr>
      </w:pPr>
      <w:r>
        <w:rPr>
          <w:rFonts w:hint="eastAsia" w:ascii="仿宋" w:hAnsi="仿宋" w:eastAsia="仿宋" w:cs="仿宋"/>
          <w:sz w:val="28"/>
          <w:szCs w:val="28"/>
        </w:rPr>
        <w:t>4、对于因本合同的订立和履行双方知晓的对方的商业和技术秘密，以及本合同许可与服务费，双方均有保密义务。该保密义务在本合同期满或解除后仍然有效。</w:t>
      </w:r>
    </w:p>
    <w:p w14:paraId="7E5E50FE">
      <w:pPr>
        <w:adjustRightInd w:val="0"/>
        <w:snapToGrid w:val="0"/>
        <w:spacing w:line="360" w:lineRule="auto"/>
        <w:ind w:firstLine="560"/>
        <w:rPr>
          <w:rFonts w:hint="eastAsia" w:ascii="仿宋" w:hAnsi="仿宋" w:eastAsia="仿宋" w:cs="仿宋"/>
          <w:sz w:val="28"/>
          <w:szCs w:val="28"/>
        </w:rPr>
      </w:pPr>
      <w:r>
        <w:rPr>
          <w:rFonts w:hint="eastAsia" w:ascii="仿宋" w:hAnsi="仿宋" w:eastAsia="仿宋" w:cs="仿宋"/>
          <w:sz w:val="28"/>
          <w:szCs w:val="28"/>
        </w:rPr>
        <w:t>5、合同有效期为：自合同签订之日起一年。</w:t>
      </w:r>
    </w:p>
    <w:p w14:paraId="035609ED">
      <w:pPr>
        <w:adjustRightInd w:val="0"/>
        <w:snapToGrid w:val="0"/>
        <w:spacing w:line="360" w:lineRule="auto"/>
        <w:rPr>
          <w:rFonts w:hint="eastAsia" w:asciiTheme="minorEastAsia" w:hAnsiTheme="minorEastAsia"/>
          <w:sz w:val="28"/>
          <w:szCs w:val="28"/>
        </w:rPr>
      </w:pPr>
      <w:r>
        <w:rPr>
          <w:rFonts w:hint="eastAsia" w:ascii="仿宋" w:hAnsi="仿宋" w:eastAsia="仿宋" w:cs="仿宋"/>
          <w:sz w:val="28"/>
          <w:szCs w:val="28"/>
        </w:rPr>
        <w:t>十三、甲方按本合同附件所示及签字盖章处所列乙方信息通过短信、微信、电话、邮寄等方式与乙方联系，向乙方送达相关通知，乙方信息如有变更，应在变更后2日内书面通知甲方，若未及时通知，按原联系方式通知视为有效送达，包括但不限于送达解除通知、联系单等及人民法院送达起诉状、开庭传票、判决书等法律文书。</w:t>
      </w:r>
    </w:p>
    <w:p w14:paraId="16C78112">
      <w:pPr>
        <w:adjustRightInd w:val="0"/>
        <w:snapToGrid w:val="0"/>
        <w:rPr>
          <w:rFonts w:hint="eastAsia" w:asciiTheme="minorEastAsia" w:hAnsiTheme="minorEastAsia"/>
          <w:sz w:val="24"/>
        </w:rPr>
      </w:pPr>
    </w:p>
    <w:p w14:paraId="7EAF5D50">
      <w:pPr>
        <w:rPr>
          <w:rFonts w:hint="eastAsia" w:ascii="仿宋" w:hAnsi="仿宋" w:eastAsia="仿宋" w:cs="仿宋"/>
          <w:sz w:val="28"/>
          <w:szCs w:val="28"/>
        </w:rPr>
      </w:pPr>
      <w:r>
        <w:rPr>
          <w:rFonts w:hint="eastAsia" w:asciiTheme="minorEastAsia" w:hAnsiTheme="minorEastAsia"/>
          <w:sz w:val="24"/>
        </w:rPr>
        <w:t xml:space="preserve">      </w:t>
      </w:r>
      <w:r>
        <w:rPr>
          <w:rFonts w:hint="eastAsia" w:ascii="仿宋" w:hAnsi="仿宋" w:eastAsia="仿宋" w:cs="仿宋"/>
          <w:sz w:val="28"/>
          <w:szCs w:val="28"/>
        </w:rPr>
        <w:t>本合同于</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日在西安签订。</w:t>
      </w:r>
    </w:p>
    <w:p w14:paraId="289BB4BC">
      <w:pPr>
        <w:rPr>
          <w:rFonts w:hint="eastAsia" w:ascii="仿宋" w:hAnsi="仿宋" w:eastAsia="仿宋" w:cs="仿宋"/>
          <w:sz w:val="28"/>
          <w:szCs w:val="28"/>
        </w:rPr>
      </w:pPr>
    </w:p>
    <w:tbl>
      <w:tblPr>
        <w:tblStyle w:val="11"/>
        <w:tblW w:w="85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18"/>
        <w:gridCol w:w="4135"/>
      </w:tblGrid>
      <w:tr w14:paraId="58AE5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 w:hRule="atLeast"/>
        </w:trPr>
        <w:tc>
          <w:tcPr>
            <w:tcW w:w="4418" w:type="dxa"/>
            <w:vAlign w:val="center"/>
          </w:tcPr>
          <w:p w14:paraId="78714EB6">
            <w:pPr>
              <w:spacing w:line="480" w:lineRule="exact"/>
              <w:jc w:val="center"/>
              <w:rPr>
                <w:rFonts w:ascii="仿宋_GB2312" w:eastAsia="仿宋_GB2312"/>
                <w:sz w:val="24"/>
              </w:rPr>
            </w:pPr>
            <w:r>
              <w:rPr>
                <w:rFonts w:hint="eastAsia" w:ascii="仿宋_GB2312" w:eastAsia="仿宋_GB2312"/>
                <w:sz w:val="24"/>
              </w:rPr>
              <w:t>甲方（公章）</w:t>
            </w:r>
          </w:p>
        </w:tc>
        <w:tc>
          <w:tcPr>
            <w:tcW w:w="4135" w:type="dxa"/>
            <w:vAlign w:val="center"/>
          </w:tcPr>
          <w:p w14:paraId="2DE581B9">
            <w:pPr>
              <w:spacing w:line="480" w:lineRule="exact"/>
              <w:jc w:val="center"/>
              <w:rPr>
                <w:rFonts w:ascii="仿宋_GB2312" w:eastAsia="仿宋_GB2312"/>
                <w:sz w:val="24"/>
              </w:rPr>
            </w:pPr>
            <w:r>
              <w:rPr>
                <w:rFonts w:hint="eastAsia" w:ascii="仿宋_GB2312" w:eastAsia="仿宋_GB2312"/>
                <w:sz w:val="24"/>
              </w:rPr>
              <w:t>乙方（公章）</w:t>
            </w:r>
          </w:p>
        </w:tc>
      </w:tr>
      <w:tr w14:paraId="55748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trPr>
        <w:tc>
          <w:tcPr>
            <w:tcW w:w="4418" w:type="dxa"/>
          </w:tcPr>
          <w:p w14:paraId="330DFC13">
            <w:pPr>
              <w:spacing w:line="480" w:lineRule="auto"/>
              <w:rPr>
                <w:rFonts w:ascii="仿宋_GB2312" w:eastAsia="仿宋_GB2312"/>
                <w:sz w:val="24"/>
              </w:rPr>
            </w:pPr>
            <w:r>
              <w:rPr>
                <w:rFonts w:hint="eastAsia" w:ascii="仿宋_GB2312" w:eastAsia="仿宋_GB2312"/>
                <w:sz w:val="24"/>
              </w:rPr>
              <w:t>法定地址：西安市长安北路14号</w:t>
            </w:r>
          </w:p>
          <w:p w14:paraId="2CE343A7">
            <w:pPr>
              <w:spacing w:line="480" w:lineRule="auto"/>
              <w:rPr>
                <w:rFonts w:ascii="仿宋_GB2312" w:eastAsia="仿宋_GB2312"/>
                <w:sz w:val="24"/>
              </w:rPr>
            </w:pPr>
            <w:bookmarkStart w:id="0" w:name="_GoBack"/>
            <w:bookmarkEnd w:id="0"/>
          </w:p>
          <w:p w14:paraId="1715756D">
            <w:pPr>
              <w:spacing w:line="480" w:lineRule="auto"/>
              <w:rPr>
                <w:rFonts w:hint="default" w:ascii="仿宋_GB2312" w:eastAsia="仿宋_GB2312"/>
                <w:sz w:val="24"/>
                <w:lang w:val="en-US" w:eastAsia="zh-CN"/>
              </w:rPr>
            </w:pPr>
            <w:r>
              <w:rPr>
                <w:rFonts w:hint="eastAsia" w:ascii="仿宋_GB2312" w:eastAsia="仿宋_GB2312"/>
                <w:sz w:val="24"/>
              </w:rPr>
              <w:t>联系电话：</w:t>
            </w:r>
            <w:r>
              <w:rPr>
                <w:rFonts w:hint="eastAsia" w:ascii="仿宋_GB2312" w:eastAsia="仿宋_GB2312"/>
                <w:sz w:val="24"/>
                <w:lang w:val="en-US" w:eastAsia="zh-CN"/>
              </w:rPr>
              <w:t xml:space="preserve">  </w:t>
            </w:r>
          </w:p>
          <w:p w14:paraId="6E5C7718">
            <w:pPr>
              <w:spacing w:line="480" w:lineRule="auto"/>
              <w:rPr>
                <w:rFonts w:hint="eastAsia" w:ascii="仿宋_GB2312" w:eastAsia="仿宋_GB2312"/>
                <w:sz w:val="24"/>
                <w:lang w:val="en-US" w:eastAsia="zh-CN"/>
              </w:rPr>
            </w:pPr>
            <w:r>
              <w:rPr>
                <w:rFonts w:hint="eastAsia" w:ascii="仿宋_GB2312" w:eastAsia="仿宋_GB2312"/>
                <w:sz w:val="24"/>
              </w:rPr>
              <w:t>开户行：</w:t>
            </w:r>
            <w:r>
              <w:rPr>
                <w:rFonts w:hint="eastAsia" w:ascii="仿宋_GB2312" w:eastAsia="仿宋_GB2312"/>
                <w:sz w:val="24"/>
                <w:lang w:val="en-US" w:eastAsia="zh-CN"/>
              </w:rPr>
              <w:t xml:space="preserve">    </w:t>
            </w:r>
          </w:p>
          <w:p w14:paraId="050699C5">
            <w:pPr>
              <w:spacing w:line="480" w:lineRule="auto"/>
              <w:rPr>
                <w:rFonts w:hint="eastAsia" w:ascii="仿宋_GB2312" w:eastAsia="仿宋_GB2312"/>
                <w:sz w:val="24"/>
                <w:lang w:eastAsia="zh-CN"/>
              </w:rPr>
            </w:pPr>
            <w:r>
              <w:rPr>
                <w:rFonts w:hint="eastAsia" w:ascii="仿宋_GB2312" w:eastAsia="仿宋_GB2312"/>
                <w:sz w:val="24"/>
              </w:rPr>
              <w:t>账号：</w:t>
            </w:r>
            <w:r>
              <w:rPr>
                <w:rFonts w:hint="eastAsia" w:ascii="仿宋_GB2312" w:eastAsia="仿宋_GB2312"/>
                <w:sz w:val="24"/>
                <w:lang w:val="en-US" w:eastAsia="zh-CN"/>
              </w:rPr>
              <w:t xml:space="preserve"> </w:t>
            </w:r>
          </w:p>
          <w:p w14:paraId="6945CBF1">
            <w:pPr>
              <w:spacing w:line="480" w:lineRule="auto"/>
              <w:rPr>
                <w:rFonts w:ascii="仿宋_GB2312" w:eastAsia="仿宋_GB2312"/>
                <w:sz w:val="24"/>
              </w:rPr>
            </w:pPr>
            <w:r>
              <w:rPr>
                <w:rFonts w:hint="eastAsia" w:ascii="仿宋_GB2312" w:eastAsia="仿宋_GB2312"/>
                <w:sz w:val="24"/>
              </w:rPr>
              <w:t>日期：       年     月     日</w:t>
            </w:r>
          </w:p>
        </w:tc>
        <w:tc>
          <w:tcPr>
            <w:tcW w:w="4135" w:type="dxa"/>
          </w:tcPr>
          <w:p w14:paraId="35ADD14A">
            <w:pPr>
              <w:spacing w:line="480" w:lineRule="auto"/>
              <w:rPr>
                <w:rFonts w:ascii="仿宋_GB2312" w:eastAsia="仿宋_GB2312"/>
                <w:sz w:val="24"/>
              </w:rPr>
            </w:pPr>
            <w:r>
              <w:rPr>
                <w:rFonts w:hint="eastAsia" w:ascii="仿宋_GB2312" w:eastAsia="仿宋_GB2312"/>
                <w:sz w:val="24"/>
              </w:rPr>
              <w:t>法定地址：</w:t>
            </w:r>
          </w:p>
          <w:p w14:paraId="6842DD92">
            <w:pPr>
              <w:spacing w:line="480" w:lineRule="auto"/>
              <w:rPr>
                <w:rFonts w:ascii="仿宋_GB2312" w:eastAsia="仿宋_GB2312"/>
                <w:sz w:val="24"/>
              </w:rPr>
            </w:pPr>
            <w:r>
              <w:rPr>
                <w:rFonts w:hint="eastAsia" w:ascii="仿宋_GB2312" w:eastAsia="仿宋_GB2312"/>
                <w:sz w:val="24"/>
              </w:rPr>
              <w:t xml:space="preserve"> </w:t>
            </w:r>
          </w:p>
          <w:p w14:paraId="3D806459">
            <w:pPr>
              <w:spacing w:line="480" w:lineRule="auto"/>
              <w:rPr>
                <w:rFonts w:ascii="仿宋_GB2312" w:eastAsia="仿宋_GB2312"/>
                <w:sz w:val="24"/>
              </w:rPr>
            </w:pPr>
            <w:r>
              <w:rPr>
                <w:rFonts w:hint="eastAsia" w:ascii="仿宋_GB2312" w:eastAsia="仿宋_GB2312"/>
                <w:sz w:val="24"/>
              </w:rPr>
              <w:t>联系人电话：</w:t>
            </w:r>
          </w:p>
          <w:p w14:paraId="019677D0">
            <w:pPr>
              <w:spacing w:line="480" w:lineRule="auto"/>
              <w:rPr>
                <w:rFonts w:ascii="仿宋_GB2312" w:eastAsia="仿宋_GB2312"/>
                <w:sz w:val="24"/>
              </w:rPr>
            </w:pPr>
            <w:r>
              <w:rPr>
                <w:rFonts w:hint="eastAsia" w:ascii="仿宋_GB2312" w:eastAsia="仿宋_GB2312"/>
                <w:sz w:val="24"/>
              </w:rPr>
              <w:t>开户行：</w:t>
            </w:r>
            <w:r>
              <w:rPr>
                <w:rFonts w:hint="eastAsia" w:ascii="仿宋_GB2312" w:eastAsia="仿宋_GB2312"/>
                <w:sz w:val="24"/>
                <w:lang w:val="en-US" w:eastAsia="zh-CN"/>
              </w:rPr>
              <w:t xml:space="preserve"> </w:t>
            </w:r>
          </w:p>
          <w:p w14:paraId="047F1300">
            <w:pPr>
              <w:spacing w:line="480" w:lineRule="auto"/>
              <w:rPr>
                <w:rFonts w:hint="eastAsia" w:ascii="仿宋_GB2312" w:eastAsia="仿宋_GB2312"/>
                <w:sz w:val="24"/>
                <w:lang w:eastAsia="zh-CN"/>
              </w:rPr>
            </w:pPr>
            <w:r>
              <w:rPr>
                <w:rFonts w:hint="eastAsia" w:ascii="仿宋_GB2312" w:eastAsia="仿宋_GB2312"/>
                <w:sz w:val="24"/>
              </w:rPr>
              <w:t>账号：</w:t>
            </w:r>
            <w:r>
              <w:rPr>
                <w:rFonts w:hint="eastAsia" w:ascii="仿宋_GB2312" w:eastAsia="仿宋_GB2312"/>
                <w:sz w:val="24"/>
                <w:lang w:val="en-US" w:eastAsia="zh-CN"/>
              </w:rPr>
              <w:t xml:space="preserve"> </w:t>
            </w:r>
          </w:p>
          <w:p w14:paraId="1A088F77">
            <w:pPr>
              <w:spacing w:line="480" w:lineRule="auto"/>
              <w:rPr>
                <w:rFonts w:ascii="仿宋_GB2312" w:eastAsia="仿宋_GB2312"/>
                <w:sz w:val="24"/>
              </w:rPr>
            </w:pPr>
            <w:r>
              <w:rPr>
                <w:rFonts w:hint="eastAsia" w:ascii="仿宋_GB2312" w:eastAsia="仿宋_GB2312"/>
                <w:sz w:val="24"/>
              </w:rPr>
              <w:t>日期：         年     月     日</w:t>
            </w:r>
          </w:p>
        </w:tc>
      </w:tr>
    </w:tbl>
    <w:p w14:paraId="72F228E5"/>
    <w:p w14:paraId="4F17C7C9"/>
    <w:p w14:paraId="5E5847C1">
      <w:pPr>
        <w:pStyle w:val="10"/>
        <w:ind w:firstLine="0" w:firstLineChars="0"/>
        <w:jc w:val="both"/>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EB551">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3"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wps:spPr>
                    <wps:txbx>
                      <w:txbxContent>
                        <w:p w14:paraId="2FAC2B5B">
                          <w:pPr>
                            <w:pStyle w:val="7"/>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37</w:t>
                          </w:r>
                          <w:r>
                            <w:rPr>
                              <w:rFonts w:ascii="Times New Roman" w:hAnsi="Times New Roman"/>
                              <w:sz w:val="21"/>
                              <w:szCs w:val="21"/>
                            </w:rP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Qe10z0AAAAAMBAAAPAAAAAAAAAAEAIAAAACIAAABkcnMvZG93bnJldi54bWxQSwEC&#10;FAAUAAAACACHTuJAxuUaWvwBAAAEBAAADgAAAAAAAAABACAAAAAfAQAAZHJzL2Uyb0RvYy54bWxQ&#10;SwUGAAAAAAYABgBZAQAAjQUAAAAA&#10;">
              <v:fill on="f" focussize="0,0"/>
              <v:stroke on="f"/>
              <v:imagedata o:title=""/>
              <o:lock v:ext="edit" aspectratio="f"/>
              <v:textbox inset="0mm,0mm,0mm,0mm" style="mso-fit-shape-to-text:t;">
                <w:txbxContent>
                  <w:p w14:paraId="2FAC2B5B">
                    <w:pPr>
                      <w:pStyle w:val="7"/>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37</w:t>
                    </w:r>
                    <w:r>
                      <w:rPr>
                        <w:rFonts w:ascii="Times New Roman" w:hAnsi="Times New Roman"/>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wNjIxOGUzODU2NTk3OTQ0ZTgxYzcyMjE0NDcwMmIifQ=="/>
  </w:docVars>
  <w:rsids>
    <w:rsidRoot w:val="00664918"/>
    <w:rsid w:val="0009482B"/>
    <w:rsid w:val="000B0A60"/>
    <w:rsid w:val="002B7D31"/>
    <w:rsid w:val="00554924"/>
    <w:rsid w:val="00664918"/>
    <w:rsid w:val="00C5292E"/>
    <w:rsid w:val="00F77735"/>
    <w:rsid w:val="011B2D5D"/>
    <w:rsid w:val="02952D99"/>
    <w:rsid w:val="0A963429"/>
    <w:rsid w:val="0D487D2C"/>
    <w:rsid w:val="1359667D"/>
    <w:rsid w:val="17EB020D"/>
    <w:rsid w:val="180A7F5C"/>
    <w:rsid w:val="34264730"/>
    <w:rsid w:val="3BD532B3"/>
    <w:rsid w:val="3C743164"/>
    <w:rsid w:val="4E6E1044"/>
    <w:rsid w:val="625C61A4"/>
    <w:rsid w:val="685E3F9E"/>
    <w:rsid w:val="73A0674E"/>
    <w:rsid w:val="73BC16A5"/>
    <w:rsid w:val="7B6F1BE2"/>
    <w:rsid w:val="7C1015B3"/>
    <w:rsid w:val="7D6E0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9"/>
    <w:pPr>
      <w:spacing w:line="560" w:lineRule="exact"/>
      <w:ind w:firstLine="640" w:firstLineChars="200"/>
      <w:outlineLvl w:val="1"/>
    </w:pPr>
    <w:rPr>
      <w:rFonts w:ascii="楷体" w:hAnsi="楷体" w:eastAsia="黑体"/>
      <w:sz w:val="32"/>
      <w:szCs w:val="32"/>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1"/>
    <w:qFormat/>
    <w:uiPriority w:val="99"/>
    <w:pPr>
      <w:spacing w:line="360" w:lineRule="auto"/>
    </w:pPr>
    <w:rPr>
      <w:rFonts w:ascii="Tahoma" w:hAnsi="Tahoma"/>
    </w:rPr>
  </w:style>
  <w:style w:type="paragraph" w:styleId="6">
    <w:name w:val="Body Text Indent"/>
    <w:basedOn w:val="1"/>
    <w:qFormat/>
    <w:uiPriority w:val="0"/>
    <w:pPr>
      <w:jc w:val="center"/>
    </w:pPr>
    <w:rPr>
      <w:sz w:val="28"/>
    </w:rPr>
  </w:style>
  <w:style w:type="paragraph" w:styleId="7">
    <w:name w:val="footer"/>
    <w:basedOn w:val="1"/>
    <w:qFormat/>
    <w:uiPriority w:val="99"/>
    <w:pPr>
      <w:tabs>
        <w:tab w:val="center" w:pos="4153"/>
        <w:tab w:val="right" w:pos="8306"/>
      </w:tabs>
      <w:adjustRightInd w:val="0"/>
      <w:spacing w:line="240" w:lineRule="atLeast"/>
      <w:jc w:val="left"/>
      <w:textAlignment w:val="baseline"/>
    </w:pPr>
    <w:rPr>
      <w:rFonts w:ascii="Tahoma" w:hAnsi="Tahoma"/>
      <w:sz w:val="18"/>
      <w:szCs w:val="18"/>
    </w:rPr>
  </w:style>
  <w:style w:type="paragraph" w:styleId="8">
    <w:name w:val="envelope return"/>
    <w:basedOn w:val="1"/>
    <w:qFormat/>
    <w:uiPriority w:val="99"/>
    <w:pPr>
      <w:snapToGrid w:val="0"/>
    </w:pPr>
    <w:rPr>
      <w:rFonts w:ascii="Arial" w:hAnsi="Arial" w:cs="Arial"/>
    </w:rPr>
  </w:style>
  <w:style w:type="paragraph" w:styleId="9">
    <w:name w:val="Body Text First Indent"/>
    <w:basedOn w:val="5"/>
    <w:next w:val="10"/>
    <w:qFormat/>
    <w:uiPriority w:val="0"/>
    <w:pPr>
      <w:ind w:firstLine="420"/>
    </w:pPr>
    <w:rPr>
      <w:rFonts w:ascii="宋体" w:hAnsi="宋体"/>
      <w:sz w:val="24"/>
    </w:rPr>
  </w:style>
  <w:style w:type="paragraph" w:styleId="10">
    <w:name w:val="Body Text First Indent 2"/>
    <w:basedOn w:val="6"/>
    <w:qFormat/>
    <w:uiPriority w:val="0"/>
    <w:pPr>
      <w:ind w:firstLine="420" w:firstLineChars="200"/>
    </w:p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 w:type="paragraph" w:customStyle="1" w:styleId="15">
    <w:name w:val="列出段落1"/>
    <w:basedOn w:val="1"/>
    <w:autoRedefine/>
    <w:qFormat/>
    <w:uiPriority w:val="0"/>
    <w:pPr>
      <w:adjustRightInd w:val="0"/>
      <w:spacing w:line="300" w:lineRule="auto"/>
      <w:ind w:firstLine="420" w:firstLineChars="200"/>
      <w:textAlignment w:val="baseline"/>
    </w:pPr>
    <w:rPr>
      <w:kern w:val="0"/>
      <w:sz w:val="24"/>
    </w:rPr>
  </w:style>
  <w:style w:type="paragraph" w:customStyle="1" w:styleId="16">
    <w:name w:val="样式 首行缩进:  2 字符"/>
    <w:basedOn w:val="1"/>
    <w:autoRedefine/>
    <w:qFormat/>
    <w:uiPriority w:val="0"/>
    <w:pPr>
      <w:spacing w:line="400" w:lineRule="exact"/>
      <w:ind w:firstLine="200" w:firstLineChars="200"/>
    </w:pPr>
    <w:rPr>
      <w:rFonts w:cs="宋体"/>
      <w:sz w:val="24"/>
    </w:rPr>
  </w:style>
  <w:style w:type="paragraph" w:customStyle="1" w:styleId="17">
    <w:name w:val="Table Paragraph"/>
    <w:basedOn w:val="1"/>
    <w:autoRedefine/>
    <w:qFormat/>
    <w:uiPriority w:val="1"/>
    <w:rPr>
      <w:rFonts w:hAnsi="宋体" w:cs="宋体"/>
      <w:lang w:val="zh-CN" w:bidi="zh-CN"/>
    </w:rPr>
  </w:style>
  <w:style w:type="paragraph" w:customStyle="1" w:styleId="18">
    <w:name w:val="样式2"/>
    <w:basedOn w:val="19"/>
    <w:qFormat/>
    <w:uiPriority w:val="0"/>
    <w:pPr>
      <w:spacing w:line="560" w:lineRule="exact"/>
      <w:ind w:firstLine="643" w:firstLineChars="200"/>
      <w:jc w:val="both"/>
    </w:pPr>
    <w:rPr>
      <w:rFonts w:ascii="仿宋_GB2312" w:hAnsi="仿宋" w:eastAsia="仿宋_GB2312"/>
      <w:b/>
      <w:bCs/>
      <w:szCs w:val="32"/>
    </w:rPr>
  </w:style>
  <w:style w:type="paragraph" w:customStyle="1" w:styleId="19">
    <w:name w:val="@标题"/>
    <w:basedOn w:val="1"/>
    <w:next w:val="20"/>
    <w:qFormat/>
    <w:uiPriority w:val="0"/>
    <w:pPr>
      <w:keepNext/>
      <w:spacing w:before="50" w:beforeLines="50" w:after="50" w:afterLines="50"/>
      <w:jc w:val="center"/>
      <w:outlineLvl w:val="1"/>
    </w:pPr>
    <w:rPr>
      <w:rFonts w:eastAsia="黑体"/>
      <w:kern w:val="32"/>
      <w:sz w:val="32"/>
    </w:rPr>
  </w:style>
  <w:style w:type="paragraph" w:customStyle="1" w:styleId="20">
    <w:name w:val="@正文"/>
    <w:basedOn w:val="21"/>
    <w:qFormat/>
    <w:uiPriority w:val="0"/>
    <w:pPr>
      <w:wordWrap/>
      <w:spacing w:line="240" w:lineRule="auto"/>
      <w:ind w:firstLine="200" w:firstLineChars="200"/>
    </w:pPr>
    <w:rPr>
      <w:rFonts w:ascii="Calibri" w:hAnsi="Calibri" w:eastAsia="宋体" w:cstheme="minorHAnsi"/>
      <w:color w:val="000000"/>
      <w:kern w:val="24"/>
      <w:sz w:val="24"/>
      <w:szCs w:val="24"/>
    </w:rPr>
  </w:style>
  <w:style w:type="paragraph" w:customStyle="1" w:styleId="21">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22">
    <w:name w:val="Revision"/>
    <w:hidden/>
    <w:unhideWhenUsed/>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3471</Words>
  <Characters>3579</Characters>
  <Lines>27</Lines>
  <Paragraphs>7</Paragraphs>
  <TotalTime>28</TotalTime>
  <ScaleCrop>false</ScaleCrop>
  <LinksUpToDate>false</LinksUpToDate>
  <CharactersWithSpaces>3823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2024-08-08T08:00:00Z</dcterms:created>
  <dc:creator>Administrator</dc:creator>
  <cp:lastModifiedBy>逸马</cp:lastModifiedBy>
  <dcterms:modified xsi:type="dcterms:W3CDTF">2026-02-03T09:52:42Z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ADBE79EE1D1A4669AEE6C02730E15AF5_13</vt:lpwstr>
  </property>
  <property fmtid="{D5CDD505-2E9C-101B-9397-08002B2CF9AE}" pid="4" name="KSOTemplateDocerSaveRecord">
    <vt:lpwstr>eyJoZGlkIjoiYzE1ZTU3MzY3MTY1ZTk3NjhhNDRkYWU3MGEyN2FkOWQiLCJ1c2VySWQiOiI2MTg3ODc5ODYifQ==</vt:lpwstr>
  </property>
</Properties>
</file>