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版本号：ZTZLZC-XA2026-020920260225001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陕西好粮油在中国乡村振兴杂志宣传推广项目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ZTZLZC-XA2026-0209</w:t>
      </w:r>
      <w:r>
        <w:br/>
      </w:r>
      <w:r>
        <w:br/>
      </w:r>
      <w:r>
        <w:br/>
      </w:r>
    </w:p>
    <w:p>
      <w:pPr>
        <w:pStyle w:val="null3"/>
        <w:jc w:val="center"/>
        <w:outlineLvl w:val="5"/>
      </w:pPr>
      <w:r>
        <w:rPr>
          <w:rFonts w:ascii="仿宋_GB2312" w:hAnsi="仿宋_GB2312" w:cs="仿宋_GB2312" w:eastAsia="仿宋_GB2312"/>
          <w:sz w:val="15"/>
          <w:b/>
        </w:rPr>
        <w:t>陕西省粮食和物资储备局</w:t>
      </w:r>
    </w:p>
    <w:p>
      <w:pPr>
        <w:pStyle w:val="null3"/>
        <w:jc w:val="center"/>
        <w:outlineLvl w:val="5"/>
      </w:pPr>
      <w:r>
        <w:rPr>
          <w:rFonts w:ascii="仿宋_GB2312" w:hAnsi="仿宋_GB2312" w:cs="仿宋_GB2312" w:eastAsia="仿宋_GB2312"/>
          <w:sz w:val="15"/>
          <w:b/>
        </w:rPr>
        <w:t>陕西中天正略企业运营发展有限公司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陕西中天正略企业运营发展有限公司</w:t>
      </w:r>
      <w:r>
        <w:rPr>
          <w:rFonts w:ascii="仿宋_GB2312" w:hAnsi="仿宋_GB2312" w:cs="仿宋_GB2312" w:eastAsia="仿宋_GB2312"/>
        </w:rPr>
        <w:t>（以下简称“代理机构”）受</w:t>
      </w:r>
      <w:r>
        <w:rPr>
          <w:rFonts w:ascii="仿宋_GB2312" w:hAnsi="仿宋_GB2312" w:cs="仿宋_GB2312" w:eastAsia="仿宋_GB2312"/>
        </w:rPr>
        <w:t>陕西省粮食和物资储备局</w:t>
      </w:r>
      <w:r>
        <w:rPr>
          <w:rFonts w:ascii="仿宋_GB2312" w:hAnsi="仿宋_GB2312" w:cs="仿宋_GB2312" w:eastAsia="仿宋_GB2312"/>
        </w:rPr>
        <w:t>委托，拟对</w:t>
      </w:r>
      <w:r>
        <w:rPr>
          <w:rFonts w:ascii="仿宋_GB2312" w:hAnsi="仿宋_GB2312" w:cs="仿宋_GB2312" w:eastAsia="仿宋_GB2312"/>
        </w:rPr>
        <w:t>陕西好粮油在中国乡村振兴杂志宣传推广项目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ZTZLZC-XA2026-0209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陕西好粮油在中国乡村振兴杂志宣传推广项目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在北京举办“陕西好粮油，幸福碗中留”专题推介活动，具体详见采购文件。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采购包1（陕西好粮油在中国乡村振兴杂志宣传推广）：属于专门面向中小企业采购。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2、授权委托书：供应商应授权合法的人员参加投标：法定代表人直接参加投标，须出具法定代表人身份证；法定代表人授权代表参加投标，须出具法定代表人授权书及授权代表身份证。</w:t>
      </w:r>
    </w:p>
    <w:p>
      <w:pPr>
        <w:pStyle w:val="null3"/>
      </w:pPr>
      <w:r>
        <w:rPr>
          <w:rFonts w:ascii="仿宋_GB2312" w:hAnsi="仿宋_GB2312" w:cs="仿宋_GB2312" w:eastAsia="仿宋_GB2312"/>
        </w:rPr>
        <w:t>3、财务报告：提供2024年度的财务审计报告或开户银行出具的资信证明。</w:t>
      </w:r>
    </w:p>
    <w:p>
      <w:pPr>
        <w:pStyle w:val="null3"/>
      </w:pPr>
      <w:r>
        <w:rPr>
          <w:rFonts w:ascii="仿宋_GB2312" w:hAnsi="仿宋_GB2312" w:cs="仿宋_GB2312" w:eastAsia="仿宋_GB2312"/>
        </w:rPr>
        <w:t>4、税收证明：开标前近六个月内至少一个月的纳税凭证/证明，依法免税的应提供相关证明材料。</w:t>
      </w:r>
    </w:p>
    <w:p>
      <w:pPr>
        <w:pStyle w:val="null3"/>
      </w:pPr>
      <w:r>
        <w:rPr>
          <w:rFonts w:ascii="仿宋_GB2312" w:hAnsi="仿宋_GB2312" w:cs="仿宋_GB2312" w:eastAsia="仿宋_GB2312"/>
        </w:rPr>
        <w:t>5、社会保障资金缴纳证明：开标前近六个月内至少一个月的社会保障资金缴纳凭证/证明，依法不需要缴纳的应提供相关证明材料。</w:t>
      </w:r>
    </w:p>
    <w:p>
      <w:pPr>
        <w:pStyle w:val="null3"/>
      </w:pPr>
      <w:r>
        <w:rPr>
          <w:rFonts w:ascii="仿宋_GB2312" w:hAnsi="仿宋_GB2312" w:cs="仿宋_GB2312" w:eastAsia="仿宋_GB2312"/>
        </w:rPr>
        <w:t>6、履约承诺：提供具有履行本合同所必需的设备和专业技术能力的说明及承诺书；</w:t>
      </w:r>
    </w:p>
    <w:p>
      <w:pPr>
        <w:pStyle w:val="null3"/>
      </w:pPr>
      <w:r>
        <w:rPr>
          <w:rFonts w:ascii="仿宋_GB2312" w:hAnsi="仿宋_GB2312" w:cs="仿宋_GB2312" w:eastAsia="仿宋_GB2312"/>
        </w:rPr>
        <w:t>7、书面声明：供应商应出具参加政府采购活动前3年内在经营活动中没有重大违法记录的书面声明。</w:t>
      </w:r>
    </w:p>
    <w:p>
      <w:pPr>
        <w:pStyle w:val="null3"/>
      </w:pPr>
      <w:r>
        <w:rPr>
          <w:rFonts w:ascii="仿宋_GB2312" w:hAnsi="仿宋_GB2312" w:cs="仿宋_GB2312" w:eastAsia="仿宋_GB2312"/>
        </w:rPr>
        <w:t>8、信用截图：供应商不得被列入“中国执行信息公开网”（http://zxgk.court.gov.cn）失信被执行人，不得被列入“信用中国”网站（www.creditchina.gov.cn）重大税收违法失信主体，不得被列入“中国政府采购网”（www.ccgp.gov.cn）政府采购严重违法失信行为记录名单。</w:t>
      </w:r>
    </w:p>
    <w:p>
      <w:pPr>
        <w:pStyle w:val="null3"/>
      </w:pPr>
      <w:r>
        <w:rPr>
          <w:rFonts w:ascii="仿宋_GB2312" w:hAnsi="仿宋_GB2312" w:cs="仿宋_GB2312" w:eastAsia="仿宋_GB2312"/>
        </w:rPr>
        <w:t>9、中小企业：本项目专门面向中小企业。</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陕西省粮食和物资储备局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029-87276190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陕西中天正略企业运营发展有限公司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西安曲江新区翠华路500号佳和中心B座26层3号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029-89660303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发改价格[2011]534号文件及《国家发展改革委关于进一步放开建设项目专业服务价格的通知》（发改价格〔2015〕299号）文规定收取代理服务费。由成交人领取成交通知书时一次性支付完毕。</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陕西省粮食和物资储备局</w:t>
      </w:r>
      <w:r>
        <w:rPr>
          <w:rFonts w:ascii="仿宋_GB2312" w:hAnsi="仿宋_GB2312" w:cs="仿宋_GB2312" w:eastAsia="仿宋_GB2312"/>
        </w:rPr>
        <w:t>和</w:t>
      </w:r>
      <w:r>
        <w:rPr>
          <w:rFonts w:ascii="仿宋_GB2312" w:hAnsi="仿宋_GB2312" w:cs="仿宋_GB2312" w:eastAsia="仿宋_GB2312"/>
        </w:rPr>
        <w:t>陕西中天正略企业运营发展有限公司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陕西中天正略企业运营发展有限公司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陕西省粮食和物资储备局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陕西中天正略企业运营发展有限公司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(一)合同文本、合同附件、招标文件、响应文件。(二)乙方提交的结案报告。(三)国内相应的标准、规范。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在北京举办“陕西好粮油，幸福碗中留”专题推介活动，具体详见采购文件。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陕西好粮油在中国乡村振兴杂志宣传推广项目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标的名称：陕西好粮油在中国乡村振兴杂志宣传推广项目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w:t>
            </w:r>
            <w:r>
              <w:rPr>
                <w:rFonts w:ascii="仿宋_GB2312" w:hAnsi="仿宋_GB2312" w:cs="仿宋_GB2312" w:eastAsia="仿宋_GB2312"/>
                <w:sz w:val="24"/>
                <w:b/>
              </w:rPr>
              <w:t>服务内容</w:t>
            </w:r>
            <w:r>
              <w:rPr>
                <w:rFonts w:ascii="仿宋_GB2312" w:hAnsi="仿宋_GB2312" w:cs="仿宋_GB2312" w:eastAsia="仿宋_GB2312"/>
                <w:sz w:val="24"/>
                <w:b/>
              </w:rPr>
              <w:t>：</w:t>
            </w:r>
          </w:p>
          <w:p>
            <w:pPr>
              <w:pStyle w:val="null3"/>
              <w:ind w:firstLine="480"/>
            </w:pPr>
            <w:r>
              <w:rPr>
                <w:rFonts w:ascii="仿宋_GB2312" w:hAnsi="仿宋_GB2312" w:cs="仿宋_GB2312" w:eastAsia="仿宋_GB2312"/>
                <w:sz w:val="24"/>
              </w:rPr>
              <w:t>在北京举办</w:t>
            </w:r>
            <w:r>
              <w:rPr>
                <w:rFonts w:ascii="仿宋_GB2312" w:hAnsi="仿宋_GB2312" w:cs="仿宋_GB2312" w:eastAsia="仿宋_GB2312"/>
                <w:sz w:val="24"/>
              </w:rPr>
              <w:t>“陕西好粮油，幸福碗中留”专题推介活动，通过实物展示、专场推介、品牌营销，全方位展示“陕西好粮油”主品牌及区域特色子品牌;通过《中国乡村振兴》杂志及新媒体对陕西好粮进行品牌宣传，推介活动通过“中国乡村"微信公众号、学习强国、官方网站、视频号、抖音、快手、今日头条等平台进行同步转发宣传，在2026年度《中国乡村振兴》杂志任意2期封底位置，投放2期“陕西好粮油 幸福碗中留”广告。赠送专题刊发当期杂志不少于20本。</w:t>
            </w:r>
          </w:p>
          <w:p>
            <w:pPr>
              <w:pStyle w:val="null3"/>
              <w:ind w:firstLine="482"/>
            </w:pPr>
            <w:r>
              <w:rPr>
                <w:rFonts w:ascii="仿宋_GB2312" w:hAnsi="仿宋_GB2312" w:cs="仿宋_GB2312" w:eastAsia="仿宋_GB2312"/>
                <w:sz w:val="24"/>
                <w:b/>
              </w:rPr>
              <w:t>二、服务期</w:t>
            </w:r>
            <w:r>
              <w:rPr>
                <w:rFonts w:ascii="仿宋_GB2312" w:hAnsi="仿宋_GB2312" w:cs="仿宋_GB2312" w:eastAsia="仿宋_GB2312"/>
                <w:sz w:val="24"/>
                <w:b/>
              </w:rPr>
              <w:t>：</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12月底前完成</w:t>
            </w:r>
          </w:p>
          <w:p>
            <w:pPr>
              <w:pStyle w:val="null3"/>
              <w:ind w:firstLine="482"/>
            </w:pPr>
            <w:r>
              <w:rPr>
                <w:rFonts w:ascii="仿宋_GB2312" w:hAnsi="仿宋_GB2312" w:cs="仿宋_GB2312" w:eastAsia="仿宋_GB2312"/>
                <w:sz w:val="24"/>
                <w:b/>
              </w:rPr>
              <w:t>三、</w:t>
            </w:r>
            <w:r>
              <w:rPr>
                <w:rFonts w:ascii="仿宋_GB2312" w:hAnsi="仿宋_GB2312" w:cs="仿宋_GB2312" w:eastAsia="仿宋_GB2312"/>
                <w:sz w:val="24"/>
                <w:b/>
              </w:rPr>
              <w:t>付款方式：</w:t>
            </w:r>
          </w:p>
          <w:p>
            <w:pPr>
              <w:pStyle w:val="null3"/>
              <w:ind w:firstLine="480"/>
            </w:pPr>
            <w:r>
              <w:rPr>
                <w:rFonts w:ascii="仿宋_GB2312" w:hAnsi="仿宋_GB2312" w:cs="仿宋_GB2312" w:eastAsia="仿宋_GB2312"/>
                <w:sz w:val="24"/>
              </w:rPr>
              <w:t>合同签订后支付合同总金额</w:t>
            </w:r>
            <w:r>
              <w:rPr>
                <w:rFonts w:ascii="仿宋_GB2312" w:hAnsi="仿宋_GB2312" w:cs="仿宋_GB2312" w:eastAsia="仿宋_GB2312"/>
                <w:sz w:val="24"/>
              </w:rPr>
              <w:t>60%，执行结束且验收合格后付剩余40%。</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针对本项目投入专业服务团队，组织结构合理，人员分工明确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自合同生效之日起至合同全部权利义务履行完毕之日止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合同条款前附表指定地点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执行结束且验收合格后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(一)合同文本、合同附件、招标文件、响应文件。(二)乙方提交的结案报告。(三)国内相应的标准、规范。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1.服务缺陷的补救措施和索赔 (1)如果乙方提供的服务不符合本合同约定以及磋商文件、响应文件关于服务的要求和承诺，乙方应按照甲方同意的下列一种或几种方式结合起来解决索赔事宜： ①乙方同意将服务款项目退还给甲方，由此发生的一切费用和损失由乙方承担。如甲方以适当的条件和方法购买与未履约标的相类似的服务，乙方应负担新购买类似服务所超出的费用。 ②根据服务的质量状况以及甲方所遭受的损失，经过甲乙双方商定降低服务的价格，协商不成的，以甲方确认的服务价格为准。 (2)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要求提供履约保函的银行进行赔付，如不足以弥补甲方损失的，甲方有权进一步要求乙方赔偿。 2.迟延履约的违约责任 (1)乙方应按照本合同规定的时间、地点提供服务。 (2)在履行合同过程中，如果乙方遇到可能妨碍按时提供服务的情形时，应及时以书面形式将迟延的事实、可能迟延的期限和理由通知甲方。甲方在收到乙方通知后，应尽快对情况进行评价，并确定是否同意延期提供服务。 (3)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 (4)如果乙方延迟履约超过30日，甲方有权终止全部或部分合同，并依其认为适当的条件和方法购买与未履约类似的服务，乙方应负担购买类似服务所超出的费用。但是，乙方应继续执行合同中未终止的部分。 3.未履行合同义务的违约责任 (1)守约方有权终止全部或部分合同。 (2)由违约一方支付违约金，违约金标准见合同条款前附表。 (3)违约金不足以弥补守约方实际损失、可预见或者应当预见的损失，由违约方全额予以赔偿。 4.不可抗力 （1）如果合同双方因不可抗力而导致合同实施延误或合同无法实施，不应该承担误期赔偿或不能履行合同义务的责任。 （2）本条所述的“不可抗力”系指那些双方不可预见、不可避免、不可克服的客观情况，但不包括双方的违约或疏忽。这些事件包括但不限于：战争、严重火灾、洪水、台风、地震等。 （3）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时间内达成进一步履行的协议。 5.合同纠纷的解决方式 （1）合同各方应通过友好协商，解决在执行合同过程中所发生的或与合同有关的一切争端。如协商30日内(根据实际情况设定)不能解决，可以按合同规定的方式提起诉讼。 （2）诉讼应由甲方住所地人民法院管辖。财产保全担保保险费、财产保全申请费、律师代理费、差旅费、评估费、鉴定费诉讼费等与仲裁或诉讼活动相关费用应由败诉方负担。 （3）如诉讼事项不影响合同其他部分的履行，则在诉讼期间，除正在进行诉讼的部分外，合同的其他部分应继续执行。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供应商需要在线提交所有通过电子化交易平台实施的政府采购项目的投标文件。成交（中标）结果公示发布后，成交人提交纸质投标文件正本壹份、副本贰份，电子版本贰份(以U盘形式提供，文件格式包含word 或pdf格式)。领取中标通知书时递交至代理机构。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供应商应授权合法的人员参加投标：法定代表人直接参加投标，须出具法定代表人身份证；法定代表人授权代表参加投标，须出具法定代表人授权书及授权代表身份证。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提供2024年度的财务审计报告或开户银行出具的资信证明。</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开标前近六个月内至少一个月的纳税凭证/证明，依法免税的应提供相关证明材料。</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开标前近六个月内至少一个月的社会保障资金缴纳凭证/证明，依法不需要缴纳的应提供相关证明材料。</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资格证明.docx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落实政府采购政策资格审查</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（3）《国务院办公厅关于建立政府强制采购节能产品制度的通知》（国发办〔2007〕51号）； （4）《关于印发节能产品政府采购品目清单的通知》（财库〔2019〕19号）； （5）《关于印发环境标志产品政府采购品目清单的通知》（财库〔2019〕18号）； （6）《三部门联合发布关于促进残疾人就业政府采购政策的通知》（财库〔2017〕141号）； （7）《财政部 发展改革委 生态环境部 市场监管总局关于调整优化节能产品、环境标志产品政府采购执行机制的通知》（财库〔2019〕9号）； （8）陕西省财政厅关于印发《陕西省中小企业政府采购信用融资办法》（陕财办采〔2018〕23号）； （9）《财政部 农业农村部 国家乡村振兴局关于运用政府采购政策支持乡村产业振兴的通知》（财库〔2021〕19 号）； （10）《财政部 农业农村部 国家乡村振兴局 中华全国供销合作总社关于印发&lt;关于深入开展政府采购脱贫地区农副产品工作推进乡村产业振兴的实施意见&gt;的通知（财库〔2021〕20号）； （11）《陕西省财政厅关于加快推进我省中小企业政府采购信用融资工作的通知》（陕财办采〔2020〕15号）； （12）《关于进一步加强政府绿色采购有关问题的通知》（陕财办采〔2021〕29号）； （13）《陕西省财政厅、中国人民银行西安分行关于深入推进政府采购信用融资业务的通知》（陕财办采〔2023〕5号）； （14）其他需要落实的政府采购政策。</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资格证明.docx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资格证明.docx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资格证明.docx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资格证明.docx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符合第六章“响应文件格式”的要求</w:t>
            </w:r>
          </w:p>
        </w:tc>
        <w:tc>
          <w:tcPr>
            <w:tcW w:type="dxa" w:w="1661"/>
          </w:tcPr>
          <w:p>
            <w:pPr>
              <w:pStyle w:val="null3"/>
            </w:pPr>
            <w:r>
              <w:rPr>
                <w:rFonts w:ascii="仿宋_GB2312" w:hAnsi="仿宋_GB2312" w:cs="仿宋_GB2312" w:eastAsia="仿宋_GB2312"/>
              </w:rPr>
              <w:t>响应文件封面 资格证明.docx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供应商提交的响应文件中只能有一个有效报价</w:t>
            </w:r>
          </w:p>
        </w:tc>
        <w:tc>
          <w:tcPr>
            <w:tcW w:type="dxa" w:w="1661"/>
          </w:tcPr>
          <w:p>
            <w:pPr>
              <w:pStyle w:val="null3"/>
            </w:pPr>
            <w:r>
              <w:rPr>
                <w:rFonts w:ascii="仿宋_GB2312" w:hAnsi="仿宋_GB2312" w:cs="仿宋_GB2312" w:eastAsia="仿宋_GB2312"/>
              </w:rPr>
              <w:t>响应文件封面 资格证明.docx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